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F3E75" w14:textId="152232F0" w:rsidR="00FC3EA1" w:rsidRPr="000B7DE5" w:rsidRDefault="009D7931" w:rsidP="00FC3EA1">
      <w:bookmarkStart w:id="0" w:name="_GoBack"/>
      <w:bookmarkEnd w:id="0"/>
      <w:r>
        <w:t>Tenancy Management</w:t>
      </w:r>
      <w:r w:rsidR="00FC3EA1">
        <w:t xml:space="preserve"> – </w:t>
      </w:r>
    </w:p>
    <w:tbl>
      <w:tblPr>
        <w:tblStyle w:val="TableGrid"/>
        <w:tblW w:w="0" w:type="auto"/>
        <w:tblLook w:val="04A0" w:firstRow="1" w:lastRow="0" w:firstColumn="1" w:lastColumn="0" w:noHBand="0" w:noVBand="1"/>
      </w:tblPr>
      <w:tblGrid>
        <w:gridCol w:w="704"/>
        <w:gridCol w:w="95"/>
        <w:gridCol w:w="3284"/>
        <w:gridCol w:w="1353"/>
        <w:gridCol w:w="3580"/>
      </w:tblGrid>
      <w:tr w:rsidR="00156C03" w14:paraId="7DA0383D" w14:textId="77777777" w:rsidTr="00156C03">
        <w:tc>
          <w:tcPr>
            <w:tcW w:w="9016" w:type="dxa"/>
            <w:gridSpan w:val="5"/>
            <w:shd w:val="clear" w:color="auto" w:fill="9CC2E5" w:themeFill="accent1" w:themeFillTint="99"/>
          </w:tcPr>
          <w:p w14:paraId="527C178C" w14:textId="15840304" w:rsidR="00156C03" w:rsidRDefault="00156C03" w:rsidP="00FC3EA1">
            <w:pPr>
              <w:rPr>
                <w:rFonts w:ascii="Calibri" w:eastAsia="Times New Roman" w:hAnsi="Calibri" w:cs="Calibri"/>
                <w:color w:val="000000"/>
                <w:lang w:eastAsia="en-GB"/>
              </w:rPr>
            </w:pPr>
            <w:r w:rsidRPr="007D0FFF">
              <w:rPr>
                <w:rFonts w:ascii="Calibri" w:eastAsia="Times New Roman" w:hAnsi="Calibri" w:cs="Calibri"/>
                <w:b/>
                <w:color w:val="000000"/>
                <w:lang w:eastAsia="en-GB"/>
              </w:rPr>
              <w:t>Date of update;</w:t>
            </w:r>
            <w:r w:rsidR="00755E36">
              <w:rPr>
                <w:rFonts w:ascii="Calibri" w:eastAsia="Times New Roman" w:hAnsi="Calibri" w:cs="Calibri"/>
                <w:b/>
                <w:color w:val="000000"/>
                <w:lang w:eastAsia="en-GB"/>
              </w:rPr>
              <w:t xml:space="preserve"> March 2024</w:t>
            </w:r>
          </w:p>
        </w:tc>
      </w:tr>
      <w:tr w:rsidR="00FC3EA1" w14:paraId="69E91CCB" w14:textId="77777777" w:rsidTr="009D7931">
        <w:tc>
          <w:tcPr>
            <w:tcW w:w="799" w:type="dxa"/>
            <w:gridSpan w:val="2"/>
          </w:tcPr>
          <w:p w14:paraId="069A68F6"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ref</w:t>
            </w:r>
          </w:p>
        </w:tc>
        <w:tc>
          <w:tcPr>
            <w:tcW w:w="3284" w:type="dxa"/>
          </w:tcPr>
          <w:p w14:paraId="6CB94EF3" w14:textId="77777777" w:rsidR="00FC3EA1" w:rsidRDefault="00FC3EA1" w:rsidP="00FC3EA1">
            <w:pPr>
              <w:rPr>
                <w:rFonts w:ascii="Calibri" w:eastAsia="Times New Roman" w:hAnsi="Calibri" w:cs="Calibri"/>
                <w:color w:val="000000"/>
                <w:lang w:eastAsia="en-GB"/>
              </w:rPr>
            </w:pPr>
          </w:p>
        </w:tc>
        <w:tc>
          <w:tcPr>
            <w:tcW w:w="1353" w:type="dxa"/>
          </w:tcPr>
          <w:p w14:paraId="1C16B937"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General Contribution</w:t>
            </w:r>
          </w:p>
        </w:tc>
        <w:tc>
          <w:tcPr>
            <w:tcW w:w="3580" w:type="dxa"/>
          </w:tcPr>
          <w:p w14:paraId="2ECC2D0D" w14:textId="77777777" w:rsidR="00FC3EA1" w:rsidRDefault="009845D3" w:rsidP="00FC3EA1">
            <w:pPr>
              <w:rPr>
                <w:rFonts w:ascii="Calibri" w:eastAsia="Times New Roman" w:hAnsi="Calibri" w:cs="Calibri"/>
                <w:color w:val="000000"/>
                <w:lang w:eastAsia="en-GB"/>
              </w:rPr>
            </w:pPr>
            <w:r>
              <w:rPr>
                <w:rFonts w:ascii="Calibri" w:eastAsia="Times New Roman" w:hAnsi="Calibri" w:cs="Calibri"/>
                <w:color w:val="000000"/>
                <w:lang w:eastAsia="en-GB"/>
              </w:rPr>
              <w:t>Action this period</w:t>
            </w:r>
          </w:p>
        </w:tc>
      </w:tr>
      <w:tr w:rsidR="00FC3EA1" w14:paraId="0EDFF5BB" w14:textId="77777777" w:rsidTr="003637E9">
        <w:tc>
          <w:tcPr>
            <w:tcW w:w="9016" w:type="dxa"/>
            <w:gridSpan w:val="5"/>
            <w:shd w:val="clear" w:color="auto" w:fill="9CC2E5" w:themeFill="accent1" w:themeFillTint="99"/>
          </w:tcPr>
          <w:p w14:paraId="2F02861E" w14:textId="77777777" w:rsidR="00FC3EA1" w:rsidRDefault="00FC3EA1" w:rsidP="009D7931">
            <w:pPr>
              <w:rPr>
                <w:rFonts w:ascii="Calibri" w:eastAsia="Times New Roman" w:hAnsi="Calibri" w:cs="Calibri"/>
                <w:color w:val="000000"/>
                <w:lang w:eastAsia="en-GB"/>
              </w:rPr>
            </w:pPr>
            <w:r w:rsidRPr="00FC3EA1">
              <w:rPr>
                <w:b/>
              </w:rPr>
              <w:t>Theme Health and wellbeing</w:t>
            </w:r>
          </w:p>
        </w:tc>
      </w:tr>
      <w:tr w:rsidR="009D7931" w14:paraId="1DF7DDB8" w14:textId="77777777" w:rsidTr="009D7931">
        <w:tc>
          <w:tcPr>
            <w:tcW w:w="799" w:type="dxa"/>
            <w:gridSpan w:val="2"/>
            <w:shd w:val="clear" w:color="auto" w:fill="auto"/>
          </w:tcPr>
          <w:p w14:paraId="40E2CFB0" w14:textId="77777777" w:rsidR="009D7931" w:rsidRPr="009D7931" w:rsidRDefault="009D7931" w:rsidP="009D7931">
            <w:r>
              <w:t>HW7</w:t>
            </w:r>
          </w:p>
        </w:tc>
        <w:tc>
          <w:tcPr>
            <w:tcW w:w="3284" w:type="dxa"/>
            <w:shd w:val="clear" w:color="auto" w:fill="auto"/>
          </w:tcPr>
          <w:p w14:paraId="58467B16" w14:textId="77777777" w:rsidR="009D7931" w:rsidRDefault="009D7931" w:rsidP="009D7931">
            <w:pPr>
              <w:rPr>
                <w:rFonts w:ascii="Calibri" w:hAnsi="Calibri" w:cs="Calibri"/>
                <w:color w:val="000000"/>
              </w:rPr>
            </w:pPr>
            <w:r>
              <w:rPr>
                <w:rFonts w:ascii="Calibri" w:hAnsi="Calibri" w:cs="Calibri"/>
                <w:color w:val="000000"/>
              </w:rPr>
              <w:t>Inform and influence countywide strategies that impact upon housing support and care provision for all vulnerable clients groups, children, young people, adults and the ageing population</w:t>
            </w:r>
          </w:p>
          <w:p w14:paraId="22ECE744" w14:textId="77777777" w:rsidR="009D7931" w:rsidRPr="009D7931" w:rsidRDefault="009D7931" w:rsidP="009D7931"/>
        </w:tc>
        <w:tc>
          <w:tcPr>
            <w:tcW w:w="1353" w:type="dxa"/>
            <w:shd w:val="clear" w:color="auto" w:fill="auto"/>
          </w:tcPr>
          <w:p w14:paraId="7570E13C" w14:textId="77777777" w:rsidR="009D7931" w:rsidRPr="009D7931" w:rsidRDefault="009D7931" w:rsidP="009D7931"/>
        </w:tc>
        <w:tc>
          <w:tcPr>
            <w:tcW w:w="3580" w:type="dxa"/>
            <w:shd w:val="clear" w:color="auto" w:fill="auto"/>
          </w:tcPr>
          <w:p w14:paraId="25DEE1E9" w14:textId="551F9420" w:rsidR="00DB1AF1" w:rsidRDefault="00DB1AF1" w:rsidP="00DB1AF1">
            <w:pPr>
              <w:rPr>
                <w:rFonts w:ascii="Calibri" w:eastAsia="Times New Roman" w:hAnsi="Calibri" w:cs="Calibri"/>
                <w:color w:val="000000"/>
                <w:lang w:eastAsia="en-GB"/>
              </w:rPr>
            </w:pPr>
            <w:r>
              <w:rPr>
                <w:rFonts w:ascii="Calibri" w:eastAsia="Times New Roman" w:hAnsi="Calibri" w:cs="Calibri"/>
                <w:color w:val="000000"/>
                <w:lang w:eastAsia="en-GB"/>
              </w:rPr>
              <w:t xml:space="preserve">Shared information on the introduction of ‘right care right person’.   Response to managing residents going through mental health crisis.  </w:t>
            </w:r>
            <w:r w:rsidR="00755E36">
              <w:rPr>
                <w:rFonts w:ascii="Calibri" w:eastAsia="Times New Roman" w:hAnsi="Calibri" w:cs="Calibri"/>
                <w:color w:val="000000"/>
                <w:lang w:eastAsia="en-GB"/>
              </w:rPr>
              <w:t>Vice c</w:t>
            </w:r>
            <w:r>
              <w:rPr>
                <w:rFonts w:ascii="Calibri" w:eastAsia="Times New Roman" w:hAnsi="Calibri" w:cs="Calibri"/>
                <w:color w:val="000000"/>
                <w:lang w:eastAsia="en-GB"/>
              </w:rPr>
              <w:t xml:space="preserve">hair is </w:t>
            </w:r>
            <w:r w:rsidR="00755E36">
              <w:rPr>
                <w:rFonts w:ascii="Calibri" w:eastAsia="Times New Roman" w:hAnsi="Calibri" w:cs="Calibri"/>
                <w:color w:val="000000"/>
                <w:lang w:eastAsia="en-GB"/>
              </w:rPr>
              <w:t>member of</w:t>
            </w:r>
            <w:r>
              <w:rPr>
                <w:rFonts w:ascii="Calibri" w:eastAsia="Times New Roman" w:hAnsi="Calibri" w:cs="Calibri"/>
                <w:color w:val="000000"/>
                <w:lang w:eastAsia="en-GB"/>
              </w:rPr>
              <w:t xml:space="preserve"> project group and will keep </w:t>
            </w:r>
            <w:r w:rsidR="00755E36">
              <w:rPr>
                <w:rFonts w:ascii="Calibri" w:eastAsia="Times New Roman" w:hAnsi="Calibri" w:cs="Calibri"/>
                <w:color w:val="000000"/>
                <w:lang w:eastAsia="en-GB"/>
              </w:rPr>
              <w:t>KHG updated.</w:t>
            </w:r>
          </w:p>
          <w:p w14:paraId="067DAA38" w14:textId="784E164C" w:rsidR="009D7931" w:rsidRPr="009D7931" w:rsidRDefault="009D7931" w:rsidP="009D7931"/>
        </w:tc>
      </w:tr>
      <w:tr w:rsidR="009D1D4B" w14:paraId="19C6D740" w14:textId="77777777" w:rsidTr="003637E9">
        <w:tc>
          <w:tcPr>
            <w:tcW w:w="9016" w:type="dxa"/>
            <w:gridSpan w:val="5"/>
            <w:shd w:val="clear" w:color="auto" w:fill="9CC2E5" w:themeFill="accent1" w:themeFillTint="99"/>
          </w:tcPr>
          <w:p w14:paraId="4901983C" w14:textId="77777777" w:rsidR="009D1D4B" w:rsidRPr="003637E9" w:rsidRDefault="002437CB" w:rsidP="00FC3EA1">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9D1D4B" w:rsidRPr="003637E9">
              <w:rPr>
                <w:rFonts w:ascii="Calibri" w:eastAsia="Times New Roman" w:hAnsi="Calibri" w:cs="Calibri"/>
                <w:b/>
                <w:color w:val="000000"/>
                <w:lang w:eastAsia="en-GB"/>
              </w:rPr>
              <w:t>Working together for safer homes</w:t>
            </w:r>
          </w:p>
          <w:p w14:paraId="5D3A1F12" w14:textId="77777777" w:rsidR="003637E9" w:rsidRPr="003637E9" w:rsidRDefault="003637E9" w:rsidP="00FC3EA1">
            <w:pPr>
              <w:rPr>
                <w:rFonts w:ascii="Calibri" w:eastAsia="Times New Roman" w:hAnsi="Calibri" w:cs="Calibri"/>
                <w:b/>
                <w:color w:val="000000"/>
                <w:lang w:eastAsia="en-GB"/>
              </w:rPr>
            </w:pPr>
          </w:p>
        </w:tc>
      </w:tr>
      <w:tr w:rsidR="00FC3EA1" w14:paraId="5E2172E9" w14:textId="77777777" w:rsidTr="009D7931">
        <w:tc>
          <w:tcPr>
            <w:tcW w:w="799" w:type="dxa"/>
            <w:gridSpan w:val="2"/>
          </w:tcPr>
          <w:p w14:paraId="7C3C6054" w14:textId="77777777" w:rsidR="00FC3EA1"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t>SH2</w:t>
            </w:r>
          </w:p>
        </w:tc>
        <w:tc>
          <w:tcPr>
            <w:tcW w:w="3284" w:type="dxa"/>
          </w:tcPr>
          <w:p w14:paraId="33486B8E" w14:textId="77777777" w:rsidR="00FC3EA1" w:rsidRPr="009D1D4B" w:rsidRDefault="009D1D4B" w:rsidP="009D1D4B">
            <w:pPr>
              <w:rPr>
                <w:rFonts w:ascii="Calibri" w:hAnsi="Calibri" w:cs="Calibri"/>
                <w:color w:val="000000"/>
              </w:rPr>
            </w:pPr>
            <w:r>
              <w:rPr>
                <w:rFonts w:ascii="Calibri" w:hAnsi="Calibri" w:cs="Calibri"/>
                <w:color w:val="000000"/>
              </w:rPr>
              <w:t>Develop an even closer relationship with Kent Fire &amp; Rescue around prioritising fire safety in all tenures, housing new and old, planning and infrastructure, prioritising any emerging legislation and regulation as a result of Grenfell</w:t>
            </w:r>
          </w:p>
        </w:tc>
        <w:tc>
          <w:tcPr>
            <w:tcW w:w="1353" w:type="dxa"/>
          </w:tcPr>
          <w:p w14:paraId="7C52F5EF" w14:textId="77777777" w:rsidR="00FC3EA1" w:rsidRDefault="009D7931" w:rsidP="00FC3EA1">
            <w:pPr>
              <w:rPr>
                <w:rFonts w:ascii="Calibri" w:eastAsia="Times New Roman" w:hAnsi="Calibri" w:cs="Calibri"/>
                <w:color w:val="000000"/>
                <w:lang w:eastAsia="en-GB"/>
              </w:rPr>
            </w:pPr>
            <w:r>
              <w:rPr>
                <w:rFonts w:ascii="Calibri" w:eastAsia="Times New Roman" w:hAnsi="Calibri" w:cs="Calibri"/>
                <w:color w:val="000000"/>
                <w:lang w:eastAsia="en-GB"/>
              </w:rPr>
              <w:t>Existing homes</w:t>
            </w:r>
          </w:p>
        </w:tc>
        <w:tc>
          <w:tcPr>
            <w:tcW w:w="3580" w:type="dxa"/>
          </w:tcPr>
          <w:p w14:paraId="15B1B961" w14:textId="1FAAD8E1" w:rsidR="00FC3EA1" w:rsidRDefault="00DB1AF1" w:rsidP="00FC3EA1">
            <w:pPr>
              <w:rPr>
                <w:rFonts w:ascii="Calibri" w:eastAsia="Times New Roman" w:hAnsi="Calibri" w:cs="Calibri"/>
                <w:color w:val="000000"/>
                <w:lang w:eastAsia="en-GB"/>
              </w:rPr>
            </w:pPr>
            <w:r>
              <w:rPr>
                <w:rFonts w:ascii="Calibri" w:eastAsia="Times New Roman" w:hAnsi="Calibri" w:cs="Calibri"/>
                <w:color w:val="000000"/>
                <w:lang w:eastAsia="en-GB"/>
              </w:rPr>
              <w:t>Completed fire safety campaign in 2023.</w:t>
            </w:r>
          </w:p>
        </w:tc>
      </w:tr>
      <w:tr w:rsidR="00EC3425" w14:paraId="22DAD597" w14:textId="77777777" w:rsidTr="009D7931">
        <w:tc>
          <w:tcPr>
            <w:tcW w:w="799" w:type="dxa"/>
            <w:gridSpan w:val="2"/>
          </w:tcPr>
          <w:p w14:paraId="44424915" w14:textId="77777777" w:rsidR="00EC3425" w:rsidRDefault="00EC3425" w:rsidP="00EC3425">
            <w:pPr>
              <w:rPr>
                <w:rFonts w:ascii="Calibri" w:eastAsia="Times New Roman" w:hAnsi="Calibri" w:cs="Calibri"/>
                <w:color w:val="000000"/>
                <w:lang w:eastAsia="en-GB"/>
              </w:rPr>
            </w:pPr>
            <w:r>
              <w:rPr>
                <w:rFonts w:ascii="Calibri" w:eastAsia="Times New Roman" w:hAnsi="Calibri" w:cs="Calibri"/>
                <w:color w:val="000000"/>
                <w:lang w:eastAsia="en-GB"/>
              </w:rPr>
              <w:t>SH4</w:t>
            </w:r>
          </w:p>
        </w:tc>
        <w:tc>
          <w:tcPr>
            <w:tcW w:w="3284" w:type="dxa"/>
          </w:tcPr>
          <w:p w14:paraId="3DFA8ECF" w14:textId="77777777" w:rsidR="00EC3425" w:rsidRDefault="00EC3425" w:rsidP="00EC3425">
            <w:pPr>
              <w:rPr>
                <w:rFonts w:ascii="Calibri" w:hAnsi="Calibri" w:cs="Calibri"/>
                <w:color w:val="000000"/>
              </w:rPr>
            </w:pPr>
            <w:r>
              <w:rPr>
                <w:rFonts w:ascii="Calibri" w:hAnsi="Calibri" w:cs="Calibri"/>
                <w:color w:val="000000"/>
              </w:rPr>
              <w:t>Strengthen the partnership working to include how Kent Housing Group respond collectively to local or national consultations that will impact upon the safety and well-being of Kent and Medway residents</w:t>
            </w:r>
          </w:p>
          <w:p w14:paraId="50456F6B" w14:textId="77777777" w:rsidR="00EC3425" w:rsidRPr="009D1D4B" w:rsidRDefault="00EC3425" w:rsidP="00EC3425">
            <w:pPr>
              <w:rPr>
                <w:rFonts w:ascii="Calibri" w:hAnsi="Calibri" w:cs="Calibri"/>
                <w:color w:val="000000"/>
              </w:rPr>
            </w:pPr>
          </w:p>
        </w:tc>
        <w:tc>
          <w:tcPr>
            <w:tcW w:w="1353" w:type="dxa"/>
          </w:tcPr>
          <w:p w14:paraId="12D03C02" w14:textId="77777777" w:rsidR="00EC3425" w:rsidRDefault="00EC3425" w:rsidP="00EC3425">
            <w:pPr>
              <w:rPr>
                <w:rFonts w:ascii="Calibri" w:eastAsia="Times New Roman" w:hAnsi="Calibri" w:cs="Calibri"/>
                <w:color w:val="000000"/>
                <w:lang w:eastAsia="en-GB"/>
              </w:rPr>
            </w:pPr>
          </w:p>
        </w:tc>
        <w:tc>
          <w:tcPr>
            <w:tcW w:w="3580" w:type="dxa"/>
          </w:tcPr>
          <w:p w14:paraId="599ACDED" w14:textId="5F5D5F83" w:rsidR="00DB1AF1" w:rsidRDefault="00DB1AF1" w:rsidP="00DB1AF1">
            <w:pPr>
              <w:rPr>
                <w:rFonts w:ascii="Calibri" w:eastAsia="Times New Roman" w:hAnsi="Calibri" w:cs="Calibri"/>
                <w:color w:val="000000"/>
                <w:lang w:eastAsia="en-GB"/>
              </w:rPr>
            </w:pPr>
          </w:p>
        </w:tc>
      </w:tr>
      <w:tr w:rsidR="009D1D4B" w14:paraId="250F82E8" w14:textId="77777777" w:rsidTr="009D7931">
        <w:tc>
          <w:tcPr>
            <w:tcW w:w="799" w:type="dxa"/>
            <w:gridSpan w:val="2"/>
          </w:tcPr>
          <w:p w14:paraId="4040C930" w14:textId="77777777" w:rsidR="009D1D4B" w:rsidRDefault="009D7931" w:rsidP="00FC3EA1">
            <w:pPr>
              <w:rPr>
                <w:rFonts w:ascii="Calibri" w:eastAsia="Times New Roman" w:hAnsi="Calibri" w:cs="Calibri"/>
                <w:color w:val="000000"/>
                <w:lang w:eastAsia="en-GB"/>
              </w:rPr>
            </w:pPr>
            <w:r>
              <w:rPr>
                <w:rFonts w:ascii="Calibri" w:eastAsia="Times New Roman" w:hAnsi="Calibri" w:cs="Calibri"/>
                <w:color w:val="000000"/>
                <w:lang w:eastAsia="en-GB"/>
              </w:rPr>
              <w:t>SH6</w:t>
            </w:r>
          </w:p>
        </w:tc>
        <w:tc>
          <w:tcPr>
            <w:tcW w:w="3284" w:type="dxa"/>
          </w:tcPr>
          <w:p w14:paraId="10730D48" w14:textId="77777777" w:rsidR="009D7931" w:rsidRDefault="009D7931" w:rsidP="009D7931">
            <w:pPr>
              <w:rPr>
                <w:rFonts w:ascii="Calibri" w:hAnsi="Calibri" w:cs="Calibri"/>
                <w:color w:val="000000"/>
              </w:rPr>
            </w:pPr>
            <w:r>
              <w:rPr>
                <w:rFonts w:ascii="Calibri" w:hAnsi="Calibri" w:cs="Calibri"/>
                <w:color w:val="000000"/>
              </w:rPr>
              <w:t>Promote and facilitate the sharing of information about services that can be offered to residents to support the countywide and individual health and wellbeing agendas</w:t>
            </w:r>
          </w:p>
          <w:p w14:paraId="28D14AA4" w14:textId="77777777" w:rsidR="009D1D4B" w:rsidRPr="009D1D4B" w:rsidRDefault="009D1D4B" w:rsidP="009D1D4B">
            <w:pPr>
              <w:rPr>
                <w:rFonts w:ascii="Calibri" w:hAnsi="Calibri" w:cs="Calibri"/>
                <w:color w:val="000000"/>
              </w:rPr>
            </w:pPr>
          </w:p>
        </w:tc>
        <w:tc>
          <w:tcPr>
            <w:tcW w:w="1353" w:type="dxa"/>
          </w:tcPr>
          <w:p w14:paraId="002933FF" w14:textId="77777777" w:rsidR="009D1D4B" w:rsidRDefault="009D7931" w:rsidP="00FC3EA1">
            <w:pPr>
              <w:rPr>
                <w:rFonts w:ascii="Calibri" w:eastAsia="Times New Roman" w:hAnsi="Calibri" w:cs="Calibri"/>
                <w:color w:val="000000"/>
                <w:lang w:eastAsia="en-GB"/>
              </w:rPr>
            </w:pPr>
            <w:r>
              <w:rPr>
                <w:rFonts w:ascii="Calibri" w:eastAsia="Times New Roman" w:hAnsi="Calibri" w:cs="Calibri"/>
                <w:color w:val="000000"/>
                <w:lang w:eastAsia="en-GB"/>
              </w:rPr>
              <w:t>Existing homes</w:t>
            </w:r>
          </w:p>
        </w:tc>
        <w:tc>
          <w:tcPr>
            <w:tcW w:w="3580" w:type="dxa"/>
          </w:tcPr>
          <w:p w14:paraId="6FC20264" w14:textId="77777777" w:rsidR="00755E36" w:rsidRDefault="00DB1AF1" w:rsidP="00DB1AF1">
            <w:pPr>
              <w:rPr>
                <w:rFonts w:ascii="Calibri" w:eastAsia="Times New Roman" w:hAnsi="Calibri" w:cs="Calibri"/>
                <w:color w:val="000000"/>
                <w:lang w:eastAsia="en-GB"/>
              </w:rPr>
            </w:pPr>
            <w:r>
              <w:rPr>
                <w:rFonts w:ascii="Calibri" w:eastAsia="Times New Roman" w:hAnsi="Calibri" w:cs="Calibri"/>
                <w:color w:val="000000"/>
                <w:lang w:eastAsia="en-GB"/>
              </w:rPr>
              <w:t xml:space="preserve">Shared </w:t>
            </w:r>
            <w:r w:rsidR="00755E36">
              <w:rPr>
                <w:rFonts w:ascii="Calibri" w:eastAsia="Times New Roman" w:hAnsi="Calibri" w:cs="Calibri"/>
                <w:color w:val="000000"/>
                <w:lang w:eastAsia="en-GB"/>
              </w:rPr>
              <w:t>information on local panels/community MARAC’s where professionals meet to discuss high risk vulnerable adults.</w:t>
            </w:r>
          </w:p>
          <w:p w14:paraId="5B0A8047" w14:textId="04733524" w:rsidR="00DB1AF1" w:rsidRDefault="00755E36" w:rsidP="00DB1AF1">
            <w:pPr>
              <w:rPr>
                <w:rFonts w:ascii="Calibri" w:eastAsia="Times New Roman" w:hAnsi="Calibri" w:cs="Calibri"/>
                <w:color w:val="000000"/>
                <w:lang w:eastAsia="en-GB"/>
              </w:rPr>
            </w:pPr>
            <w:r>
              <w:rPr>
                <w:rFonts w:ascii="Calibri" w:eastAsia="Times New Roman" w:hAnsi="Calibri" w:cs="Calibri"/>
                <w:color w:val="000000"/>
                <w:lang w:eastAsia="en-GB"/>
              </w:rPr>
              <w:t xml:space="preserve">Template shared </w:t>
            </w:r>
            <w:r w:rsidR="00DB1AF1">
              <w:rPr>
                <w:rFonts w:ascii="Calibri" w:eastAsia="Times New Roman" w:hAnsi="Calibri" w:cs="Calibri"/>
                <w:color w:val="000000"/>
                <w:lang w:eastAsia="en-GB"/>
              </w:rPr>
              <w:t>for urgent mental health referral to CMHT</w:t>
            </w:r>
            <w:r>
              <w:rPr>
                <w:rFonts w:ascii="Calibri" w:eastAsia="Times New Roman" w:hAnsi="Calibri" w:cs="Calibri"/>
                <w:color w:val="000000"/>
                <w:lang w:eastAsia="en-GB"/>
              </w:rPr>
              <w:t>.</w:t>
            </w:r>
          </w:p>
          <w:p w14:paraId="4B9DE004" w14:textId="77777777" w:rsidR="00DB1AF1" w:rsidRDefault="00DB1AF1" w:rsidP="00DB1AF1">
            <w:pPr>
              <w:rPr>
                <w:rFonts w:ascii="Calibri" w:eastAsia="Times New Roman" w:hAnsi="Calibri" w:cs="Calibri"/>
                <w:color w:val="000000"/>
                <w:lang w:eastAsia="en-GB"/>
              </w:rPr>
            </w:pPr>
          </w:p>
          <w:p w14:paraId="7DDCF955" w14:textId="607682D9" w:rsidR="00DB1AF1" w:rsidRDefault="00DB1AF1" w:rsidP="00DB1AF1">
            <w:pPr>
              <w:rPr>
                <w:rFonts w:ascii="Calibri" w:eastAsia="Times New Roman" w:hAnsi="Calibri" w:cs="Calibri"/>
                <w:color w:val="000000"/>
                <w:lang w:eastAsia="en-GB"/>
              </w:rPr>
            </w:pPr>
            <w:r>
              <w:rPr>
                <w:rFonts w:ascii="Calibri" w:eastAsia="Times New Roman" w:hAnsi="Calibri" w:cs="Calibri"/>
                <w:color w:val="000000"/>
                <w:lang w:eastAsia="en-GB"/>
              </w:rPr>
              <w:t>Early discussion on group ASB awareness week campaign in July.</w:t>
            </w:r>
          </w:p>
          <w:p w14:paraId="47BC7CE0" w14:textId="77777777" w:rsidR="009D1D4B" w:rsidRDefault="009D1D4B" w:rsidP="00FC3EA1">
            <w:pPr>
              <w:rPr>
                <w:rFonts w:ascii="Calibri" w:eastAsia="Times New Roman" w:hAnsi="Calibri" w:cs="Calibri"/>
                <w:color w:val="000000"/>
                <w:lang w:eastAsia="en-GB"/>
              </w:rPr>
            </w:pPr>
          </w:p>
        </w:tc>
      </w:tr>
      <w:tr w:rsidR="009D7931" w14:paraId="6C1CA2BF" w14:textId="77777777" w:rsidTr="009D7931">
        <w:tc>
          <w:tcPr>
            <w:tcW w:w="799" w:type="dxa"/>
            <w:gridSpan w:val="2"/>
          </w:tcPr>
          <w:p w14:paraId="5F1DC4DD" w14:textId="77777777" w:rsidR="009D7931" w:rsidRDefault="009D7931" w:rsidP="00FC3EA1">
            <w:pPr>
              <w:rPr>
                <w:rFonts w:ascii="Calibri" w:eastAsia="Times New Roman" w:hAnsi="Calibri" w:cs="Calibri"/>
                <w:color w:val="000000"/>
                <w:lang w:eastAsia="en-GB"/>
              </w:rPr>
            </w:pPr>
            <w:r>
              <w:rPr>
                <w:rFonts w:ascii="Calibri" w:eastAsia="Times New Roman" w:hAnsi="Calibri" w:cs="Calibri"/>
                <w:color w:val="000000"/>
                <w:lang w:eastAsia="en-GB"/>
              </w:rPr>
              <w:t>SH7</w:t>
            </w:r>
          </w:p>
        </w:tc>
        <w:tc>
          <w:tcPr>
            <w:tcW w:w="3284" w:type="dxa"/>
          </w:tcPr>
          <w:p w14:paraId="1416302C" w14:textId="77777777" w:rsidR="009D7931" w:rsidRDefault="009D7931" w:rsidP="009D7931">
            <w:pPr>
              <w:rPr>
                <w:rFonts w:ascii="Calibri" w:hAnsi="Calibri" w:cs="Calibri"/>
                <w:color w:val="000000"/>
              </w:rPr>
            </w:pPr>
            <w:r>
              <w:rPr>
                <w:rFonts w:ascii="Calibri" w:hAnsi="Calibri" w:cs="Calibri"/>
                <w:color w:val="000000"/>
              </w:rPr>
              <w:t>Support and provide the opportunity for residents to share more effectively their voice on how their homes are managed and maintained, to provide them with confidence about their overall safety and well being</w:t>
            </w:r>
          </w:p>
          <w:p w14:paraId="3242D250" w14:textId="77777777" w:rsidR="009D7931" w:rsidRDefault="009D7931" w:rsidP="009D7931">
            <w:pPr>
              <w:rPr>
                <w:rFonts w:ascii="Calibri" w:hAnsi="Calibri" w:cs="Calibri"/>
                <w:color w:val="000000"/>
              </w:rPr>
            </w:pPr>
          </w:p>
        </w:tc>
        <w:tc>
          <w:tcPr>
            <w:tcW w:w="1353" w:type="dxa"/>
          </w:tcPr>
          <w:p w14:paraId="488B2818" w14:textId="77777777" w:rsidR="009D7931" w:rsidRDefault="009D7931" w:rsidP="00FC3EA1">
            <w:pPr>
              <w:rPr>
                <w:rFonts w:ascii="Calibri" w:eastAsia="Times New Roman" w:hAnsi="Calibri" w:cs="Calibri"/>
                <w:color w:val="000000"/>
                <w:lang w:eastAsia="en-GB"/>
              </w:rPr>
            </w:pPr>
            <w:r>
              <w:rPr>
                <w:rFonts w:ascii="Calibri" w:eastAsia="Times New Roman" w:hAnsi="Calibri" w:cs="Calibri"/>
                <w:color w:val="000000"/>
                <w:lang w:eastAsia="en-GB"/>
              </w:rPr>
              <w:t>Existing homes</w:t>
            </w:r>
          </w:p>
        </w:tc>
        <w:tc>
          <w:tcPr>
            <w:tcW w:w="3580" w:type="dxa"/>
          </w:tcPr>
          <w:p w14:paraId="23180682" w14:textId="77777777" w:rsidR="00DB1AF1" w:rsidRDefault="00DB1AF1" w:rsidP="00FC3EA1">
            <w:pPr>
              <w:rPr>
                <w:rFonts w:ascii="Calibri" w:eastAsia="Times New Roman" w:hAnsi="Calibri" w:cs="Calibri"/>
                <w:color w:val="000000"/>
                <w:lang w:eastAsia="en-GB"/>
              </w:rPr>
            </w:pPr>
            <w:r>
              <w:rPr>
                <w:rFonts w:ascii="Calibri" w:eastAsia="Times New Roman" w:hAnsi="Calibri" w:cs="Calibri"/>
                <w:color w:val="000000"/>
                <w:lang w:eastAsia="en-GB"/>
              </w:rPr>
              <w:t>Met with KHG EDI group to discuss ways of working together on shared objective.</w:t>
            </w:r>
          </w:p>
          <w:p w14:paraId="4815A642" w14:textId="77777777" w:rsidR="00DB1AF1" w:rsidRDefault="00DB1AF1" w:rsidP="00FC3EA1">
            <w:pPr>
              <w:rPr>
                <w:rFonts w:ascii="Calibri" w:eastAsia="Times New Roman" w:hAnsi="Calibri" w:cs="Calibri"/>
                <w:color w:val="000000"/>
                <w:lang w:eastAsia="en-GB"/>
              </w:rPr>
            </w:pPr>
          </w:p>
          <w:p w14:paraId="1D8E032D" w14:textId="609FFF86" w:rsidR="009D7931" w:rsidRDefault="00DB1AF1" w:rsidP="00FC3EA1">
            <w:pPr>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r>
      <w:tr w:rsidR="000B7DE5" w14:paraId="5CAE25E1" w14:textId="77777777" w:rsidTr="003637E9">
        <w:tc>
          <w:tcPr>
            <w:tcW w:w="9016" w:type="dxa"/>
            <w:gridSpan w:val="5"/>
            <w:shd w:val="clear" w:color="auto" w:fill="9CC2E5" w:themeFill="accent1" w:themeFillTint="99"/>
          </w:tcPr>
          <w:p w14:paraId="219C6B94" w14:textId="77777777" w:rsidR="000B7DE5" w:rsidRPr="003637E9" w:rsidRDefault="002437CB" w:rsidP="003637E9">
            <w:pPr>
              <w:tabs>
                <w:tab w:val="left" w:pos="2430"/>
              </w:tabs>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0B7DE5" w:rsidRPr="003637E9">
              <w:rPr>
                <w:rFonts w:ascii="Calibri" w:eastAsia="Times New Roman" w:hAnsi="Calibri" w:cs="Calibri"/>
                <w:b/>
                <w:color w:val="000000"/>
                <w:lang w:eastAsia="en-GB"/>
              </w:rPr>
              <w:t xml:space="preserve">Infrastructure First </w:t>
            </w:r>
            <w:r w:rsidR="009D7931">
              <w:rPr>
                <w:rFonts w:ascii="Calibri" w:eastAsia="Times New Roman" w:hAnsi="Calibri" w:cs="Calibri"/>
                <w:b/>
                <w:color w:val="000000"/>
                <w:lang w:eastAsia="en-GB"/>
              </w:rPr>
              <w:t xml:space="preserve">- </w:t>
            </w:r>
            <w:r w:rsidR="009D7931">
              <w:rPr>
                <w:b/>
              </w:rPr>
              <w:t>possibly no actions for this sub group</w:t>
            </w:r>
          </w:p>
          <w:p w14:paraId="08D7DFB7" w14:textId="77777777" w:rsidR="003637E9" w:rsidRDefault="003637E9" w:rsidP="003637E9">
            <w:pPr>
              <w:tabs>
                <w:tab w:val="left" w:pos="2430"/>
              </w:tabs>
              <w:rPr>
                <w:rFonts w:ascii="Calibri" w:eastAsia="Times New Roman" w:hAnsi="Calibri" w:cs="Calibri"/>
                <w:color w:val="000000"/>
                <w:lang w:eastAsia="en-GB"/>
              </w:rPr>
            </w:pPr>
          </w:p>
        </w:tc>
      </w:tr>
      <w:tr w:rsidR="003637E9" w14:paraId="7D728A4A" w14:textId="77777777" w:rsidTr="003637E9">
        <w:tc>
          <w:tcPr>
            <w:tcW w:w="9016" w:type="dxa"/>
            <w:gridSpan w:val="5"/>
            <w:shd w:val="clear" w:color="auto" w:fill="9CC2E5" w:themeFill="accent1" w:themeFillTint="99"/>
          </w:tcPr>
          <w:p w14:paraId="1FEFFDA2" w14:textId="66BA5380" w:rsidR="003637E9" w:rsidRDefault="002437CB" w:rsidP="003637E9">
            <w:pPr>
              <w:rPr>
                <w:rFonts w:ascii="Calibri" w:eastAsia="Times New Roman" w:hAnsi="Calibri" w:cs="Calibri"/>
                <w:b/>
                <w:color w:val="000000"/>
                <w:lang w:eastAsia="en-GB"/>
              </w:rPr>
            </w:pPr>
            <w:r w:rsidRPr="00FC3EA1">
              <w:rPr>
                <w:b/>
              </w:rPr>
              <w:lastRenderedPageBreak/>
              <w:t>Theme</w:t>
            </w:r>
            <w:r w:rsidRPr="003637E9">
              <w:rPr>
                <w:rFonts w:ascii="Calibri" w:eastAsia="Times New Roman" w:hAnsi="Calibri" w:cs="Calibri"/>
                <w:b/>
                <w:color w:val="000000"/>
                <w:lang w:eastAsia="en-GB"/>
              </w:rPr>
              <w:t xml:space="preserve"> </w:t>
            </w:r>
            <w:r w:rsidR="003637E9" w:rsidRPr="003637E9">
              <w:rPr>
                <w:rFonts w:ascii="Calibri" w:eastAsia="Times New Roman" w:hAnsi="Calibri" w:cs="Calibri"/>
                <w:b/>
                <w:color w:val="000000"/>
                <w:lang w:eastAsia="en-GB"/>
              </w:rPr>
              <w:t>Accelerating Housing Delivery</w:t>
            </w:r>
            <w:r w:rsidR="009D7931">
              <w:rPr>
                <w:rFonts w:ascii="Calibri" w:eastAsia="Times New Roman" w:hAnsi="Calibri" w:cs="Calibri"/>
                <w:b/>
                <w:color w:val="000000"/>
                <w:lang w:eastAsia="en-GB"/>
              </w:rPr>
              <w:t xml:space="preserve">- </w:t>
            </w:r>
          </w:p>
          <w:p w14:paraId="54E201F9" w14:textId="77777777" w:rsidR="003637E9" w:rsidRPr="003637E9" w:rsidRDefault="003637E9" w:rsidP="003637E9">
            <w:pPr>
              <w:rPr>
                <w:rFonts w:ascii="Calibri" w:eastAsia="Times New Roman" w:hAnsi="Calibri" w:cs="Calibri"/>
                <w:b/>
                <w:color w:val="000000"/>
                <w:lang w:eastAsia="en-GB"/>
              </w:rPr>
            </w:pPr>
          </w:p>
        </w:tc>
      </w:tr>
      <w:tr w:rsidR="003637E9" w14:paraId="5AB387EF" w14:textId="77777777" w:rsidTr="003637E9">
        <w:tc>
          <w:tcPr>
            <w:tcW w:w="9016" w:type="dxa"/>
            <w:gridSpan w:val="5"/>
            <w:shd w:val="clear" w:color="auto" w:fill="9CC2E5" w:themeFill="accent1" w:themeFillTint="99"/>
          </w:tcPr>
          <w:p w14:paraId="2E303B1C" w14:textId="77777777" w:rsidR="003637E9" w:rsidRDefault="002437CB" w:rsidP="003637E9">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3637E9" w:rsidRPr="003637E9">
              <w:rPr>
                <w:rFonts w:ascii="Calibri" w:eastAsia="Times New Roman" w:hAnsi="Calibri" w:cs="Calibri"/>
                <w:b/>
                <w:color w:val="000000"/>
                <w:lang w:eastAsia="en-GB"/>
              </w:rPr>
              <w:t>Affordability</w:t>
            </w:r>
          </w:p>
          <w:p w14:paraId="0B586F53" w14:textId="77777777" w:rsidR="003637E9" w:rsidRPr="003637E9" w:rsidRDefault="003637E9" w:rsidP="003637E9">
            <w:pPr>
              <w:rPr>
                <w:rFonts w:ascii="Calibri" w:eastAsia="Times New Roman" w:hAnsi="Calibri" w:cs="Calibri"/>
                <w:b/>
                <w:color w:val="000000"/>
                <w:lang w:eastAsia="en-GB"/>
              </w:rPr>
            </w:pPr>
          </w:p>
        </w:tc>
      </w:tr>
      <w:tr w:rsidR="00E9038B" w14:paraId="77536371" w14:textId="77777777" w:rsidTr="00514591">
        <w:tc>
          <w:tcPr>
            <w:tcW w:w="704" w:type="dxa"/>
            <w:shd w:val="clear" w:color="auto" w:fill="auto"/>
          </w:tcPr>
          <w:p w14:paraId="3472D249" w14:textId="77777777" w:rsidR="00E9038B" w:rsidRPr="00E9038B" w:rsidRDefault="00E9038B" w:rsidP="003637E9">
            <w:pPr>
              <w:rPr>
                <w:b/>
              </w:rPr>
            </w:pPr>
            <w:r w:rsidRPr="00E9038B">
              <w:rPr>
                <w:b/>
              </w:rPr>
              <w:t>A2</w:t>
            </w:r>
          </w:p>
        </w:tc>
        <w:tc>
          <w:tcPr>
            <w:tcW w:w="3379" w:type="dxa"/>
            <w:gridSpan w:val="2"/>
            <w:shd w:val="clear" w:color="auto" w:fill="auto"/>
          </w:tcPr>
          <w:p w14:paraId="33FA1B07" w14:textId="77777777" w:rsidR="00E9038B" w:rsidRPr="00C15D68" w:rsidRDefault="00E9038B" w:rsidP="00514591">
            <w:pPr>
              <w:rPr>
                <w:rFonts w:ascii="Calibri" w:hAnsi="Calibri" w:cs="Calibri"/>
              </w:rPr>
            </w:pPr>
            <w:r w:rsidRPr="00E9038B">
              <w:t>Explore what housing tenure and type/products are appropriate to meet diverse housing need, and how support can be provided to successfully sustain a tenancy</w:t>
            </w:r>
          </w:p>
        </w:tc>
        <w:tc>
          <w:tcPr>
            <w:tcW w:w="1353" w:type="dxa"/>
            <w:shd w:val="clear" w:color="auto" w:fill="auto"/>
          </w:tcPr>
          <w:p w14:paraId="1CEBB396" w14:textId="77777777" w:rsidR="00E9038B" w:rsidRPr="00C15D68" w:rsidRDefault="00E9038B" w:rsidP="003637E9">
            <w:r w:rsidRPr="00E9038B">
              <w:t>For tenancy sustainment</w:t>
            </w:r>
          </w:p>
        </w:tc>
        <w:tc>
          <w:tcPr>
            <w:tcW w:w="3580" w:type="dxa"/>
            <w:shd w:val="clear" w:color="auto" w:fill="auto"/>
          </w:tcPr>
          <w:p w14:paraId="19554561" w14:textId="77777777" w:rsidR="00E9038B" w:rsidRPr="00E9038B" w:rsidRDefault="00E9038B" w:rsidP="003637E9">
            <w:pPr>
              <w:rPr>
                <w:b/>
              </w:rPr>
            </w:pPr>
          </w:p>
        </w:tc>
      </w:tr>
      <w:tr w:rsidR="00514591" w14:paraId="25683806" w14:textId="77777777" w:rsidTr="00514591">
        <w:tc>
          <w:tcPr>
            <w:tcW w:w="704" w:type="dxa"/>
            <w:shd w:val="clear" w:color="auto" w:fill="auto"/>
          </w:tcPr>
          <w:p w14:paraId="551AD1A6" w14:textId="77777777" w:rsidR="00514591" w:rsidRPr="00E9038B" w:rsidRDefault="00514591" w:rsidP="003637E9">
            <w:pPr>
              <w:rPr>
                <w:b/>
              </w:rPr>
            </w:pPr>
            <w:r w:rsidRPr="00E9038B">
              <w:rPr>
                <w:b/>
              </w:rPr>
              <w:t>A5</w:t>
            </w:r>
          </w:p>
        </w:tc>
        <w:tc>
          <w:tcPr>
            <w:tcW w:w="3379" w:type="dxa"/>
            <w:gridSpan w:val="2"/>
            <w:shd w:val="clear" w:color="auto" w:fill="auto"/>
          </w:tcPr>
          <w:p w14:paraId="00E9A0DB" w14:textId="77777777" w:rsidR="00514591" w:rsidRPr="00C15D68" w:rsidRDefault="00514591" w:rsidP="00514591">
            <w:pPr>
              <w:rPr>
                <w:rFonts w:ascii="Calibri" w:hAnsi="Calibri" w:cs="Calibri"/>
              </w:rPr>
            </w:pPr>
            <w:r w:rsidRPr="00C15D68">
              <w:rPr>
                <w:rFonts w:ascii="Calibri" w:hAnsi="Calibri" w:cs="Calibri"/>
              </w:rPr>
              <w:t>Explore new models and pathways to support vulnerable members of the community, including sharing learning and best practice regarding Housing First pilots</w:t>
            </w:r>
          </w:p>
          <w:p w14:paraId="1DCC92FB" w14:textId="77777777" w:rsidR="00514591" w:rsidRPr="00E9038B" w:rsidRDefault="00514591" w:rsidP="003637E9">
            <w:pPr>
              <w:rPr>
                <w:b/>
              </w:rPr>
            </w:pPr>
          </w:p>
        </w:tc>
        <w:tc>
          <w:tcPr>
            <w:tcW w:w="1353" w:type="dxa"/>
            <w:shd w:val="clear" w:color="auto" w:fill="auto"/>
          </w:tcPr>
          <w:p w14:paraId="4C2F5B1C" w14:textId="77777777" w:rsidR="00514591" w:rsidRPr="00E9038B" w:rsidRDefault="00514591" w:rsidP="003637E9">
            <w:pPr>
              <w:rPr>
                <w:b/>
              </w:rPr>
            </w:pPr>
          </w:p>
        </w:tc>
        <w:tc>
          <w:tcPr>
            <w:tcW w:w="3580" w:type="dxa"/>
            <w:shd w:val="clear" w:color="auto" w:fill="auto"/>
          </w:tcPr>
          <w:p w14:paraId="4FC721CB" w14:textId="77777777" w:rsidR="00514591" w:rsidRPr="00E9038B" w:rsidRDefault="00514591" w:rsidP="003637E9">
            <w:pPr>
              <w:rPr>
                <w:b/>
              </w:rPr>
            </w:pPr>
          </w:p>
        </w:tc>
      </w:tr>
      <w:tr w:rsidR="00156C03" w14:paraId="0CFB4011" w14:textId="77777777" w:rsidTr="00156C03">
        <w:tc>
          <w:tcPr>
            <w:tcW w:w="9016" w:type="dxa"/>
            <w:gridSpan w:val="5"/>
            <w:shd w:val="clear" w:color="auto" w:fill="auto"/>
          </w:tcPr>
          <w:p w14:paraId="2A39F867" w14:textId="77777777" w:rsidR="00156C03" w:rsidRDefault="00156C03" w:rsidP="00156C03">
            <w:r w:rsidRPr="00C851EC">
              <w:rPr>
                <w:rFonts w:ascii="Calibri" w:eastAsia="Times New Roman" w:hAnsi="Calibri" w:cs="Calibri"/>
                <w:b/>
                <w:color w:val="000000"/>
                <w:lang w:eastAsia="en-GB"/>
              </w:rPr>
              <w:t>Other important matters since last update</w:t>
            </w:r>
            <w:r w:rsidR="003F1C84">
              <w:rPr>
                <w:rFonts w:ascii="Calibri" w:eastAsia="Times New Roman" w:hAnsi="Calibri" w:cs="Calibri"/>
                <w:b/>
                <w:color w:val="000000"/>
                <w:lang w:eastAsia="en-GB"/>
              </w:rPr>
              <w:t xml:space="preserve"> including any cross sub-group working</w:t>
            </w:r>
            <w:r w:rsidRPr="00C851EC">
              <w:rPr>
                <w:rFonts w:ascii="Calibri" w:eastAsia="Times New Roman" w:hAnsi="Calibri" w:cs="Calibri"/>
                <w:b/>
                <w:color w:val="000000"/>
                <w:lang w:eastAsia="en-GB"/>
              </w:rPr>
              <w:t>;</w:t>
            </w:r>
          </w:p>
        </w:tc>
      </w:tr>
    </w:tbl>
    <w:p w14:paraId="1DD58BF1" w14:textId="77777777" w:rsidR="00FC3EA1" w:rsidRPr="00FC3EA1" w:rsidRDefault="00FC3EA1">
      <w:pPr>
        <w:rPr>
          <w:b/>
        </w:rPr>
      </w:pPr>
    </w:p>
    <w:sectPr w:rsidR="00FC3EA1" w:rsidRPr="00FC3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A1"/>
    <w:rsid w:val="00024DD4"/>
    <w:rsid w:val="000A4A29"/>
    <w:rsid w:val="000B7DE5"/>
    <w:rsid w:val="00156C03"/>
    <w:rsid w:val="002437CB"/>
    <w:rsid w:val="003637E9"/>
    <w:rsid w:val="003F1C84"/>
    <w:rsid w:val="00514591"/>
    <w:rsid w:val="00755E36"/>
    <w:rsid w:val="009845D3"/>
    <w:rsid w:val="009D1D4B"/>
    <w:rsid w:val="009D7931"/>
    <w:rsid w:val="00B66F0D"/>
    <w:rsid w:val="00C15D68"/>
    <w:rsid w:val="00DB1AF1"/>
    <w:rsid w:val="00E9038B"/>
    <w:rsid w:val="00EC3425"/>
    <w:rsid w:val="00FC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E811"/>
  <w15:chartTrackingRefBased/>
  <w15:docId w15:val="{51599613-F317-480C-A619-CD6B8CD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0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2197">
      <w:bodyDiv w:val="1"/>
      <w:marLeft w:val="0"/>
      <w:marRight w:val="0"/>
      <w:marTop w:val="0"/>
      <w:marBottom w:val="0"/>
      <w:divBdr>
        <w:top w:val="none" w:sz="0" w:space="0" w:color="auto"/>
        <w:left w:val="none" w:sz="0" w:space="0" w:color="auto"/>
        <w:bottom w:val="none" w:sz="0" w:space="0" w:color="auto"/>
        <w:right w:val="none" w:sz="0" w:space="0" w:color="auto"/>
      </w:divBdr>
    </w:div>
    <w:div w:id="195511619">
      <w:bodyDiv w:val="1"/>
      <w:marLeft w:val="0"/>
      <w:marRight w:val="0"/>
      <w:marTop w:val="0"/>
      <w:marBottom w:val="0"/>
      <w:divBdr>
        <w:top w:val="none" w:sz="0" w:space="0" w:color="auto"/>
        <w:left w:val="none" w:sz="0" w:space="0" w:color="auto"/>
        <w:bottom w:val="none" w:sz="0" w:space="0" w:color="auto"/>
        <w:right w:val="none" w:sz="0" w:space="0" w:color="auto"/>
      </w:divBdr>
    </w:div>
    <w:div w:id="351997676">
      <w:bodyDiv w:val="1"/>
      <w:marLeft w:val="0"/>
      <w:marRight w:val="0"/>
      <w:marTop w:val="0"/>
      <w:marBottom w:val="0"/>
      <w:divBdr>
        <w:top w:val="none" w:sz="0" w:space="0" w:color="auto"/>
        <w:left w:val="none" w:sz="0" w:space="0" w:color="auto"/>
        <w:bottom w:val="none" w:sz="0" w:space="0" w:color="auto"/>
        <w:right w:val="none" w:sz="0" w:space="0" w:color="auto"/>
      </w:divBdr>
    </w:div>
    <w:div w:id="356127026">
      <w:bodyDiv w:val="1"/>
      <w:marLeft w:val="0"/>
      <w:marRight w:val="0"/>
      <w:marTop w:val="0"/>
      <w:marBottom w:val="0"/>
      <w:divBdr>
        <w:top w:val="none" w:sz="0" w:space="0" w:color="auto"/>
        <w:left w:val="none" w:sz="0" w:space="0" w:color="auto"/>
        <w:bottom w:val="none" w:sz="0" w:space="0" w:color="auto"/>
        <w:right w:val="none" w:sz="0" w:space="0" w:color="auto"/>
      </w:divBdr>
    </w:div>
    <w:div w:id="444346271">
      <w:bodyDiv w:val="1"/>
      <w:marLeft w:val="0"/>
      <w:marRight w:val="0"/>
      <w:marTop w:val="0"/>
      <w:marBottom w:val="0"/>
      <w:divBdr>
        <w:top w:val="none" w:sz="0" w:space="0" w:color="auto"/>
        <w:left w:val="none" w:sz="0" w:space="0" w:color="auto"/>
        <w:bottom w:val="none" w:sz="0" w:space="0" w:color="auto"/>
        <w:right w:val="none" w:sz="0" w:space="0" w:color="auto"/>
      </w:divBdr>
    </w:div>
    <w:div w:id="459303455">
      <w:bodyDiv w:val="1"/>
      <w:marLeft w:val="0"/>
      <w:marRight w:val="0"/>
      <w:marTop w:val="0"/>
      <w:marBottom w:val="0"/>
      <w:divBdr>
        <w:top w:val="none" w:sz="0" w:space="0" w:color="auto"/>
        <w:left w:val="none" w:sz="0" w:space="0" w:color="auto"/>
        <w:bottom w:val="none" w:sz="0" w:space="0" w:color="auto"/>
        <w:right w:val="none" w:sz="0" w:space="0" w:color="auto"/>
      </w:divBdr>
    </w:div>
    <w:div w:id="521894955">
      <w:bodyDiv w:val="1"/>
      <w:marLeft w:val="0"/>
      <w:marRight w:val="0"/>
      <w:marTop w:val="0"/>
      <w:marBottom w:val="0"/>
      <w:divBdr>
        <w:top w:val="none" w:sz="0" w:space="0" w:color="auto"/>
        <w:left w:val="none" w:sz="0" w:space="0" w:color="auto"/>
        <w:bottom w:val="none" w:sz="0" w:space="0" w:color="auto"/>
        <w:right w:val="none" w:sz="0" w:space="0" w:color="auto"/>
      </w:divBdr>
    </w:div>
    <w:div w:id="774905133">
      <w:bodyDiv w:val="1"/>
      <w:marLeft w:val="0"/>
      <w:marRight w:val="0"/>
      <w:marTop w:val="0"/>
      <w:marBottom w:val="0"/>
      <w:divBdr>
        <w:top w:val="none" w:sz="0" w:space="0" w:color="auto"/>
        <w:left w:val="none" w:sz="0" w:space="0" w:color="auto"/>
        <w:bottom w:val="none" w:sz="0" w:space="0" w:color="auto"/>
        <w:right w:val="none" w:sz="0" w:space="0" w:color="auto"/>
      </w:divBdr>
    </w:div>
    <w:div w:id="779372639">
      <w:bodyDiv w:val="1"/>
      <w:marLeft w:val="0"/>
      <w:marRight w:val="0"/>
      <w:marTop w:val="0"/>
      <w:marBottom w:val="0"/>
      <w:divBdr>
        <w:top w:val="none" w:sz="0" w:space="0" w:color="auto"/>
        <w:left w:val="none" w:sz="0" w:space="0" w:color="auto"/>
        <w:bottom w:val="none" w:sz="0" w:space="0" w:color="auto"/>
        <w:right w:val="none" w:sz="0" w:space="0" w:color="auto"/>
      </w:divBdr>
    </w:div>
    <w:div w:id="825047415">
      <w:bodyDiv w:val="1"/>
      <w:marLeft w:val="0"/>
      <w:marRight w:val="0"/>
      <w:marTop w:val="0"/>
      <w:marBottom w:val="0"/>
      <w:divBdr>
        <w:top w:val="none" w:sz="0" w:space="0" w:color="auto"/>
        <w:left w:val="none" w:sz="0" w:space="0" w:color="auto"/>
        <w:bottom w:val="none" w:sz="0" w:space="0" w:color="auto"/>
        <w:right w:val="none" w:sz="0" w:space="0" w:color="auto"/>
      </w:divBdr>
    </w:div>
    <w:div w:id="932664839">
      <w:bodyDiv w:val="1"/>
      <w:marLeft w:val="0"/>
      <w:marRight w:val="0"/>
      <w:marTop w:val="0"/>
      <w:marBottom w:val="0"/>
      <w:divBdr>
        <w:top w:val="none" w:sz="0" w:space="0" w:color="auto"/>
        <w:left w:val="none" w:sz="0" w:space="0" w:color="auto"/>
        <w:bottom w:val="none" w:sz="0" w:space="0" w:color="auto"/>
        <w:right w:val="none" w:sz="0" w:space="0" w:color="auto"/>
      </w:divBdr>
    </w:div>
    <w:div w:id="965281840">
      <w:bodyDiv w:val="1"/>
      <w:marLeft w:val="0"/>
      <w:marRight w:val="0"/>
      <w:marTop w:val="0"/>
      <w:marBottom w:val="0"/>
      <w:divBdr>
        <w:top w:val="none" w:sz="0" w:space="0" w:color="auto"/>
        <w:left w:val="none" w:sz="0" w:space="0" w:color="auto"/>
        <w:bottom w:val="none" w:sz="0" w:space="0" w:color="auto"/>
        <w:right w:val="none" w:sz="0" w:space="0" w:color="auto"/>
      </w:divBdr>
    </w:div>
    <w:div w:id="1016617242">
      <w:bodyDiv w:val="1"/>
      <w:marLeft w:val="0"/>
      <w:marRight w:val="0"/>
      <w:marTop w:val="0"/>
      <w:marBottom w:val="0"/>
      <w:divBdr>
        <w:top w:val="none" w:sz="0" w:space="0" w:color="auto"/>
        <w:left w:val="none" w:sz="0" w:space="0" w:color="auto"/>
        <w:bottom w:val="none" w:sz="0" w:space="0" w:color="auto"/>
        <w:right w:val="none" w:sz="0" w:space="0" w:color="auto"/>
      </w:divBdr>
    </w:div>
    <w:div w:id="1171145907">
      <w:bodyDiv w:val="1"/>
      <w:marLeft w:val="0"/>
      <w:marRight w:val="0"/>
      <w:marTop w:val="0"/>
      <w:marBottom w:val="0"/>
      <w:divBdr>
        <w:top w:val="none" w:sz="0" w:space="0" w:color="auto"/>
        <w:left w:val="none" w:sz="0" w:space="0" w:color="auto"/>
        <w:bottom w:val="none" w:sz="0" w:space="0" w:color="auto"/>
        <w:right w:val="none" w:sz="0" w:space="0" w:color="auto"/>
      </w:divBdr>
    </w:div>
    <w:div w:id="1239243723">
      <w:bodyDiv w:val="1"/>
      <w:marLeft w:val="0"/>
      <w:marRight w:val="0"/>
      <w:marTop w:val="0"/>
      <w:marBottom w:val="0"/>
      <w:divBdr>
        <w:top w:val="none" w:sz="0" w:space="0" w:color="auto"/>
        <w:left w:val="none" w:sz="0" w:space="0" w:color="auto"/>
        <w:bottom w:val="none" w:sz="0" w:space="0" w:color="auto"/>
        <w:right w:val="none" w:sz="0" w:space="0" w:color="auto"/>
      </w:divBdr>
    </w:div>
    <w:div w:id="1383169256">
      <w:bodyDiv w:val="1"/>
      <w:marLeft w:val="0"/>
      <w:marRight w:val="0"/>
      <w:marTop w:val="0"/>
      <w:marBottom w:val="0"/>
      <w:divBdr>
        <w:top w:val="none" w:sz="0" w:space="0" w:color="auto"/>
        <w:left w:val="none" w:sz="0" w:space="0" w:color="auto"/>
        <w:bottom w:val="none" w:sz="0" w:space="0" w:color="auto"/>
        <w:right w:val="none" w:sz="0" w:space="0" w:color="auto"/>
      </w:divBdr>
    </w:div>
    <w:div w:id="1684093577">
      <w:bodyDiv w:val="1"/>
      <w:marLeft w:val="0"/>
      <w:marRight w:val="0"/>
      <w:marTop w:val="0"/>
      <w:marBottom w:val="0"/>
      <w:divBdr>
        <w:top w:val="none" w:sz="0" w:space="0" w:color="auto"/>
        <w:left w:val="none" w:sz="0" w:space="0" w:color="auto"/>
        <w:bottom w:val="none" w:sz="0" w:space="0" w:color="auto"/>
        <w:right w:val="none" w:sz="0" w:space="0" w:color="auto"/>
      </w:divBdr>
    </w:div>
    <w:div w:id="1699433383">
      <w:bodyDiv w:val="1"/>
      <w:marLeft w:val="0"/>
      <w:marRight w:val="0"/>
      <w:marTop w:val="0"/>
      <w:marBottom w:val="0"/>
      <w:divBdr>
        <w:top w:val="none" w:sz="0" w:space="0" w:color="auto"/>
        <w:left w:val="none" w:sz="0" w:space="0" w:color="auto"/>
        <w:bottom w:val="none" w:sz="0" w:space="0" w:color="auto"/>
        <w:right w:val="none" w:sz="0" w:space="0" w:color="auto"/>
      </w:divBdr>
    </w:div>
    <w:div w:id="1811096430">
      <w:bodyDiv w:val="1"/>
      <w:marLeft w:val="0"/>
      <w:marRight w:val="0"/>
      <w:marTop w:val="0"/>
      <w:marBottom w:val="0"/>
      <w:divBdr>
        <w:top w:val="none" w:sz="0" w:space="0" w:color="auto"/>
        <w:left w:val="none" w:sz="0" w:space="0" w:color="auto"/>
        <w:bottom w:val="none" w:sz="0" w:space="0" w:color="auto"/>
        <w:right w:val="none" w:sz="0" w:space="0" w:color="auto"/>
      </w:divBdr>
    </w:div>
    <w:div w:id="1846355605">
      <w:bodyDiv w:val="1"/>
      <w:marLeft w:val="0"/>
      <w:marRight w:val="0"/>
      <w:marTop w:val="0"/>
      <w:marBottom w:val="0"/>
      <w:divBdr>
        <w:top w:val="none" w:sz="0" w:space="0" w:color="auto"/>
        <w:left w:val="none" w:sz="0" w:space="0" w:color="auto"/>
        <w:bottom w:val="none" w:sz="0" w:space="0" w:color="auto"/>
        <w:right w:val="none" w:sz="0" w:space="0" w:color="auto"/>
      </w:divBdr>
    </w:div>
    <w:div w:id="1851485170">
      <w:bodyDiv w:val="1"/>
      <w:marLeft w:val="0"/>
      <w:marRight w:val="0"/>
      <w:marTop w:val="0"/>
      <w:marBottom w:val="0"/>
      <w:divBdr>
        <w:top w:val="none" w:sz="0" w:space="0" w:color="auto"/>
        <w:left w:val="none" w:sz="0" w:space="0" w:color="auto"/>
        <w:bottom w:val="none" w:sz="0" w:space="0" w:color="auto"/>
        <w:right w:val="none" w:sz="0" w:space="0" w:color="auto"/>
      </w:divBdr>
    </w:div>
    <w:div w:id="1859998758">
      <w:bodyDiv w:val="1"/>
      <w:marLeft w:val="0"/>
      <w:marRight w:val="0"/>
      <w:marTop w:val="0"/>
      <w:marBottom w:val="0"/>
      <w:divBdr>
        <w:top w:val="none" w:sz="0" w:space="0" w:color="auto"/>
        <w:left w:val="none" w:sz="0" w:space="0" w:color="auto"/>
        <w:bottom w:val="none" w:sz="0" w:space="0" w:color="auto"/>
        <w:right w:val="none" w:sz="0" w:space="0" w:color="auto"/>
      </w:divBdr>
    </w:div>
    <w:div w:id="1936399884">
      <w:bodyDiv w:val="1"/>
      <w:marLeft w:val="0"/>
      <w:marRight w:val="0"/>
      <w:marTop w:val="0"/>
      <w:marBottom w:val="0"/>
      <w:divBdr>
        <w:top w:val="none" w:sz="0" w:space="0" w:color="auto"/>
        <w:left w:val="none" w:sz="0" w:space="0" w:color="auto"/>
        <w:bottom w:val="none" w:sz="0" w:space="0" w:color="auto"/>
        <w:right w:val="none" w:sz="0" w:space="0" w:color="auto"/>
      </w:divBdr>
    </w:div>
    <w:div w:id="1937596033">
      <w:bodyDiv w:val="1"/>
      <w:marLeft w:val="0"/>
      <w:marRight w:val="0"/>
      <w:marTop w:val="0"/>
      <w:marBottom w:val="0"/>
      <w:divBdr>
        <w:top w:val="none" w:sz="0" w:space="0" w:color="auto"/>
        <w:left w:val="none" w:sz="0" w:space="0" w:color="auto"/>
        <w:bottom w:val="none" w:sz="0" w:space="0" w:color="auto"/>
        <w:right w:val="none" w:sz="0" w:space="0" w:color="auto"/>
      </w:divBdr>
    </w:div>
    <w:div w:id="20170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2</cp:revision>
  <dcterms:created xsi:type="dcterms:W3CDTF">2024-03-22T15:01:00Z</dcterms:created>
  <dcterms:modified xsi:type="dcterms:W3CDTF">2024-03-22T15:01:00Z</dcterms:modified>
</cp:coreProperties>
</file>