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22A13" w14:textId="77777777" w:rsidR="00FC3EA1" w:rsidRPr="000B7DE5" w:rsidRDefault="003B57A9" w:rsidP="00FC3EA1">
      <w:bookmarkStart w:id="0" w:name="_GoBack"/>
      <w:bookmarkEnd w:id="0"/>
      <w:r>
        <w:t>Kent Home choice Operational</w:t>
      </w:r>
      <w:r w:rsidR="007E2F0C">
        <w:t xml:space="preserve"> Group</w:t>
      </w:r>
      <w:r w:rsidR="00FC3EA1">
        <w:t xml:space="preserve"> </w:t>
      </w:r>
    </w:p>
    <w:tbl>
      <w:tblPr>
        <w:tblStyle w:val="TableGrid"/>
        <w:tblW w:w="0" w:type="auto"/>
        <w:tblLook w:val="04A0" w:firstRow="1" w:lastRow="0" w:firstColumn="1" w:lastColumn="0" w:noHBand="0" w:noVBand="1"/>
      </w:tblPr>
      <w:tblGrid>
        <w:gridCol w:w="704"/>
        <w:gridCol w:w="95"/>
        <w:gridCol w:w="3284"/>
        <w:gridCol w:w="1353"/>
        <w:gridCol w:w="3580"/>
      </w:tblGrid>
      <w:tr w:rsidR="00156C03" w14:paraId="5EBAC85B" w14:textId="77777777" w:rsidTr="00156C03">
        <w:tc>
          <w:tcPr>
            <w:tcW w:w="9016" w:type="dxa"/>
            <w:gridSpan w:val="5"/>
            <w:shd w:val="clear" w:color="auto" w:fill="9CC2E5" w:themeFill="accent1" w:themeFillTint="99"/>
          </w:tcPr>
          <w:p w14:paraId="4904F86A" w14:textId="4A06F06A" w:rsidR="00156C03" w:rsidRDefault="00156C03" w:rsidP="00FC3EA1">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r w:rsidR="00747387">
              <w:rPr>
                <w:rFonts w:ascii="Calibri" w:eastAsia="Times New Roman" w:hAnsi="Calibri" w:cs="Calibri"/>
                <w:b/>
                <w:color w:val="000000"/>
                <w:lang w:eastAsia="en-GB"/>
              </w:rPr>
              <w:t xml:space="preserve"> </w:t>
            </w:r>
            <w:r w:rsidR="008B7A77">
              <w:rPr>
                <w:rFonts w:ascii="Calibri" w:eastAsia="Times New Roman" w:hAnsi="Calibri" w:cs="Calibri"/>
                <w:b/>
                <w:color w:val="000000"/>
                <w:lang w:eastAsia="en-GB"/>
              </w:rPr>
              <w:t>16 March 2024</w:t>
            </w:r>
          </w:p>
        </w:tc>
      </w:tr>
      <w:tr w:rsidR="00FC3EA1" w14:paraId="71D8165E" w14:textId="77777777" w:rsidTr="009D7931">
        <w:tc>
          <w:tcPr>
            <w:tcW w:w="799" w:type="dxa"/>
            <w:gridSpan w:val="2"/>
          </w:tcPr>
          <w:p w14:paraId="3EA540B2" w14:textId="77777777" w:rsidR="00FC3EA1" w:rsidRDefault="0038692C" w:rsidP="00FC3EA1">
            <w:pPr>
              <w:rPr>
                <w:rFonts w:ascii="Calibri" w:eastAsia="Times New Roman" w:hAnsi="Calibri" w:cs="Calibri"/>
                <w:color w:val="000000"/>
                <w:lang w:eastAsia="en-GB"/>
              </w:rPr>
            </w:pPr>
            <w:r>
              <w:rPr>
                <w:rFonts w:ascii="Calibri" w:eastAsia="Times New Roman" w:hAnsi="Calibri" w:cs="Calibri"/>
                <w:color w:val="000000"/>
                <w:lang w:eastAsia="en-GB"/>
              </w:rPr>
              <w:t>R</w:t>
            </w:r>
            <w:r w:rsidR="00FC3EA1">
              <w:rPr>
                <w:rFonts w:ascii="Calibri" w:eastAsia="Times New Roman" w:hAnsi="Calibri" w:cs="Calibri"/>
                <w:color w:val="000000"/>
                <w:lang w:eastAsia="en-GB"/>
              </w:rPr>
              <w:t>ef</w:t>
            </w:r>
          </w:p>
        </w:tc>
        <w:tc>
          <w:tcPr>
            <w:tcW w:w="3284" w:type="dxa"/>
          </w:tcPr>
          <w:p w14:paraId="64AFCD3F" w14:textId="77777777" w:rsidR="00FC3EA1" w:rsidRDefault="00FC3EA1" w:rsidP="00FC3EA1">
            <w:pPr>
              <w:rPr>
                <w:rFonts w:ascii="Calibri" w:eastAsia="Times New Roman" w:hAnsi="Calibri" w:cs="Calibri"/>
                <w:color w:val="000000"/>
                <w:lang w:eastAsia="en-GB"/>
              </w:rPr>
            </w:pPr>
          </w:p>
        </w:tc>
        <w:tc>
          <w:tcPr>
            <w:tcW w:w="1353" w:type="dxa"/>
          </w:tcPr>
          <w:p w14:paraId="4761C8E5"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580" w:type="dxa"/>
          </w:tcPr>
          <w:p w14:paraId="0D64DF52" w14:textId="77777777" w:rsidR="00FC3EA1" w:rsidRDefault="009845D3" w:rsidP="00FC3EA1">
            <w:pPr>
              <w:rPr>
                <w:rFonts w:ascii="Calibri" w:eastAsia="Times New Roman" w:hAnsi="Calibri" w:cs="Calibri"/>
                <w:color w:val="000000"/>
                <w:lang w:eastAsia="en-GB"/>
              </w:rPr>
            </w:pPr>
            <w:r>
              <w:rPr>
                <w:rFonts w:ascii="Calibri" w:eastAsia="Times New Roman" w:hAnsi="Calibri" w:cs="Calibri"/>
                <w:color w:val="000000"/>
                <w:lang w:eastAsia="en-GB"/>
              </w:rPr>
              <w:t>Action this period</w:t>
            </w:r>
          </w:p>
        </w:tc>
      </w:tr>
      <w:tr w:rsidR="00FC3EA1" w14:paraId="0499A89E" w14:textId="77777777" w:rsidTr="003637E9">
        <w:tc>
          <w:tcPr>
            <w:tcW w:w="9016" w:type="dxa"/>
            <w:gridSpan w:val="5"/>
            <w:shd w:val="clear" w:color="auto" w:fill="9CC2E5" w:themeFill="accent1" w:themeFillTint="99"/>
          </w:tcPr>
          <w:p w14:paraId="09DEFC3A" w14:textId="77777777" w:rsidR="00FC3EA1" w:rsidRDefault="00FC3EA1" w:rsidP="009D7931">
            <w:pPr>
              <w:rPr>
                <w:b/>
              </w:rPr>
            </w:pPr>
            <w:r w:rsidRPr="00FC3EA1">
              <w:rPr>
                <w:b/>
              </w:rPr>
              <w:t>Theme Health and wellbeing</w:t>
            </w:r>
            <w:r w:rsidR="007E2F0C">
              <w:rPr>
                <w:b/>
              </w:rPr>
              <w:t xml:space="preserve"> – none identified for this group</w:t>
            </w:r>
          </w:p>
          <w:p w14:paraId="4A7EFC16" w14:textId="77777777" w:rsidR="007E2F0C" w:rsidRDefault="007E2F0C" w:rsidP="009D7931">
            <w:pPr>
              <w:rPr>
                <w:rFonts w:ascii="Calibri" w:eastAsia="Times New Roman" w:hAnsi="Calibri" w:cs="Calibri"/>
                <w:color w:val="000000"/>
                <w:lang w:eastAsia="en-GB"/>
              </w:rPr>
            </w:pPr>
          </w:p>
        </w:tc>
      </w:tr>
      <w:tr w:rsidR="0079361C" w14:paraId="28E1DDB5" w14:textId="77777777" w:rsidTr="009D7931">
        <w:tc>
          <w:tcPr>
            <w:tcW w:w="799" w:type="dxa"/>
            <w:gridSpan w:val="2"/>
            <w:shd w:val="clear" w:color="auto" w:fill="auto"/>
          </w:tcPr>
          <w:p w14:paraId="15E679F6" w14:textId="77777777" w:rsidR="0079361C" w:rsidRDefault="0079361C" w:rsidP="009D7931"/>
        </w:tc>
        <w:tc>
          <w:tcPr>
            <w:tcW w:w="3284" w:type="dxa"/>
            <w:shd w:val="clear" w:color="auto" w:fill="auto"/>
          </w:tcPr>
          <w:p w14:paraId="45E18D8F" w14:textId="77777777" w:rsidR="0079361C" w:rsidRDefault="0079361C" w:rsidP="005E4D17">
            <w:pPr>
              <w:tabs>
                <w:tab w:val="left" w:pos="2120"/>
              </w:tabs>
              <w:rPr>
                <w:rFonts w:ascii="Calibri" w:hAnsi="Calibri" w:cs="Calibri"/>
                <w:color w:val="000000"/>
              </w:rPr>
            </w:pPr>
          </w:p>
        </w:tc>
        <w:tc>
          <w:tcPr>
            <w:tcW w:w="1353" w:type="dxa"/>
            <w:shd w:val="clear" w:color="auto" w:fill="auto"/>
          </w:tcPr>
          <w:p w14:paraId="790093D1" w14:textId="77777777" w:rsidR="0079361C" w:rsidRDefault="0079361C" w:rsidP="009D7931"/>
        </w:tc>
        <w:tc>
          <w:tcPr>
            <w:tcW w:w="3580" w:type="dxa"/>
            <w:shd w:val="clear" w:color="auto" w:fill="auto"/>
          </w:tcPr>
          <w:p w14:paraId="2633B635" w14:textId="77777777" w:rsidR="0079361C" w:rsidRPr="009D7931" w:rsidRDefault="0079361C" w:rsidP="009D7931"/>
        </w:tc>
      </w:tr>
      <w:tr w:rsidR="009D7931" w14:paraId="5FB88450" w14:textId="77777777" w:rsidTr="009D7931">
        <w:tc>
          <w:tcPr>
            <w:tcW w:w="799" w:type="dxa"/>
            <w:gridSpan w:val="2"/>
            <w:shd w:val="clear" w:color="auto" w:fill="auto"/>
          </w:tcPr>
          <w:p w14:paraId="7C03230B" w14:textId="77777777" w:rsidR="009D7931" w:rsidRPr="009D7931" w:rsidRDefault="00530106" w:rsidP="009D7931">
            <w:r>
              <w:t>HW7</w:t>
            </w:r>
          </w:p>
        </w:tc>
        <w:tc>
          <w:tcPr>
            <w:tcW w:w="3284" w:type="dxa"/>
            <w:shd w:val="clear" w:color="auto" w:fill="auto"/>
          </w:tcPr>
          <w:p w14:paraId="1F646957" w14:textId="77777777" w:rsidR="00530106" w:rsidRDefault="00530106" w:rsidP="00530106">
            <w:pPr>
              <w:rPr>
                <w:rFonts w:ascii="Calibri" w:hAnsi="Calibri" w:cs="Calibri"/>
                <w:color w:val="000000"/>
              </w:rPr>
            </w:pPr>
            <w:r>
              <w:rPr>
                <w:rFonts w:ascii="Calibri" w:hAnsi="Calibri" w:cs="Calibri"/>
                <w:color w:val="000000"/>
              </w:rPr>
              <w:t>Inform and influence countywide strategies that impact upon housing support and care provision for all vulnerable clients groups, children, young people, adults and the ageing population</w:t>
            </w:r>
          </w:p>
          <w:p w14:paraId="6A29EA52" w14:textId="77777777" w:rsidR="009D7931" w:rsidRPr="009D7931" w:rsidRDefault="009D7931" w:rsidP="005E4D17">
            <w:pPr>
              <w:tabs>
                <w:tab w:val="left" w:pos="2120"/>
              </w:tabs>
            </w:pPr>
          </w:p>
        </w:tc>
        <w:tc>
          <w:tcPr>
            <w:tcW w:w="1353" w:type="dxa"/>
            <w:shd w:val="clear" w:color="auto" w:fill="auto"/>
          </w:tcPr>
          <w:p w14:paraId="650F4313" w14:textId="77777777" w:rsidR="009D7931" w:rsidRPr="009D7931" w:rsidRDefault="00B60E9F" w:rsidP="009D7931">
            <w:r>
              <w:t xml:space="preserve">Relating to </w:t>
            </w:r>
            <w:r w:rsidR="001A0F49">
              <w:t>current or aspiring social housing tenants and providers</w:t>
            </w:r>
          </w:p>
        </w:tc>
        <w:tc>
          <w:tcPr>
            <w:tcW w:w="3580" w:type="dxa"/>
            <w:shd w:val="clear" w:color="auto" w:fill="auto"/>
          </w:tcPr>
          <w:p w14:paraId="158D1057" w14:textId="77777777" w:rsidR="009D7931" w:rsidRPr="009D7931" w:rsidRDefault="009D7931" w:rsidP="009D7931"/>
        </w:tc>
      </w:tr>
      <w:tr w:rsidR="005E4D17" w14:paraId="3EE70D3A" w14:textId="77777777" w:rsidTr="009D7931">
        <w:tc>
          <w:tcPr>
            <w:tcW w:w="799" w:type="dxa"/>
            <w:gridSpan w:val="2"/>
            <w:shd w:val="clear" w:color="auto" w:fill="auto"/>
          </w:tcPr>
          <w:p w14:paraId="44B8DF6F" w14:textId="77777777" w:rsidR="005E4D17" w:rsidRDefault="00530106" w:rsidP="009D7931">
            <w:r>
              <w:t>HW8</w:t>
            </w:r>
          </w:p>
        </w:tc>
        <w:tc>
          <w:tcPr>
            <w:tcW w:w="3284" w:type="dxa"/>
            <w:shd w:val="clear" w:color="auto" w:fill="auto"/>
          </w:tcPr>
          <w:p w14:paraId="03606E29" w14:textId="77777777" w:rsidR="00530106" w:rsidRDefault="00530106" w:rsidP="00530106">
            <w:pPr>
              <w:rPr>
                <w:rFonts w:ascii="Calibri" w:hAnsi="Calibri" w:cs="Calibri"/>
                <w:color w:val="000000"/>
              </w:rPr>
            </w:pPr>
            <w:r>
              <w:rPr>
                <w:rFonts w:ascii="Calibri" w:hAnsi="Calibri" w:cs="Calibri"/>
                <w:color w:val="000000"/>
              </w:rPr>
              <w:t>Continue established countywide approach and partnership working to reduce and prevent homelessness</w:t>
            </w:r>
          </w:p>
          <w:p w14:paraId="256EBD4A" w14:textId="77777777" w:rsidR="005E4D17" w:rsidRDefault="005E4D17" w:rsidP="00530106">
            <w:pPr>
              <w:rPr>
                <w:rFonts w:ascii="Calibri" w:hAnsi="Calibri" w:cs="Calibri"/>
                <w:color w:val="000000"/>
              </w:rPr>
            </w:pPr>
          </w:p>
        </w:tc>
        <w:tc>
          <w:tcPr>
            <w:tcW w:w="1353" w:type="dxa"/>
            <w:shd w:val="clear" w:color="auto" w:fill="auto"/>
          </w:tcPr>
          <w:p w14:paraId="246081AC" w14:textId="77777777" w:rsidR="005E4D17" w:rsidRDefault="001A0F49" w:rsidP="009D7931">
            <w:r>
              <w:t>Relating to current or aspiring social housing tenants and providers</w:t>
            </w:r>
          </w:p>
        </w:tc>
        <w:tc>
          <w:tcPr>
            <w:tcW w:w="3580" w:type="dxa"/>
            <w:shd w:val="clear" w:color="auto" w:fill="auto"/>
          </w:tcPr>
          <w:p w14:paraId="255B6965" w14:textId="5BC7EDE6" w:rsidR="008441A6" w:rsidRPr="009D7931" w:rsidRDefault="008B7A77" w:rsidP="009D7931">
            <w:r>
              <w:t>Working on use of KHC data to improve County wide knowledge of what services would assist with the reduction/prevention of homelessness</w:t>
            </w:r>
          </w:p>
        </w:tc>
      </w:tr>
      <w:tr w:rsidR="009D1D4B" w14:paraId="28323C4F" w14:textId="77777777" w:rsidTr="003637E9">
        <w:tc>
          <w:tcPr>
            <w:tcW w:w="9016" w:type="dxa"/>
            <w:gridSpan w:val="5"/>
            <w:shd w:val="clear" w:color="auto" w:fill="9CC2E5" w:themeFill="accent1" w:themeFillTint="99"/>
          </w:tcPr>
          <w:p w14:paraId="40F33320" w14:textId="77777777" w:rsidR="009D1D4B" w:rsidRPr="003637E9" w:rsidRDefault="002437CB" w:rsidP="00FC3EA1">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9D1D4B" w:rsidRPr="003637E9">
              <w:rPr>
                <w:rFonts w:ascii="Calibri" w:eastAsia="Times New Roman" w:hAnsi="Calibri" w:cs="Calibri"/>
                <w:b/>
                <w:color w:val="000000"/>
                <w:lang w:eastAsia="en-GB"/>
              </w:rPr>
              <w:t>Working together for safer homes</w:t>
            </w:r>
          </w:p>
          <w:p w14:paraId="4CFD3049" w14:textId="77777777" w:rsidR="003637E9" w:rsidRPr="003637E9" w:rsidRDefault="003637E9" w:rsidP="00FC3EA1">
            <w:pPr>
              <w:rPr>
                <w:rFonts w:ascii="Calibri" w:eastAsia="Times New Roman" w:hAnsi="Calibri" w:cs="Calibri"/>
                <w:b/>
                <w:color w:val="000000"/>
                <w:lang w:eastAsia="en-GB"/>
              </w:rPr>
            </w:pPr>
          </w:p>
        </w:tc>
      </w:tr>
      <w:tr w:rsidR="00FC3EA1" w14:paraId="0A0CFF40" w14:textId="77777777" w:rsidTr="009D7931">
        <w:tc>
          <w:tcPr>
            <w:tcW w:w="799" w:type="dxa"/>
            <w:gridSpan w:val="2"/>
          </w:tcPr>
          <w:p w14:paraId="2A4069BC" w14:textId="77777777" w:rsidR="00FC3EA1" w:rsidRDefault="00530106" w:rsidP="00FC3EA1">
            <w:pPr>
              <w:rPr>
                <w:rFonts w:ascii="Calibri" w:eastAsia="Times New Roman" w:hAnsi="Calibri" w:cs="Calibri"/>
                <w:color w:val="000000"/>
                <w:lang w:eastAsia="en-GB"/>
              </w:rPr>
            </w:pPr>
            <w:r>
              <w:rPr>
                <w:rFonts w:ascii="Calibri" w:eastAsia="Times New Roman" w:hAnsi="Calibri" w:cs="Calibri"/>
                <w:color w:val="000000"/>
                <w:lang w:eastAsia="en-GB"/>
              </w:rPr>
              <w:t>SH6</w:t>
            </w:r>
          </w:p>
        </w:tc>
        <w:tc>
          <w:tcPr>
            <w:tcW w:w="3284" w:type="dxa"/>
          </w:tcPr>
          <w:p w14:paraId="04250C45" w14:textId="77777777" w:rsidR="00530106" w:rsidRDefault="00530106" w:rsidP="00530106">
            <w:pPr>
              <w:rPr>
                <w:rFonts w:ascii="Calibri" w:hAnsi="Calibri" w:cs="Calibri"/>
                <w:color w:val="000000"/>
              </w:rPr>
            </w:pPr>
            <w:r>
              <w:rPr>
                <w:rFonts w:ascii="Calibri" w:hAnsi="Calibri" w:cs="Calibri"/>
                <w:color w:val="000000"/>
              </w:rPr>
              <w:t>Promote and facilitate the sharing of information about services that can be offered to residents to support the countywide and individual health and wellbeing agendas</w:t>
            </w:r>
          </w:p>
          <w:p w14:paraId="1C5464AC" w14:textId="77777777" w:rsidR="00FC3EA1" w:rsidRPr="009D1D4B" w:rsidRDefault="00FC3EA1" w:rsidP="009D1D4B">
            <w:pPr>
              <w:rPr>
                <w:rFonts w:ascii="Calibri" w:hAnsi="Calibri" w:cs="Calibri"/>
                <w:color w:val="000000"/>
              </w:rPr>
            </w:pPr>
          </w:p>
        </w:tc>
        <w:tc>
          <w:tcPr>
            <w:tcW w:w="1353" w:type="dxa"/>
          </w:tcPr>
          <w:p w14:paraId="6CA6D766" w14:textId="77777777" w:rsidR="00FC3EA1" w:rsidRDefault="001A0F49" w:rsidP="00FC3EA1">
            <w:pPr>
              <w:rPr>
                <w:rFonts w:ascii="Calibri" w:eastAsia="Times New Roman" w:hAnsi="Calibri" w:cs="Calibri"/>
                <w:color w:val="000000"/>
                <w:lang w:eastAsia="en-GB"/>
              </w:rPr>
            </w:pPr>
            <w:r>
              <w:t>Relating to current or aspiring social housing tenants and providers</w:t>
            </w:r>
          </w:p>
        </w:tc>
        <w:tc>
          <w:tcPr>
            <w:tcW w:w="3580" w:type="dxa"/>
          </w:tcPr>
          <w:p w14:paraId="57A257BE" w14:textId="50826411" w:rsidR="00FC3EA1" w:rsidRDefault="00D464FA" w:rsidP="00FC3EA1">
            <w:pPr>
              <w:rPr>
                <w:rFonts w:ascii="Calibri" w:eastAsia="Times New Roman" w:hAnsi="Calibri" w:cs="Calibri"/>
                <w:color w:val="000000"/>
                <w:lang w:eastAsia="en-GB"/>
              </w:rPr>
            </w:pPr>
            <w:r>
              <w:rPr>
                <w:rFonts w:ascii="Calibri" w:eastAsia="Times New Roman" w:hAnsi="Calibri" w:cs="Calibri"/>
                <w:color w:val="000000"/>
                <w:lang w:eastAsia="en-GB"/>
              </w:rPr>
              <w:t>New How to dry washing and prevent damp and mould reel has been created to be shared and promoted countywide</w:t>
            </w:r>
          </w:p>
        </w:tc>
      </w:tr>
      <w:tr w:rsidR="000B7DE5" w14:paraId="089237F6" w14:textId="77777777" w:rsidTr="003637E9">
        <w:tc>
          <w:tcPr>
            <w:tcW w:w="9016" w:type="dxa"/>
            <w:gridSpan w:val="5"/>
            <w:shd w:val="clear" w:color="auto" w:fill="9CC2E5" w:themeFill="accent1" w:themeFillTint="99"/>
          </w:tcPr>
          <w:p w14:paraId="2FA8EAF4" w14:textId="77777777" w:rsidR="000B7DE5" w:rsidRPr="003637E9" w:rsidRDefault="002437CB" w:rsidP="003637E9">
            <w:pPr>
              <w:tabs>
                <w:tab w:val="left" w:pos="2430"/>
              </w:tabs>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0B7DE5" w:rsidRPr="003637E9">
              <w:rPr>
                <w:rFonts w:ascii="Calibri" w:eastAsia="Times New Roman" w:hAnsi="Calibri" w:cs="Calibri"/>
                <w:b/>
                <w:color w:val="000000"/>
                <w:lang w:eastAsia="en-GB"/>
              </w:rPr>
              <w:t xml:space="preserve">Infrastructure First </w:t>
            </w:r>
            <w:r w:rsidR="009D7931">
              <w:rPr>
                <w:rFonts w:ascii="Calibri" w:eastAsia="Times New Roman" w:hAnsi="Calibri" w:cs="Calibri"/>
                <w:b/>
                <w:color w:val="000000"/>
                <w:lang w:eastAsia="en-GB"/>
              </w:rPr>
              <w:t xml:space="preserve">- </w:t>
            </w:r>
          </w:p>
          <w:p w14:paraId="7E4A6F06" w14:textId="77777777" w:rsidR="003637E9" w:rsidRDefault="003637E9" w:rsidP="003637E9">
            <w:pPr>
              <w:tabs>
                <w:tab w:val="left" w:pos="2430"/>
              </w:tabs>
              <w:rPr>
                <w:rFonts w:ascii="Calibri" w:eastAsia="Times New Roman" w:hAnsi="Calibri" w:cs="Calibri"/>
                <w:color w:val="000000"/>
                <w:lang w:eastAsia="en-GB"/>
              </w:rPr>
            </w:pPr>
          </w:p>
        </w:tc>
      </w:tr>
      <w:tr w:rsidR="0079361C" w14:paraId="1CB2A04A" w14:textId="77777777" w:rsidTr="0079361C">
        <w:tc>
          <w:tcPr>
            <w:tcW w:w="799" w:type="dxa"/>
            <w:gridSpan w:val="2"/>
            <w:shd w:val="clear" w:color="auto" w:fill="auto"/>
          </w:tcPr>
          <w:p w14:paraId="6C7998BA" w14:textId="77777777" w:rsidR="0079361C" w:rsidRPr="0079361C" w:rsidRDefault="0079361C" w:rsidP="003637E9">
            <w:pPr>
              <w:tabs>
                <w:tab w:val="left" w:pos="2430"/>
              </w:tabs>
            </w:pPr>
            <w:r w:rsidRPr="0079361C">
              <w:t>IF3</w:t>
            </w:r>
          </w:p>
        </w:tc>
        <w:tc>
          <w:tcPr>
            <w:tcW w:w="3284" w:type="dxa"/>
            <w:shd w:val="clear" w:color="auto" w:fill="auto"/>
          </w:tcPr>
          <w:p w14:paraId="0FE518E6" w14:textId="77777777" w:rsidR="0079361C" w:rsidRDefault="0079361C" w:rsidP="0079361C">
            <w:pPr>
              <w:rPr>
                <w:rFonts w:ascii="Calibri" w:hAnsi="Calibri"/>
                <w:color w:val="000000"/>
              </w:rPr>
            </w:pPr>
            <w:r>
              <w:rPr>
                <w:rFonts w:ascii="Calibri" w:hAnsi="Calibri"/>
                <w:color w:val="000000"/>
              </w:rPr>
              <w:t xml:space="preserve">Consider, respond and implement recommendations from Government reviews that promote a positive change in approach and outcome, e.g. </w:t>
            </w:r>
            <w:proofErr w:type="spellStart"/>
            <w:r>
              <w:rPr>
                <w:rFonts w:ascii="Calibri" w:hAnsi="Calibri"/>
                <w:color w:val="000000"/>
              </w:rPr>
              <w:t>Letwin</w:t>
            </w:r>
            <w:proofErr w:type="spellEnd"/>
            <w:r>
              <w:rPr>
                <w:rFonts w:ascii="Calibri" w:hAnsi="Calibri"/>
                <w:color w:val="000000"/>
              </w:rPr>
              <w:t xml:space="preserve"> Review</w:t>
            </w:r>
          </w:p>
          <w:p w14:paraId="62F8F6CF" w14:textId="77777777" w:rsidR="0079361C" w:rsidRPr="0079361C" w:rsidRDefault="0079361C" w:rsidP="003637E9">
            <w:pPr>
              <w:tabs>
                <w:tab w:val="left" w:pos="2430"/>
              </w:tabs>
            </w:pPr>
          </w:p>
        </w:tc>
        <w:tc>
          <w:tcPr>
            <w:tcW w:w="1353" w:type="dxa"/>
            <w:shd w:val="clear" w:color="auto" w:fill="auto"/>
          </w:tcPr>
          <w:p w14:paraId="04215971" w14:textId="77777777" w:rsidR="0079361C" w:rsidRPr="0079361C" w:rsidRDefault="001A0F49" w:rsidP="003637E9">
            <w:pPr>
              <w:tabs>
                <w:tab w:val="left" w:pos="2430"/>
              </w:tabs>
            </w:pPr>
            <w:r>
              <w:t>Relating to current or aspiring social housing tenants and providers</w:t>
            </w:r>
          </w:p>
        </w:tc>
        <w:tc>
          <w:tcPr>
            <w:tcW w:w="3580" w:type="dxa"/>
            <w:shd w:val="clear" w:color="auto" w:fill="auto"/>
          </w:tcPr>
          <w:p w14:paraId="0E70E94B" w14:textId="77777777" w:rsidR="0079361C" w:rsidRPr="0079361C" w:rsidRDefault="0079361C" w:rsidP="003637E9">
            <w:pPr>
              <w:tabs>
                <w:tab w:val="left" w:pos="2430"/>
              </w:tabs>
            </w:pPr>
          </w:p>
        </w:tc>
      </w:tr>
      <w:tr w:rsidR="003637E9" w14:paraId="4F25DCCE" w14:textId="77777777" w:rsidTr="003637E9">
        <w:tc>
          <w:tcPr>
            <w:tcW w:w="9016" w:type="dxa"/>
            <w:gridSpan w:val="5"/>
            <w:shd w:val="clear" w:color="auto" w:fill="9CC2E5" w:themeFill="accent1" w:themeFillTint="99"/>
          </w:tcPr>
          <w:p w14:paraId="0BBBF9A6" w14:textId="77777777"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Accelerating Housing Delivery</w:t>
            </w:r>
            <w:r w:rsidR="009D7931">
              <w:rPr>
                <w:rFonts w:ascii="Calibri" w:eastAsia="Times New Roman" w:hAnsi="Calibri" w:cs="Calibri"/>
                <w:b/>
                <w:color w:val="000000"/>
                <w:lang w:eastAsia="en-GB"/>
              </w:rPr>
              <w:t xml:space="preserve">- </w:t>
            </w:r>
            <w:r w:rsidR="009D7931">
              <w:rPr>
                <w:b/>
              </w:rPr>
              <w:t>p</w:t>
            </w:r>
            <w:r w:rsidR="007B27ED">
              <w:rPr>
                <w:b/>
              </w:rPr>
              <w:t xml:space="preserve">ossibly no actions for this </w:t>
            </w:r>
            <w:r w:rsidR="009D7931">
              <w:rPr>
                <w:b/>
              </w:rPr>
              <w:t>group</w:t>
            </w:r>
          </w:p>
          <w:p w14:paraId="456502B6" w14:textId="77777777" w:rsidR="003637E9" w:rsidRPr="003637E9" w:rsidRDefault="003637E9" w:rsidP="003637E9">
            <w:pPr>
              <w:rPr>
                <w:rFonts w:ascii="Calibri" w:eastAsia="Times New Roman" w:hAnsi="Calibri" w:cs="Calibri"/>
                <w:b/>
                <w:color w:val="000000"/>
                <w:lang w:eastAsia="en-GB"/>
              </w:rPr>
            </w:pPr>
          </w:p>
        </w:tc>
      </w:tr>
      <w:tr w:rsidR="0038692C" w14:paraId="76710127" w14:textId="77777777" w:rsidTr="0038692C">
        <w:tc>
          <w:tcPr>
            <w:tcW w:w="799" w:type="dxa"/>
            <w:gridSpan w:val="2"/>
            <w:shd w:val="clear" w:color="auto" w:fill="auto"/>
          </w:tcPr>
          <w:p w14:paraId="7A9498C2" w14:textId="77777777" w:rsidR="0038692C" w:rsidRPr="0038692C" w:rsidRDefault="0038692C" w:rsidP="003637E9"/>
        </w:tc>
        <w:tc>
          <w:tcPr>
            <w:tcW w:w="3284" w:type="dxa"/>
            <w:shd w:val="clear" w:color="auto" w:fill="auto"/>
          </w:tcPr>
          <w:p w14:paraId="31B54715" w14:textId="77777777" w:rsidR="0038692C" w:rsidRPr="0038692C" w:rsidRDefault="0038692C" w:rsidP="003637E9"/>
        </w:tc>
        <w:tc>
          <w:tcPr>
            <w:tcW w:w="1353" w:type="dxa"/>
            <w:shd w:val="clear" w:color="auto" w:fill="auto"/>
          </w:tcPr>
          <w:p w14:paraId="1274CD2B" w14:textId="77777777" w:rsidR="0038692C" w:rsidRPr="0038692C" w:rsidRDefault="0038692C" w:rsidP="003637E9"/>
        </w:tc>
        <w:tc>
          <w:tcPr>
            <w:tcW w:w="3580" w:type="dxa"/>
            <w:shd w:val="clear" w:color="auto" w:fill="auto"/>
          </w:tcPr>
          <w:p w14:paraId="25EFAA9D" w14:textId="77777777" w:rsidR="0038692C" w:rsidRPr="0038692C" w:rsidRDefault="0038692C" w:rsidP="003637E9"/>
        </w:tc>
      </w:tr>
      <w:tr w:rsidR="003637E9" w14:paraId="7C1CEEBA" w14:textId="77777777" w:rsidTr="003637E9">
        <w:tc>
          <w:tcPr>
            <w:tcW w:w="9016" w:type="dxa"/>
            <w:gridSpan w:val="5"/>
            <w:shd w:val="clear" w:color="auto" w:fill="9CC2E5" w:themeFill="accent1" w:themeFillTint="99"/>
          </w:tcPr>
          <w:p w14:paraId="6846373E" w14:textId="77777777"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Affordability</w:t>
            </w:r>
            <w:r w:rsidR="007B27ED">
              <w:rPr>
                <w:rFonts w:ascii="Calibri" w:eastAsia="Times New Roman" w:hAnsi="Calibri" w:cs="Calibri"/>
                <w:b/>
                <w:color w:val="000000"/>
                <w:lang w:eastAsia="en-GB"/>
              </w:rPr>
              <w:t xml:space="preserve"> -</w:t>
            </w:r>
          </w:p>
          <w:p w14:paraId="68C22BF3" w14:textId="77777777" w:rsidR="003637E9" w:rsidRPr="003637E9" w:rsidRDefault="003637E9" w:rsidP="003637E9">
            <w:pPr>
              <w:rPr>
                <w:rFonts w:ascii="Calibri" w:eastAsia="Times New Roman" w:hAnsi="Calibri" w:cs="Calibri"/>
                <w:b/>
                <w:color w:val="000000"/>
                <w:lang w:eastAsia="en-GB"/>
              </w:rPr>
            </w:pPr>
          </w:p>
        </w:tc>
      </w:tr>
      <w:tr w:rsidR="005E4D17" w14:paraId="394115B0" w14:textId="77777777" w:rsidTr="005E4D17">
        <w:tc>
          <w:tcPr>
            <w:tcW w:w="704" w:type="dxa"/>
            <w:shd w:val="clear" w:color="auto" w:fill="auto"/>
          </w:tcPr>
          <w:p w14:paraId="7CFF5385" w14:textId="77777777" w:rsidR="005E4D17" w:rsidRPr="005E4D17" w:rsidRDefault="00530106" w:rsidP="003637E9">
            <w:r>
              <w:t>A2</w:t>
            </w:r>
          </w:p>
        </w:tc>
        <w:tc>
          <w:tcPr>
            <w:tcW w:w="3379" w:type="dxa"/>
            <w:gridSpan w:val="2"/>
            <w:shd w:val="clear" w:color="auto" w:fill="auto"/>
          </w:tcPr>
          <w:p w14:paraId="6A34228E" w14:textId="77777777" w:rsidR="00530106" w:rsidRDefault="00530106" w:rsidP="00530106">
            <w:pPr>
              <w:rPr>
                <w:rFonts w:ascii="Calibri" w:hAnsi="Calibri" w:cs="Calibri"/>
                <w:color w:val="000000"/>
              </w:rPr>
            </w:pPr>
            <w:r>
              <w:rPr>
                <w:rFonts w:ascii="Calibri" w:hAnsi="Calibri" w:cs="Calibri"/>
                <w:color w:val="000000"/>
              </w:rPr>
              <w:t>Explore what housing tenure and type/products are appropriate to meet diverse housing need, and how support can be provided to successfully sustain a tenancy</w:t>
            </w:r>
          </w:p>
          <w:p w14:paraId="6D1E8A8F" w14:textId="77777777" w:rsidR="005E4D17" w:rsidRPr="005E4D17" w:rsidRDefault="005E4D17" w:rsidP="00530106"/>
        </w:tc>
        <w:tc>
          <w:tcPr>
            <w:tcW w:w="1353" w:type="dxa"/>
            <w:shd w:val="clear" w:color="auto" w:fill="auto"/>
          </w:tcPr>
          <w:p w14:paraId="47B67C25" w14:textId="77777777" w:rsidR="005E4D17" w:rsidRPr="005E4D17" w:rsidRDefault="001A0F49" w:rsidP="003637E9">
            <w:r>
              <w:t xml:space="preserve">Relating to current or aspiring social housing </w:t>
            </w:r>
            <w:r>
              <w:lastRenderedPageBreak/>
              <w:t>tenants and providers</w:t>
            </w:r>
          </w:p>
        </w:tc>
        <w:tc>
          <w:tcPr>
            <w:tcW w:w="3580" w:type="dxa"/>
            <w:shd w:val="clear" w:color="auto" w:fill="auto"/>
          </w:tcPr>
          <w:p w14:paraId="3EC57C5F" w14:textId="089F4FF8" w:rsidR="005E4D17" w:rsidRPr="005E4D17" w:rsidRDefault="008B7A77" w:rsidP="003637E9">
            <w:r>
              <w:lastRenderedPageBreak/>
              <w:t>Currently exploring ways to improve/use/create an Accessible Housing Register.</w:t>
            </w:r>
          </w:p>
        </w:tc>
      </w:tr>
      <w:tr w:rsidR="00530106" w14:paraId="6D6E12D2" w14:textId="77777777" w:rsidTr="005E4D17">
        <w:tc>
          <w:tcPr>
            <w:tcW w:w="704" w:type="dxa"/>
            <w:shd w:val="clear" w:color="auto" w:fill="auto"/>
          </w:tcPr>
          <w:p w14:paraId="10E9DE3A" w14:textId="77777777" w:rsidR="00530106" w:rsidRDefault="00530106" w:rsidP="003637E9">
            <w:r>
              <w:t>A6</w:t>
            </w:r>
          </w:p>
        </w:tc>
        <w:tc>
          <w:tcPr>
            <w:tcW w:w="3379" w:type="dxa"/>
            <w:gridSpan w:val="2"/>
            <w:shd w:val="clear" w:color="auto" w:fill="auto"/>
          </w:tcPr>
          <w:p w14:paraId="76FF1003" w14:textId="77777777" w:rsidR="00530106" w:rsidRDefault="00530106" w:rsidP="00530106">
            <w:pPr>
              <w:rPr>
                <w:rFonts w:ascii="Calibri" w:hAnsi="Calibri" w:cs="Calibri"/>
                <w:color w:val="000000"/>
              </w:rPr>
            </w:pPr>
            <w:r>
              <w:rPr>
                <w:rFonts w:ascii="Calibri" w:hAnsi="Calibri" w:cs="Calibri"/>
                <w:color w:val="000000"/>
              </w:rPr>
              <w:t>Support the County Council to determine and shape the market about future provision of accommodation care and support for social care client groups</w:t>
            </w:r>
          </w:p>
          <w:p w14:paraId="32164517" w14:textId="77777777" w:rsidR="00530106" w:rsidRDefault="00530106" w:rsidP="00530106">
            <w:pPr>
              <w:rPr>
                <w:rFonts w:ascii="Calibri" w:hAnsi="Calibri" w:cs="Calibri"/>
                <w:color w:val="000000"/>
              </w:rPr>
            </w:pPr>
          </w:p>
        </w:tc>
        <w:tc>
          <w:tcPr>
            <w:tcW w:w="1353" w:type="dxa"/>
            <w:shd w:val="clear" w:color="auto" w:fill="auto"/>
          </w:tcPr>
          <w:p w14:paraId="1B6562E4" w14:textId="77777777" w:rsidR="00530106" w:rsidRPr="005E4D17" w:rsidRDefault="001A0F49" w:rsidP="003637E9">
            <w:r>
              <w:t>Relating to current or aspiring social housing tenants and providers</w:t>
            </w:r>
          </w:p>
        </w:tc>
        <w:tc>
          <w:tcPr>
            <w:tcW w:w="3580" w:type="dxa"/>
            <w:shd w:val="clear" w:color="auto" w:fill="auto"/>
          </w:tcPr>
          <w:p w14:paraId="1B8F8F02" w14:textId="53BC89C3" w:rsidR="00530106" w:rsidRPr="005E4D17" w:rsidRDefault="00530106" w:rsidP="003637E9"/>
        </w:tc>
      </w:tr>
      <w:tr w:rsidR="00530106" w14:paraId="5F62C981" w14:textId="77777777" w:rsidTr="005E4D17">
        <w:tc>
          <w:tcPr>
            <w:tcW w:w="704" w:type="dxa"/>
            <w:shd w:val="clear" w:color="auto" w:fill="auto"/>
          </w:tcPr>
          <w:p w14:paraId="32D4ECFD" w14:textId="77777777" w:rsidR="00530106" w:rsidRDefault="00530106" w:rsidP="003637E9">
            <w:r>
              <w:t>A7</w:t>
            </w:r>
          </w:p>
        </w:tc>
        <w:tc>
          <w:tcPr>
            <w:tcW w:w="3379" w:type="dxa"/>
            <w:gridSpan w:val="2"/>
            <w:shd w:val="clear" w:color="auto" w:fill="auto"/>
          </w:tcPr>
          <w:p w14:paraId="2D947290" w14:textId="77777777" w:rsidR="00530106" w:rsidRDefault="00530106" w:rsidP="00530106">
            <w:pPr>
              <w:rPr>
                <w:rFonts w:ascii="Calibri" w:hAnsi="Calibri" w:cs="Calibri"/>
                <w:color w:val="000000"/>
              </w:rPr>
            </w:pPr>
            <w:r>
              <w:rPr>
                <w:rFonts w:ascii="Calibri" w:hAnsi="Calibri" w:cs="Calibri"/>
                <w:color w:val="000000"/>
              </w:rPr>
              <w:t>Understand and influence the development of affordable housing that is flexible to meet changing needs, including meeting the needs of those with physical disability</w:t>
            </w:r>
          </w:p>
          <w:p w14:paraId="32FBD12F" w14:textId="77777777" w:rsidR="00530106" w:rsidRDefault="00530106" w:rsidP="00530106">
            <w:pPr>
              <w:rPr>
                <w:rFonts w:ascii="Calibri" w:hAnsi="Calibri" w:cs="Calibri"/>
                <w:color w:val="000000"/>
              </w:rPr>
            </w:pPr>
          </w:p>
        </w:tc>
        <w:tc>
          <w:tcPr>
            <w:tcW w:w="1353" w:type="dxa"/>
            <w:shd w:val="clear" w:color="auto" w:fill="auto"/>
          </w:tcPr>
          <w:p w14:paraId="0194CDDF" w14:textId="77777777" w:rsidR="00530106" w:rsidRPr="005E4D17" w:rsidRDefault="001A0F49" w:rsidP="003637E9">
            <w:r>
              <w:t>Relating to current or aspiring social housing tenants and providers</w:t>
            </w:r>
          </w:p>
        </w:tc>
        <w:tc>
          <w:tcPr>
            <w:tcW w:w="3580" w:type="dxa"/>
            <w:shd w:val="clear" w:color="auto" w:fill="auto"/>
          </w:tcPr>
          <w:p w14:paraId="44AA96AA" w14:textId="12DA6B82" w:rsidR="00530106" w:rsidRPr="005E4D17" w:rsidRDefault="00D464FA" w:rsidP="003637E9">
            <w:r>
              <w:t>Working on EDI data from the housing registers and how this can be presented and used</w:t>
            </w:r>
          </w:p>
        </w:tc>
      </w:tr>
      <w:tr w:rsidR="00530106" w14:paraId="76385C98" w14:textId="77777777" w:rsidTr="005E4D17">
        <w:tc>
          <w:tcPr>
            <w:tcW w:w="704" w:type="dxa"/>
            <w:shd w:val="clear" w:color="auto" w:fill="auto"/>
          </w:tcPr>
          <w:p w14:paraId="6BD945AF" w14:textId="77777777" w:rsidR="00530106" w:rsidRDefault="00530106" w:rsidP="003637E9">
            <w:r>
              <w:t>A8</w:t>
            </w:r>
          </w:p>
        </w:tc>
        <w:tc>
          <w:tcPr>
            <w:tcW w:w="3379" w:type="dxa"/>
            <w:gridSpan w:val="2"/>
            <w:shd w:val="clear" w:color="auto" w:fill="auto"/>
          </w:tcPr>
          <w:p w14:paraId="09533307" w14:textId="77777777" w:rsidR="00530106" w:rsidRDefault="00530106" w:rsidP="00530106">
            <w:pPr>
              <w:rPr>
                <w:rFonts w:ascii="Calibri" w:hAnsi="Calibri" w:cs="Calibri"/>
                <w:color w:val="000000"/>
              </w:rPr>
            </w:pPr>
            <w:r>
              <w:rPr>
                <w:rFonts w:ascii="Calibri" w:hAnsi="Calibri" w:cs="Calibri"/>
                <w:color w:val="000000"/>
              </w:rPr>
              <w:t>Challenge the stigma associated with regards to social or affordable housing</w:t>
            </w:r>
          </w:p>
          <w:p w14:paraId="57D94F1C" w14:textId="77777777" w:rsidR="00530106" w:rsidRDefault="00530106" w:rsidP="00530106">
            <w:pPr>
              <w:jc w:val="both"/>
              <w:rPr>
                <w:rFonts w:ascii="Calibri" w:hAnsi="Calibri" w:cs="Calibri"/>
                <w:color w:val="000000"/>
              </w:rPr>
            </w:pPr>
          </w:p>
        </w:tc>
        <w:tc>
          <w:tcPr>
            <w:tcW w:w="1353" w:type="dxa"/>
            <w:shd w:val="clear" w:color="auto" w:fill="auto"/>
          </w:tcPr>
          <w:p w14:paraId="46BCCE85" w14:textId="77777777" w:rsidR="00530106" w:rsidRPr="005E4D17" w:rsidRDefault="00530106" w:rsidP="003637E9"/>
        </w:tc>
        <w:tc>
          <w:tcPr>
            <w:tcW w:w="3580" w:type="dxa"/>
            <w:shd w:val="clear" w:color="auto" w:fill="auto"/>
          </w:tcPr>
          <w:p w14:paraId="544BACFE" w14:textId="77777777" w:rsidR="00530106" w:rsidRPr="005E4D17" w:rsidRDefault="00530106" w:rsidP="003637E9"/>
        </w:tc>
      </w:tr>
      <w:tr w:rsidR="00530106" w14:paraId="2DFF6509" w14:textId="77777777" w:rsidTr="005E4D17">
        <w:tc>
          <w:tcPr>
            <w:tcW w:w="704" w:type="dxa"/>
            <w:shd w:val="clear" w:color="auto" w:fill="auto"/>
          </w:tcPr>
          <w:p w14:paraId="6B4528A1" w14:textId="77777777" w:rsidR="00530106" w:rsidRDefault="00530106" w:rsidP="003637E9">
            <w:r>
              <w:t>A9</w:t>
            </w:r>
          </w:p>
        </w:tc>
        <w:tc>
          <w:tcPr>
            <w:tcW w:w="3379" w:type="dxa"/>
            <w:gridSpan w:val="2"/>
            <w:shd w:val="clear" w:color="auto" w:fill="auto"/>
          </w:tcPr>
          <w:p w14:paraId="57349A9A" w14:textId="77777777" w:rsidR="00530106" w:rsidRDefault="00530106" w:rsidP="00530106">
            <w:pPr>
              <w:rPr>
                <w:rFonts w:ascii="Calibri" w:hAnsi="Calibri" w:cs="Calibri"/>
                <w:color w:val="000000"/>
              </w:rPr>
            </w:pPr>
            <w:r>
              <w:rPr>
                <w:rFonts w:ascii="Calibri" w:hAnsi="Calibri" w:cs="Calibri"/>
                <w:color w:val="000000"/>
              </w:rPr>
              <w:t>Continued commitment and support for Kent Homechoice, working to ensure choice and transparency with regards to access to affordable and social housing across Kent and Medway</w:t>
            </w:r>
          </w:p>
          <w:p w14:paraId="181BF85D" w14:textId="77777777" w:rsidR="00530106" w:rsidRDefault="00530106" w:rsidP="00530106">
            <w:pPr>
              <w:rPr>
                <w:rFonts w:ascii="Calibri" w:hAnsi="Calibri" w:cs="Calibri"/>
                <w:color w:val="000000"/>
              </w:rPr>
            </w:pPr>
          </w:p>
        </w:tc>
        <w:tc>
          <w:tcPr>
            <w:tcW w:w="1353" w:type="dxa"/>
            <w:shd w:val="clear" w:color="auto" w:fill="auto"/>
          </w:tcPr>
          <w:p w14:paraId="0413C947" w14:textId="77777777" w:rsidR="00530106" w:rsidRPr="005E4D17" w:rsidRDefault="00530106" w:rsidP="003637E9"/>
        </w:tc>
        <w:tc>
          <w:tcPr>
            <w:tcW w:w="3580" w:type="dxa"/>
            <w:shd w:val="clear" w:color="auto" w:fill="auto"/>
          </w:tcPr>
          <w:p w14:paraId="7DC5AECE" w14:textId="5C9CB210" w:rsidR="00CA6A81" w:rsidRDefault="00CC30F4" w:rsidP="00CA6A81">
            <w:r>
              <w:t xml:space="preserve">The implementation of the new system </w:t>
            </w:r>
            <w:r w:rsidR="0038095D">
              <w:t xml:space="preserve">has provided greater transparency to the customer </w:t>
            </w:r>
            <w:r w:rsidR="00CF2BF4">
              <w:t>in terms of accessing available homes.</w:t>
            </w:r>
          </w:p>
          <w:p w14:paraId="061D52D5" w14:textId="77777777" w:rsidR="00530106" w:rsidRPr="005E4D17" w:rsidRDefault="00530106" w:rsidP="003637E9"/>
        </w:tc>
      </w:tr>
      <w:tr w:rsidR="00156C03" w14:paraId="0E257767" w14:textId="77777777" w:rsidTr="00156C03">
        <w:tc>
          <w:tcPr>
            <w:tcW w:w="9016" w:type="dxa"/>
            <w:gridSpan w:val="5"/>
            <w:shd w:val="clear" w:color="auto" w:fill="auto"/>
          </w:tcPr>
          <w:p w14:paraId="69FBCEBE" w14:textId="77777777" w:rsidR="00156C03" w:rsidRDefault="00156C03" w:rsidP="00156C03">
            <w:pPr>
              <w:rPr>
                <w:rFonts w:ascii="Calibri" w:eastAsia="Times New Roman" w:hAnsi="Calibri" w:cs="Calibri"/>
                <w:b/>
                <w:color w:val="000000"/>
                <w:lang w:eastAsia="en-GB"/>
              </w:rPr>
            </w:pPr>
            <w:r w:rsidRPr="00C851EC">
              <w:rPr>
                <w:rFonts w:ascii="Calibri" w:eastAsia="Times New Roman" w:hAnsi="Calibri" w:cs="Calibri"/>
                <w:b/>
                <w:color w:val="000000"/>
                <w:lang w:eastAsia="en-GB"/>
              </w:rPr>
              <w:t>Other important matters since last update;</w:t>
            </w:r>
          </w:p>
          <w:p w14:paraId="4C1DDA6E" w14:textId="1495DAFF" w:rsidR="009677C8" w:rsidRPr="00D464FA" w:rsidRDefault="009677C8" w:rsidP="001D14CC">
            <w:pPr>
              <w:rPr>
                <w:rFonts w:ascii="Calibri" w:eastAsia="Times New Roman" w:hAnsi="Calibri" w:cs="Calibri"/>
                <w:bCs/>
                <w:color w:val="000000"/>
                <w:lang w:eastAsia="en-GB"/>
              </w:rPr>
            </w:pPr>
          </w:p>
          <w:p w14:paraId="5BF09994" w14:textId="60D235F3" w:rsidR="00D464FA" w:rsidRPr="00D464FA" w:rsidRDefault="00D464FA" w:rsidP="001D14CC">
            <w:pPr>
              <w:rPr>
                <w:rFonts w:ascii="Calibri" w:eastAsia="Times New Roman" w:hAnsi="Calibri" w:cs="Calibri"/>
                <w:bCs/>
                <w:color w:val="000000"/>
                <w:lang w:eastAsia="en-GB"/>
              </w:rPr>
            </w:pPr>
            <w:r w:rsidRPr="00D464FA">
              <w:rPr>
                <w:rFonts w:ascii="Calibri" w:eastAsia="Times New Roman" w:hAnsi="Calibri" w:cs="Calibri"/>
                <w:bCs/>
                <w:color w:val="000000"/>
                <w:lang w:eastAsia="en-GB"/>
              </w:rPr>
              <w:t>There has been an error in 11 of the 12 Local Authority H-CLIC submissions for July to Sept which will also present in Oct to Dec. We have identified the cause of this and we are working together to resolve it so that the Jan to March submission is correct.</w:t>
            </w:r>
            <w:r w:rsidR="0072167D">
              <w:rPr>
                <w:rFonts w:ascii="Calibri" w:eastAsia="Times New Roman" w:hAnsi="Calibri" w:cs="Calibri"/>
                <w:bCs/>
                <w:color w:val="000000"/>
                <w:lang w:eastAsia="en-GB"/>
              </w:rPr>
              <w:t xml:space="preserve"> The figures show an over representation of </w:t>
            </w:r>
            <w:r w:rsidR="00012A59">
              <w:rPr>
                <w:rFonts w:ascii="Calibri" w:eastAsia="Times New Roman" w:hAnsi="Calibri" w:cs="Calibri"/>
                <w:bCs/>
                <w:color w:val="000000"/>
                <w:lang w:eastAsia="en-GB"/>
              </w:rPr>
              <w:t>numbers and are unlikely to impact on funding.</w:t>
            </w:r>
          </w:p>
          <w:p w14:paraId="68336281" w14:textId="77777777" w:rsidR="00D464FA" w:rsidRDefault="00D464FA" w:rsidP="001D14CC">
            <w:pPr>
              <w:rPr>
                <w:rFonts w:ascii="Calibri" w:eastAsia="Times New Roman" w:hAnsi="Calibri" w:cs="Calibri"/>
                <w:b/>
                <w:color w:val="000000"/>
                <w:lang w:eastAsia="en-GB"/>
              </w:rPr>
            </w:pPr>
          </w:p>
          <w:p w14:paraId="20494EE9" w14:textId="3E613A6B" w:rsidR="00D464FA" w:rsidRPr="008B7A77" w:rsidRDefault="008B7A77" w:rsidP="001D14CC">
            <w:pPr>
              <w:rPr>
                <w:rFonts w:ascii="Calibri" w:eastAsia="Times New Roman" w:hAnsi="Calibri" w:cs="Calibri"/>
                <w:bCs/>
                <w:color w:val="000000"/>
                <w:lang w:eastAsia="en-GB"/>
              </w:rPr>
            </w:pPr>
            <w:r w:rsidRPr="008B7A77">
              <w:rPr>
                <w:rFonts w:ascii="Calibri" w:eastAsia="Times New Roman" w:hAnsi="Calibri" w:cs="Calibri"/>
                <w:bCs/>
                <w:color w:val="000000"/>
                <w:lang w:eastAsia="en-GB"/>
              </w:rPr>
              <w:t>A draft Nominations Agreement and Hard to Let Protocol have been developed. The protocol is ready to implement and the Nominations Agreement has been sent to LA for comment and will shortly be sent out to RPs for feedback.</w:t>
            </w:r>
          </w:p>
          <w:p w14:paraId="2B7760BD" w14:textId="605B144B" w:rsidR="00334DC6" w:rsidRDefault="00334DC6" w:rsidP="001D14CC"/>
          <w:tbl>
            <w:tblPr>
              <w:tblW w:w="1920" w:type="dxa"/>
              <w:tblLook w:val="04A0" w:firstRow="1" w:lastRow="0" w:firstColumn="1" w:lastColumn="0" w:noHBand="0" w:noVBand="1"/>
            </w:tblPr>
            <w:tblGrid>
              <w:gridCol w:w="960"/>
              <w:gridCol w:w="960"/>
            </w:tblGrid>
            <w:tr w:rsidR="00ED5F6E" w:rsidRPr="00ED5F6E" w14:paraId="6246FCD2" w14:textId="77777777" w:rsidTr="0055755E">
              <w:trPr>
                <w:trHeight w:val="290"/>
              </w:trPr>
              <w:tc>
                <w:tcPr>
                  <w:tcW w:w="960" w:type="dxa"/>
                  <w:tcBorders>
                    <w:top w:val="nil"/>
                    <w:left w:val="nil"/>
                    <w:bottom w:val="nil"/>
                    <w:right w:val="nil"/>
                  </w:tcBorders>
                  <w:shd w:val="clear" w:color="auto" w:fill="auto"/>
                  <w:noWrap/>
                  <w:vAlign w:val="bottom"/>
                </w:tcPr>
                <w:p w14:paraId="6640B3DC" w14:textId="0E2DABFE" w:rsidR="00ED5F6E" w:rsidRPr="00ED5F6E" w:rsidRDefault="00ED5F6E" w:rsidP="00ED5F6E">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5B40DC0E" w14:textId="173CAFB7" w:rsidR="00ED5F6E" w:rsidRPr="00ED5F6E" w:rsidRDefault="00ED5F6E" w:rsidP="00ED5F6E">
                  <w:pPr>
                    <w:spacing w:after="0" w:line="240" w:lineRule="auto"/>
                    <w:jc w:val="right"/>
                    <w:rPr>
                      <w:rFonts w:ascii="Calibri" w:eastAsia="Times New Roman" w:hAnsi="Calibri" w:cs="Calibri"/>
                      <w:color w:val="000000"/>
                      <w:lang w:eastAsia="en-GB"/>
                    </w:rPr>
                  </w:pPr>
                </w:p>
              </w:tc>
            </w:tr>
          </w:tbl>
          <w:p w14:paraId="39D3D1D4" w14:textId="0E478D13" w:rsidR="001D14CC" w:rsidRDefault="001D14CC" w:rsidP="001921D6"/>
        </w:tc>
      </w:tr>
    </w:tbl>
    <w:p w14:paraId="4E626589" w14:textId="77777777"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12A59"/>
    <w:rsid w:val="00024DD4"/>
    <w:rsid w:val="0008130F"/>
    <w:rsid w:val="000863D0"/>
    <w:rsid w:val="000B077A"/>
    <w:rsid w:val="000B7DE5"/>
    <w:rsid w:val="00156C03"/>
    <w:rsid w:val="001921D6"/>
    <w:rsid w:val="001A0F49"/>
    <w:rsid w:val="001C492F"/>
    <w:rsid w:val="001D14CC"/>
    <w:rsid w:val="00240716"/>
    <w:rsid w:val="002437CB"/>
    <w:rsid w:val="00334DC6"/>
    <w:rsid w:val="00350479"/>
    <w:rsid w:val="00357754"/>
    <w:rsid w:val="003637E9"/>
    <w:rsid w:val="0038095D"/>
    <w:rsid w:val="0038692C"/>
    <w:rsid w:val="003B57A9"/>
    <w:rsid w:val="003D5879"/>
    <w:rsid w:val="003F5626"/>
    <w:rsid w:val="004777B5"/>
    <w:rsid w:val="00482152"/>
    <w:rsid w:val="004A548A"/>
    <w:rsid w:val="00530106"/>
    <w:rsid w:val="0055755E"/>
    <w:rsid w:val="0059299D"/>
    <w:rsid w:val="005D5265"/>
    <w:rsid w:val="005E00BF"/>
    <w:rsid w:val="005E4D17"/>
    <w:rsid w:val="006015C7"/>
    <w:rsid w:val="00605960"/>
    <w:rsid w:val="00622089"/>
    <w:rsid w:val="00633375"/>
    <w:rsid w:val="006C43EE"/>
    <w:rsid w:val="006D1AB2"/>
    <w:rsid w:val="0072167D"/>
    <w:rsid w:val="00735AE8"/>
    <w:rsid w:val="00747387"/>
    <w:rsid w:val="00781427"/>
    <w:rsid w:val="0079361C"/>
    <w:rsid w:val="007B27ED"/>
    <w:rsid w:val="007D6828"/>
    <w:rsid w:val="007E2F0C"/>
    <w:rsid w:val="008111E0"/>
    <w:rsid w:val="00833CA9"/>
    <w:rsid w:val="008441A6"/>
    <w:rsid w:val="00851E67"/>
    <w:rsid w:val="008837DF"/>
    <w:rsid w:val="008B7A77"/>
    <w:rsid w:val="008F5A4A"/>
    <w:rsid w:val="00923286"/>
    <w:rsid w:val="009403FD"/>
    <w:rsid w:val="009677C8"/>
    <w:rsid w:val="00970ADD"/>
    <w:rsid w:val="00975535"/>
    <w:rsid w:val="009845D3"/>
    <w:rsid w:val="009970DB"/>
    <w:rsid w:val="009D1D4B"/>
    <w:rsid w:val="009D7931"/>
    <w:rsid w:val="00AA4D50"/>
    <w:rsid w:val="00AD0C7D"/>
    <w:rsid w:val="00B60E9F"/>
    <w:rsid w:val="00B66F0D"/>
    <w:rsid w:val="00B806D2"/>
    <w:rsid w:val="00BA4BDA"/>
    <w:rsid w:val="00BF5592"/>
    <w:rsid w:val="00C75FED"/>
    <w:rsid w:val="00C87D3E"/>
    <w:rsid w:val="00CA6A81"/>
    <w:rsid w:val="00CA76A2"/>
    <w:rsid w:val="00CB7E5F"/>
    <w:rsid w:val="00CC30F4"/>
    <w:rsid w:val="00CE6CB2"/>
    <w:rsid w:val="00CF19AD"/>
    <w:rsid w:val="00CF2BF4"/>
    <w:rsid w:val="00D464FA"/>
    <w:rsid w:val="00DD590B"/>
    <w:rsid w:val="00E12010"/>
    <w:rsid w:val="00E26C4F"/>
    <w:rsid w:val="00E457A5"/>
    <w:rsid w:val="00E853A4"/>
    <w:rsid w:val="00EA6B2E"/>
    <w:rsid w:val="00ED5F6E"/>
    <w:rsid w:val="00EE70F5"/>
    <w:rsid w:val="00EF6C27"/>
    <w:rsid w:val="00F243DB"/>
    <w:rsid w:val="00F274A4"/>
    <w:rsid w:val="00F45153"/>
    <w:rsid w:val="00F6573A"/>
    <w:rsid w:val="00F732E0"/>
    <w:rsid w:val="00FB1A08"/>
    <w:rsid w:val="00FC3EA1"/>
    <w:rsid w:val="00FC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8785"/>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583">
      <w:bodyDiv w:val="1"/>
      <w:marLeft w:val="0"/>
      <w:marRight w:val="0"/>
      <w:marTop w:val="0"/>
      <w:marBottom w:val="0"/>
      <w:divBdr>
        <w:top w:val="none" w:sz="0" w:space="0" w:color="auto"/>
        <w:left w:val="none" w:sz="0" w:space="0" w:color="auto"/>
        <w:bottom w:val="none" w:sz="0" w:space="0" w:color="auto"/>
        <w:right w:val="none" w:sz="0" w:space="0" w:color="auto"/>
      </w:divBdr>
    </w:div>
    <w:div w:id="10498329">
      <w:bodyDiv w:val="1"/>
      <w:marLeft w:val="0"/>
      <w:marRight w:val="0"/>
      <w:marTop w:val="0"/>
      <w:marBottom w:val="0"/>
      <w:divBdr>
        <w:top w:val="none" w:sz="0" w:space="0" w:color="auto"/>
        <w:left w:val="none" w:sz="0" w:space="0" w:color="auto"/>
        <w:bottom w:val="none" w:sz="0" w:space="0" w:color="auto"/>
        <w:right w:val="none" w:sz="0" w:space="0" w:color="auto"/>
      </w:divBdr>
    </w:div>
    <w:div w:id="71709016">
      <w:bodyDiv w:val="1"/>
      <w:marLeft w:val="0"/>
      <w:marRight w:val="0"/>
      <w:marTop w:val="0"/>
      <w:marBottom w:val="0"/>
      <w:divBdr>
        <w:top w:val="none" w:sz="0" w:space="0" w:color="auto"/>
        <w:left w:val="none" w:sz="0" w:space="0" w:color="auto"/>
        <w:bottom w:val="none" w:sz="0" w:space="0" w:color="auto"/>
        <w:right w:val="none" w:sz="0" w:space="0" w:color="auto"/>
      </w:divBdr>
    </w:div>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41121536">
      <w:bodyDiv w:val="1"/>
      <w:marLeft w:val="0"/>
      <w:marRight w:val="0"/>
      <w:marTop w:val="0"/>
      <w:marBottom w:val="0"/>
      <w:divBdr>
        <w:top w:val="none" w:sz="0" w:space="0" w:color="auto"/>
        <w:left w:val="none" w:sz="0" w:space="0" w:color="auto"/>
        <w:bottom w:val="none" w:sz="0" w:space="0" w:color="auto"/>
        <w:right w:val="none" w:sz="0" w:space="0" w:color="auto"/>
      </w:divBdr>
    </w:div>
    <w:div w:id="167671762">
      <w:bodyDiv w:val="1"/>
      <w:marLeft w:val="0"/>
      <w:marRight w:val="0"/>
      <w:marTop w:val="0"/>
      <w:marBottom w:val="0"/>
      <w:divBdr>
        <w:top w:val="none" w:sz="0" w:space="0" w:color="auto"/>
        <w:left w:val="none" w:sz="0" w:space="0" w:color="auto"/>
        <w:bottom w:val="none" w:sz="0" w:space="0" w:color="auto"/>
        <w:right w:val="none" w:sz="0" w:space="0" w:color="auto"/>
      </w:divBdr>
    </w:div>
    <w:div w:id="171847625">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295914759">
      <w:bodyDiv w:val="1"/>
      <w:marLeft w:val="0"/>
      <w:marRight w:val="0"/>
      <w:marTop w:val="0"/>
      <w:marBottom w:val="0"/>
      <w:divBdr>
        <w:top w:val="none" w:sz="0" w:space="0" w:color="auto"/>
        <w:left w:val="none" w:sz="0" w:space="0" w:color="auto"/>
        <w:bottom w:val="none" w:sz="0" w:space="0" w:color="auto"/>
        <w:right w:val="none" w:sz="0" w:space="0" w:color="auto"/>
      </w:divBdr>
    </w:div>
    <w:div w:id="312685084">
      <w:bodyDiv w:val="1"/>
      <w:marLeft w:val="0"/>
      <w:marRight w:val="0"/>
      <w:marTop w:val="0"/>
      <w:marBottom w:val="0"/>
      <w:divBdr>
        <w:top w:val="none" w:sz="0" w:space="0" w:color="auto"/>
        <w:left w:val="none" w:sz="0" w:space="0" w:color="auto"/>
        <w:bottom w:val="none" w:sz="0" w:space="0" w:color="auto"/>
        <w:right w:val="none" w:sz="0" w:space="0" w:color="auto"/>
      </w:divBdr>
    </w:div>
    <w:div w:id="328751554">
      <w:bodyDiv w:val="1"/>
      <w:marLeft w:val="0"/>
      <w:marRight w:val="0"/>
      <w:marTop w:val="0"/>
      <w:marBottom w:val="0"/>
      <w:divBdr>
        <w:top w:val="none" w:sz="0" w:space="0" w:color="auto"/>
        <w:left w:val="none" w:sz="0" w:space="0" w:color="auto"/>
        <w:bottom w:val="none" w:sz="0" w:space="0" w:color="auto"/>
        <w:right w:val="none" w:sz="0" w:space="0" w:color="auto"/>
      </w:divBdr>
    </w:div>
    <w:div w:id="339356736">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368728693">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48934686">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486019472">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522980848">
      <w:bodyDiv w:val="1"/>
      <w:marLeft w:val="0"/>
      <w:marRight w:val="0"/>
      <w:marTop w:val="0"/>
      <w:marBottom w:val="0"/>
      <w:divBdr>
        <w:top w:val="none" w:sz="0" w:space="0" w:color="auto"/>
        <w:left w:val="none" w:sz="0" w:space="0" w:color="auto"/>
        <w:bottom w:val="none" w:sz="0" w:space="0" w:color="auto"/>
        <w:right w:val="none" w:sz="0" w:space="0" w:color="auto"/>
      </w:divBdr>
    </w:div>
    <w:div w:id="550116585">
      <w:bodyDiv w:val="1"/>
      <w:marLeft w:val="0"/>
      <w:marRight w:val="0"/>
      <w:marTop w:val="0"/>
      <w:marBottom w:val="0"/>
      <w:divBdr>
        <w:top w:val="none" w:sz="0" w:space="0" w:color="auto"/>
        <w:left w:val="none" w:sz="0" w:space="0" w:color="auto"/>
        <w:bottom w:val="none" w:sz="0" w:space="0" w:color="auto"/>
        <w:right w:val="none" w:sz="0" w:space="0" w:color="auto"/>
      </w:divBdr>
    </w:div>
    <w:div w:id="611934161">
      <w:bodyDiv w:val="1"/>
      <w:marLeft w:val="0"/>
      <w:marRight w:val="0"/>
      <w:marTop w:val="0"/>
      <w:marBottom w:val="0"/>
      <w:divBdr>
        <w:top w:val="none" w:sz="0" w:space="0" w:color="auto"/>
        <w:left w:val="none" w:sz="0" w:space="0" w:color="auto"/>
        <w:bottom w:val="none" w:sz="0" w:space="0" w:color="auto"/>
        <w:right w:val="none" w:sz="0" w:space="0" w:color="auto"/>
      </w:divBdr>
    </w:div>
    <w:div w:id="682321119">
      <w:bodyDiv w:val="1"/>
      <w:marLeft w:val="0"/>
      <w:marRight w:val="0"/>
      <w:marTop w:val="0"/>
      <w:marBottom w:val="0"/>
      <w:divBdr>
        <w:top w:val="none" w:sz="0" w:space="0" w:color="auto"/>
        <w:left w:val="none" w:sz="0" w:space="0" w:color="auto"/>
        <w:bottom w:val="none" w:sz="0" w:space="0" w:color="auto"/>
        <w:right w:val="none" w:sz="0" w:space="0" w:color="auto"/>
      </w:divBdr>
    </w:div>
    <w:div w:id="697975970">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096747857">
      <w:bodyDiv w:val="1"/>
      <w:marLeft w:val="0"/>
      <w:marRight w:val="0"/>
      <w:marTop w:val="0"/>
      <w:marBottom w:val="0"/>
      <w:divBdr>
        <w:top w:val="none" w:sz="0" w:space="0" w:color="auto"/>
        <w:left w:val="none" w:sz="0" w:space="0" w:color="auto"/>
        <w:bottom w:val="none" w:sz="0" w:space="0" w:color="auto"/>
        <w:right w:val="none" w:sz="0" w:space="0" w:color="auto"/>
      </w:divBdr>
    </w:div>
    <w:div w:id="1098646858">
      <w:bodyDiv w:val="1"/>
      <w:marLeft w:val="0"/>
      <w:marRight w:val="0"/>
      <w:marTop w:val="0"/>
      <w:marBottom w:val="0"/>
      <w:divBdr>
        <w:top w:val="none" w:sz="0" w:space="0" w:color="auto"/>
        <w:left w:val="none" w:sz="0" w:space="0" w:color="auto"/>
        <w:bottom w:val="none" w:sz="0" w:space="0" w:color="auto"/>
        <w:right w:val="none" w:sz="0" w:space="0" w:color="auto"/>
      </w:divBdr>
    </w:div>
    <w:div w:id="1152139762">
      <w:bodyDiv w:val="1"/>
      <w:marLeft w:val="0"/>
      <w:marRight w:val="0"/>
      <w:marTop w:val="0"/>
      <w:marBottom w:val="0"/>
      <w:divBdr>
        <w:top w:val="none" w:sz="0" w:space="0" w:color="auto"/>
        <w:left w:val="none" w:sz="0" w:space="0" w:color="auto"/>
        <w:bottom w:val="none" w:sz="0" w:space="0" w:color="auto"/>
        <w:right w:val="none" w:sz="0" w:space="0" w:color="auto"/>
      </w:divBdr>
    </w:div>
    <w:div w:id="1159691553">
      <w:bodyDiv w:val="1"/>
      <w:marLeft w:val="0"/>
      <w:marRight w:val="0"/>
      <w:marTop w:val="0"/>
      <w:marBottom w:val="0"/>
      <w:divBdr>
        <w:top w:val="none" w:sz="0" w:space="0" w:color="auto"/>
        <w:left w:val="none" w:sz="0" w:space="0" w:color="auto"/>
        <w:bottom w:val="none" w:sz="0" w:space="0" w:color="auto"/>
        <w:right w:val="none" w:sz="0" w:space="0" w:color="auto"/>
      </w:divBdr>
    </w:div>
    <w:div w:id="1165559889">
      <w:bodyDiv w:val="1"/>
      <w:marLeft w:val="0"/>
      <w:marRight w:val="0"/>
      <w:marTop w:val="0"/>
      <w:marBottom w:val="0"/>
      <w:divBdr>
        <w:top w:val="none" w:sz="0" w:space="0" w:color="auto"/>
        <w:left w:val="none" w:sz="0" w:space="0" w:color="auto"/>
        <w:bottom w:val="none" w:sz="0" w:space="0" w:color="auto"/>
        <w:right w:val="none" w:sz="0" w:space="0" w:color="auto"/>
      </w:divBdr>
    </w:div>
    <w:div w:id="1168254009">
      <w:bodyDiv w:val="1"/>
      <w:marLeft w:val="0"/>
      <w:marRight w:val="0"/>
      <w:marTop w:val="0"/>
      <w:marBottom w:val="0"/>
      <w:divBdr>
        <w:top w:val="none" w:sz="0" w:space="0" w:color="auto"/>
        <w:left w:val="none" w:sz="0" w:space="0" w:color="auto"/>
        <w:bottom w:val="none" w:sz="0" w:space="0" w:color="auto"/>
        <w:right w:val="none" w:sz="0" w:space="0" w:color="auto"/>
      </w:divBdr>
    </w:div>
    <w:div w:id="1186408840">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407218706">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783571218">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32720967">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1123350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 w:id="2051026907">
      <w:bodyDiv w:val="1"/>
      <w:marLeft w:val="0"/>
      <w:marRight w:val="0"/>
      <w:marTop w:val="0"/>
      <w:marBottom w:val="0"/>
      <w:divBdr>
        <w:top w:val="none" w:sz="0" w:space="0" w:color="auto"/>
        <w:left w:val="none" w:sz="0" w:space="0" w:color="auto"/>
        <w:bottom w:val="none" w:sz="0" w:space="0" w:color="auto"/>
        <w:right w:val="none" w:sz="0" w:space="0" w:color="auto"/>
      </w:divBdr>
    </w:div>
    <w:div w:id="21193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2024-03-18T08:51:00Z</dcterms:created>
  <dcterms:modified xsi:type="dcterms:W3CDTF">2024-03-18T08:51:00Z</dcterms:modified>
</cp:coreProperties>
</file>