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06BE" w14:textId="16B3D141" w:rsidR="00FC3EA1" w:rsidRPr="000B7DE5" w:rsidRDefault="0038692C" w:rsidP="00FC3EA1">
      <w:r>
        <w:t>Events</w:t>
      </w:r>
      <w:r w:rsidR="007E2F0C">
        <w:t xml:space="preserve"> Group</w:t>
      </w:r>
      <w:r w:rsidR="00FC3EA1">
        <w:t xml:space="preserve"> – </w:t>
      </w:r>
      <w:bookmarkStart w:id="0" w:name="_GoBack"/>
      <w:bookmarkEnd w:id="0"/>
    </w:p>
    <w:tbl>
      <w:tblPr>
        <w:tblStyle w:val="TableGrid"/>
        <w:tblW w:w="0" w:type="auto"/>
        <w:tblLook w:val="04A0" w:firstRow="1" w:lastRow="0" w:firstColumn="1" w:lastColumn="0" w:noHBand="0" w:noVBand="1"/>
      </w:tblPr>
      <w:tblGrid>
        <w:gridCol w:w="799"/>
        <w:gridCol w:w="3284"/>
        <w:gridCol w:w="1353"/>
        <w:gridCol w:w="3580"/>
      </w:tblGrid>
      <w:tr w:rsidR="00156C03" w14:paraId="3BE5FFF0" w14:textId="77777777" w:rsidTr="00156C03">
        <w:tc>
          <w:tcPr>
            <w:tcW w:w="9016" w:type="dxa"/>
            <w:gridSpan w:val="4"/>
            <w:shd w:val="clear" w:color="auto" w:fill="9CC2E5" w:themeFill="accent1" w:themeFillTint="99"/>
          </w:tcPr>
          <w:p w14:paraId="55446510" w14:textId="51A4DE3C" w:rsidR="00156C03" w:rsidRDefault="00156C03" w:rsidP="003625ED">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77410B">
              <w:rPr>
                <w:rFonts w:ascii="Calibri" w:eastAsia="Times New Roman" w:hAnsi="Calibri" w:cs="Calibri"/>
                <w:b/>
                <w:color w:val="000000"/>
                <w:lang w:eastAsia="en-GB"/>
              </w:rPr>
              <w:t xml:space="preserve"> </w:t>
            </w:r>
            <w:r w:rsidR="003625ED">
              <w:rPr>
                <w:rFonts w:ascii="Calibri" w:eastAsia="Times New Roman" w:hAnsi="Calibri" w:cs="Calibri"/>
                <w:b/>
                <w:color w:val="000000"/>
                <w:lang w:eastAsia="en-GB"/>
              </w:rPr>
              <w:t>March 2024</w:t>
            </w:r>
          </w:p>
        </w:tc>
      </w:tr>
      <w:tr w:rsidR="00FC3EA1" w14:paraId="4FCE3831" w14:textId="77777777" w:rsidTr="009D7931">
        <w:tc>
          <w:tcPr>
            <w:tcW w:w="799" w:type="dxa"/>
          </w:tcPr>
          <w:p w14:paraId="0198796D" w14:textId="77777777" w:rsidR="00FC3EA1" w:rsidRDefault="0038692C" w:rsidP="00FC3EA1">
            <w:pPr>
              <w:rPr>
                <w:rFonts w:ascii="Calibri" w:eastAsia="Times New Roman" w:hAnsi="Calibri" w:cs="Calibri"/>
                <w:color w:val="000000"/>
                <w:lang w:eastAsia="en-GB"/>
              </w:rPr>
            </w:pPr>
            <w:r>
              <w:rPr>
                <w:rFonts w:ascii="Calibri" w:eastAsia="Times New Roman" w:hAnsi="Calibri" w:cs="Calibri"/>
                <w:color w:val="000000"/>
                <w:lang w:eastAsia="en-GB"/>
              </w:rPr>
              <w:t>R</w:t>
            </w:r>
            <w:r w:rsidR="00FC3EA1">
              <w:rPr>
                <w:rFonts w:ascii="Calibri" w:eastAsia="Times New Roman" w:hAnsi="Calibri" w:cs="Calibri"/>
                <w:color w:val="000000"/>
                <w:lang w:eastAsia="en-GB"/>
              </w:rPr>
              <w:t>ef</w:t>
            </w:r>
          </w:p>
        </w:tc>
        <w:tc>
          <w:tcPr>
            <w:tcW w:w="3284" w:type="dxa"/>
          </w:tcPr>
          <w:p w14:paraId="5176F8E7" w14:textId="77777777" w:rsidR="00FC3EA1" w:rsidRDefault="00FC3EA1" w:rsidP="00FC3EA1">
            <w:pPr>
              <w:rPr>
                <w:rFonts w:ascii="Calibri" w:eastAsia="Times New Roman" w:hAnsi="Calibri" w:cs="Calibri"/>
                <w:color w:val="000000"/>
                <w:lang w:eastAsia="en-GB"/>
              </w:rPr>
            </w:pPr>
          </w:p>
        </w:tc>
        <w:tc>
          <w:tcPr>
            <w:tcW w:w="1353" w:type="dxa"/>
          </w:tcPr>
          <w:p w14:paraId="5C37997F"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5C0891CC"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3C4934E6" w14:textId="77777777" w:rsidTr="003637E9">
        <w:tc>
          <w:tcPr>
            <w:tcW w:w="9016" w:type="dxa"/>
            <w:gridSpan w:val="4"/>
            <w:shd w:val="clear" w:color="auto" w:fill="9CC2E5" w:themeFill="accent1" w:themeFillTint="99"/>
          </w:tcPr>
          <w:p w14:paraId="354E9E05" w14:textId="77777777" w:rsidR="00FC3EA1" w:rsidRDefault="00FC3EA1" w:rsidP="009D7931">
            <w:pPr>
              <w:rPr>
                <w:b/>
              </w:rPr>
            </w:pPr>
            <w:r w:rsidRPr="00FC3EA1">
              <w:rPr>
                <w:b/>
              </w:rPr>
              <w:t>Theme Health and wellbeing</w:t>
            </w:r>
            <w:r w:rsidR="007E2F0C">
              <w:rPr>
                <w:b/>
              </w:rPr>
              <w:t xml:space="preserve"> – none identified for this group</w:t>
            </w:r>
          </w:p>
          <w:p w14:paraId="24110713" w14:textId="77777777" w:rsidR="007E2F0C" w:rsidRDefault="007E2F0C" w:rsidP="009D7931">
            <w:pPr>
              <w:rPr>
                <w:rFonts w:ascii="Calibri" w:eastAsia="Times New Roman" w:hAnsi="Calibri" w:cs="Calibri"/>
                <w:color w:val="000000"/>
                <w:lang w:eastAsia="en-GB"/>
              </w:rPr>
            </w:pPr>
          </w:p>
        </w:tc>
      </w:tr>
      <w:tr w:rsidR="009D7931" w14:paraId="4C82CEF2" w14:textId="77777777" w:rsidTr="009D7931">
        <w:tc>
          <w:tcPr>
            <w:tcW w:w="799" w:type="dxa"/>
            <w:shd w:val="clear" w:color="auto" w:fill="auto"/>
          </w:tcPr>
          <w:p w14:paraId="5F7F42F4" w14:textId="77777777" w:rsidR="009D7931" w:rsidRPr="009D7931" w:rsidRDefault="009D7931" w:rsidP="009D7931"/>
        </w:tc>
        <w:tc>
          <w:tcPr>
            <w:tcW w:w="3284" w:type="dxa"/>
            <w:shd w:val="clear" w:color="auto" w:fill="auto"/>
          </w:tcPr>
          <w:p w14:paraId="30387DF5" w14:textId="77777777" w:rsidR="009D7931" w:rsidRPr="009D7931" w:rsidRDefault="009D7931" w:rsidP="009D7931"/>
        </w:tc>
        <w:tc>
          <w:tcPr>
            <w:tcW w:w="1353" w:type="dxa"/>
            <w:shd w:val="clear" w:color="auto" w:fill="auto"/>
          </w:tcPr>
          <w:p w14:paraId="0244E864" w14:textId="77777777" w:rsidR="009D7931" w:rsidRPr="009D7931" w:rsidRDefault="009D7931" w:rsidP="009D7931"/>
        </w:tc>
        <w:tc>
          <w:tcPr>
            <w:tcW w:w="3580" w:type="dxa"/>
            <w:shd w:val="clear" w:color="auto" w:fill="auto"/>
          </w:tcPr>
          <w:p w14:paraId="2893E346" w14:textId="77777777" w:rsidR="009D7931" w:rsidRPr="009D7931" w:rsidRDefault="009D7931" w:rsidP="009D7931"/>
        </w:tc>
      </w:tr>
      <w:tr w:rsidR="009D1D4B" w14:paraId="20DFF935" w14:textId="77777777" w:rsidTr="003637E9">
        <w:tc>
          <w:tcPr>
            <w:tcW w:w="9016" w:type="dxa"/>
            <w:gridSpan w:val="4"/>
            <w:shd w:val="clear" w:color="auto" w:fill="9CC2E5" w:themeFill="accent1" w:themeFillTint="99"/>
          </w:tcPr>
          <w:p w14:paraId="5149F494" w14:textId="77777777" w:rsidR="009D1D4B" w:rsidRPr="003637E9" w:rsidRDefault="002437CB" w:rsidP="00FC3EA1">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14:paraId="1D38A35D" w14:textId="77777777" w:rsidR="003637E9" w:rsidRPr="003637E9" w:rsidRDefault="003637E9" w:rsidP="00FC3EA1">
            <w:pPr>
              <w:rPr>
                <w:rFonts w:ascii="Calibri" w:eastAsia="Times New Roman" w:hAnsi="Calibri" w:cs="Calibri"/>
                <w:b/>
                <w:color w:val="000000"/>
                <w:lang w:eastAsia="en-GB"/>
              </w:rPr>
            </w:pPr>
          </w:p>
        </w:tc>
      </w:tr>
      <w:tr w:rsidR="00FC3EA1" w14:paraId="0A953279" w14:textId="77777777" w:rsidTr="009D7931">
        <w:tc>
          <w:tcPr>
            <w:tcW w:w="799" w:type="dxa"/>
          </w:tcPr>
          <w:p w14:paraId="4B68389A" w14:textId="77777777" w:rsidR="00FC3EA1" w:rsidRDefault="007E2F0C" w:rsidP="00FC3EA1">
            <w:pPr>
              <w:rPr>
                <w:rFonts w:ascii="Calibri" w:eastAsia="Times New Roman" w:hAnsi="Calibri" w:cs="Calibri"/>
                <w:color w:val="000000"/>
                <w:lang w:eastAsia="en-GB"/>
              </w:rPr>
            </w:pPr>
            <w:r>
              <w:rPr>
                <w:rFonts w:ascii="Calibri" w:eastAsia="Times New Roman" w:hAnsi="Calibri" w:cs="Calibri"/>
                <w:color w:val="000000"/>
                <w:lang w:eastAsia="en-GB"/>
              </w:rPr>
              <w:t>SH1</w:t>
            </w:r>
          </w:p>
        </w:tc>
        <w:tc>
          <w:tcPr>
            <w:tcW w:w="3284" w:type="dxa"/>
          </w:tcPr>
          <w:p w14:paraId="78503752" w14:textId="77777777" w:rsidR="007E2F0C" w:rsidRDefault="007E2F0C" w:rsidP="007E2F0C">
            <w:pPr>
              <w:rPr>
                <w:rFonts w:ascii="Calibri" w:hAnsi="Calibri" w:cs="Calibri"/>
                <w:color w:val="000000"/>
              </w:rPr>
            </w:pPr>
            <w:r>
              <w:rPr>
                <w:rFonts w:ascii="Calibri" w:hAnsi="Calibri" w:cs="Calibri"/>
                <w:color w:val="000000"/>
              </w:rPr>
              <w:t>Anticipate, influence and shape implementation of new legislation and regulatory regime to improve the quality and safety of homes across the public and private sectors</w:t>
            </w:r>
          </w:p>
          <w:p w14:paraId="38673AA7" w14:textId="77777777" w:rsidR="00FC3EA1" w:rsidRPr="009D1D4B" w:rsidRDefault="00FC3EA1" w:rsidP="009D1D4B">
            <w:pPr>
              <w:rPr>
                <w:rFonts w:ascii="Calibri" w:hAnsi="Calibri" w:cs="Calibri"/>
                <w:color w:val="000000"/>
              </w:rPr>
            </w:pPr>
          </w:p>
        </w:tc>
        <w:tc>
          <w:tcPr>
            <w:tcW w:w="1353" w:type="dxa"/>
          </w:tcPr>
          <w:p w14:paraId="6B41E7DD" w14:textId="77777777" w:rsidR="00FC3EA1" w:rsidRDefault="0038692C" w:rsidP="00FC3EA1">
            <w:pPr>
              <w:rPr>
                <w:rFonts w:ascii="Calibri" w:eastAsia="Times New Roman" w:hAnsi="Calibri" w:cs="Calibri"/>
                <w:color w:val="000000"/>
                <w:lang w:eastAsia="en-GB"/>
              </w:rPr>
            </w:pPr>
            <w:r>
              <w:rPr>
                <w:rFonts w:ascii="Calibri" w:eastAsia="Times New Roman" w:hAnsi="Calibri" w:cs="Calibri"/>
                <w:color w:val="000000"/>
                <w:lang w:eastAsia="en-GB"/>
              </w:rPr>
              <w:t>Events or promotion</w:t>
            </w:r>
          </w:p>
        </w:tc>
        <w:tc>
          <w:tcPr>
            <w:tcW w:w="3580" w:type="dxa"/>
          </w:tcPr>
          <w:p w14:paraId="06ECDDC3" w14:textId="77777777" w:rsidR="00FC3EA1" w:rsidRDefault="00E24FA4" w:rsidP="003625ED">
            <w:pPr>
              <w:rPr>
                <w:rFonts w:ascii="Calibri" w:eastAsia="Times New Roman" w:hAnsi="Calibri" w:cs="Calibri"/>
                <w:color w:val="000000"/>
                <w:lang w:eastAsia="en-GB"/>
              </w:rPr>
            </w:pPr>
            <w:r>
              <w:rPr>
                <w:rFonts w:ascii="Calibri" w:eastAsia="Times New Roman" w:hAnsi="Calibri" w:cs="Calibri"/>
                <w:color w:val="000000"/>
                <w:lang w:eastAsia="en-GB"/>
              </w:rPr>
              <w:t xml:space="preserve">KHG </w:t>
            </w:r>
            <w:r w:rsidR="003625ED">
              <w:rPr>
                <w:rFonts w:ascii="Calibri" w:eastAsia="Times New Roman" w:hAnsi="Calibri" w:cs="Calibri"/>
                <w:color w:val="000000"/>
                <w:lang w:eastAsia="en-GB"/>
              </w:rPr>
              <w:t>ran a Consumer Standards event on 13</w:t>
            </w:r>
            <w:r w:rsidR="003625ED" w:rsidRPr="003625ED">
              <w:rPr>
                <w:rFonts w:ascii="Calibri" w:eastAsia="Times New Roman" w:hAnsi="Calibri" w:cs="Calibri"/>
                <w:color w:val="000000"/>
                <w:vertAlign w:val="superscript"/>
                <w:lang w:eastAsia="en-GB"/>
              </w:rPr>
              <w:t>th</w:t>
            </w:r>
            <w:r w:rsidR="003625ED">
              <w:rPr>
                <w:rFonts w:ascii="Calibri" w:eastAsia="Times New Roman" w:hAnsi="Calibri" w:cs="Calibri"/>
                <w:color w:val="000000"/>
                <w:lang w:eastAsia="en-GB"/>
              </w:rPr>
              <w:t xml:space="preserve"> March.</w:t>
            </w:r>
          </w:p>
          <w:p w14:paraId="62F747AF" w14:textId="77777777" w:rsidR="003625ED" w:rsidRDefault="003625ED" w:rsidP="003625ED">
            <w:pPr>
              <w:rPr>
                <w:rFonts w:ascii="Calibri" w:eastAsia="Times New Roman" w:hAnsi="Calibri" w:cs="Calibri"/>
                <w:color w:val="000000"/>
                <w:lang w:eastAsia="en-GB"/>
              </w:rPr>
            </w:pPr>
          </w:p>
          <w:p w14:paraId="5A690943" w14:textId="03DA5756" w:rsidR="003625ED" w:rsidRDefault="003625ED" w:rsidP="003625ED">
            <w:pPr>
              <w:rPr>
                <w:rFonts w:ascii="Calibri" w:eastAsia="Times New Roman" w:hAnsi="Calibri" w:cs="Calibri"/>
                <w:color w:val="000000"/>
                <w:lang w:eastAsia="en-GB"/>
              </w:rPr>
            </w:pPr>
            <w:r>
              <w:rPr>
                <w:rFonts w:ascii="Calibri" w:eastAsia="Times New Roman" w:hAnsi="Calibri" w:cs="Calibri"/>
                <w:color w:val="000000"/>
                <w:lang w:eastAsia="en-GB"/>
              </w:rPr>
              <w:t xml:space="preserve">The Fire Safety in Sheltered Accommodation in January helped members be clear on the requirements for these types of accommodation. </w:t>
            </w:r>
          </w:p>
        </w:tc>
      </w:tr>
      <w:tr w:rsidR="00E03075" w14:paraId="10CC80E5" w14:textId="77777777" w:rsidTr="009D7931">
        <w:tc>
          <w:tcPr>
            <w:tcW w:w="799" w:type="dxa"/>
          </w:tcPr>
          <w:p w14:paraId="18BE0B59" w14:textId="77777777" w:rsidR="00E03075" w:rsidRDefault="00E03075" w:rsidP="00E03075">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284" w:type="dxa"/>
          </w:tcPr>
          <w:p w14:paraId="4DC6226F" w14:textId="77777777" w:rsidR="00E03075" w:rsidRDefault="00E03075" w:rsidP="00E03075">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4523D2A4" w14:textId="77777777" w:rsidR="00E03075" w:rsidRPr="009D1D4B" w:rsidRDefault="00E03075" w:rsidP="00E03075">
            <w:pPr>
              <w:rPr>
                <w:rFonts w:ascii="Calibri" w:hAnsi="Calibri" w:cs="Calibri"/>
                <w:color w:val="000000"/>
              </w:rPr>
            </w:pPr>
          </w:p>
        </w:tc>
        <w:tc>
          <w:tcPr>
            <w:tcW w:w="1353" w:type="dxa"/>
          </w:tcPr>
          <w:p w14:paraId="0A54C103" w14:textId="77777777" w:rsidR="00E03075" w:rsidRDefault="00E03075" w:rsidP="00E03075">
            <w:pPr>
              <w:rPr>
                <w:rFonts w:ascii="Calibri" w:eastAsia="Times New Roman" w:hAnsi="Calibri" w:cs="Calibri"/>
                <w:color w:val="000000"/>
                <w:lang w:eastAsia="en-GB"/>
              </w:rPr>
            </w:pPr>
            <w:r>
              <w:rPr>
                <w:rFonts w:ascii="Calibri" w:eastAsia="Times New Roman" w:hAnsi="Calibri" w:cs="Calibri"/>
                <w:color w:val="000000"/>
                <w:lang w:eastAsia="en-GB"/>
              </w:rPr>
              <w:t>Events or promotion</w:t>
            </w:r>
          </w:p>
        </w:tc>
        <w:tc>
          <w:tcPr>
            <w:tcW w:w="3580" w:type="dxa"/>
          </w:tcPr>
          <w:p w14:paraId="707D44FD" w14:textId="7BBB57D6" w:rsidR="00E03075" w:rsidRDefault="00E03075" w:rsidP="00E03075">
            <w:pPr>
              <w:rPr>
                <w:rFonts w:ascii="Calibri" w:eastAsia="Times New Roman" w:hAnsi="Calibri" w:cs="Calibri"/>
                <w:color w:val="000000"/>
                <w:lang w:eastAsia="en-GB"/>
              </w:rPr>
            </w:pPr>
          </w:p>
        </w:tc>
      </w:tr>
      <w:tr w:rsidR="000B7DE5" w14:paraId="1B9E34FB" w14:textId="77777777" w:rsidTr="003637E9">
        <w:tc>
          <w:tcPr>
            <w:tcW w:w="9016" w:type="dxa"/>
            <w:gridSpan w:val="4"/>
            <w:shd w:val="clear" w:color="auto" w:fill="9CC2E5" w:themeFill="accent1" w:themeFillTint="99"/>
          </w:tcPr>
          <w:p w14:paraId="107982B9" w14:textId="77777777"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r w:rsidR="009D7931">
              <w:rPr>
                <w:b/>
              </w:rPr>
              <w:t>possibly no actions for this sub group</w:t>
            </w:r>
          </w:p>
          <w:p w14:paraId="2098A928" w14:textId="77777777" w:rsidR="003637E9" w:rsidRDefault="003637E9" w:rsidP="003637E9">
            <w:pPr>
              <w:tabs>
                <w:tab w:val="left" w:pos="2430"/>
              </w:tabs>
              <w:rPr>
                <w:rFonts w:ascii="Calibri" w:eastAsia="Times New Roman" w:hAnsi="Calibri" w:cs="Calibri"/>
                <w:color w:val="000000"/>
                <w:lang w:eastAsia="en-GB"/>
              </w:rPr>
            </w:pPr>
          </w:p>
        </w:tc>
      </w:tr>
      <w:tr w:rsidR="003637E9" w14:paraId="18208FC0" w14:textId="77777777" w:rsidTr="003637E9">
        <w:tc>
          <w:tcPr>
            <w:tcW w:w="9016" w:type="dxa"/>
            <w:gridSpan w:val="4"/>
            <w:shd w:val="clear" w:color="auto" w:fill="9CC2E5" w:themeFill="accent1" w:themeFillTint="99"/>
          </w:tcPr>
          <w:p w14:paraId="1F6345AC"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r w:rsidR="009D7931">
              <w:rPr>
                <w:b/>
              </w:rPr>
              <w:t>possibly no actions for this sub group</w:t>
            </w:r>
          </w:p>
          <w:p w14:paraId="3E748BB6" w14:textId="77777777" w:rsidR="003637E9" w:rsidRPr="003637E9" w:rsidRDefault="003637E9" w:rsidP="003637E9">
            <w:pPr>
              <w:rPr>
                <w:rFonts w:ascii="Calibri" w:eastAsia="Times New Roman" w:hAnsi="Calibri" w:cs="Calibri"/>
                <w:b/>
                <w:color w:val="000000"/>
                <w:lang w:eastAsia="en-GB"/>
              </w:rPr>
            </w:pPr>
          </w:p>
        </w:tc>
      </w:tr>
      <w:tr w:rsidR="0038692C" w14:paraId="3FFE3ED2" w14:textId="77777777" w:rsidTr="0038692C">
        <w:tc>
          <w:tcPr>
            <w:tcW w:w="799" w:type="dxa"/>
            <w:shd w:val="clear" w:color="auto" w:fill="auto"/>
          </w:tcPr>
          <w:p w14:paraId="343768EE" w14:textId="77777777" w:rsidR="0038692C" w:rsidRPr="0038692C" w:rsidRDefault="0038692C" w:rsidP="003637E9">
            <w:r w:rsidRPr="0038692C">
              <w:t>HD1</w:t>
            </w:r>
          </w:p>
        </w:tc>
        <w:tc>
          <w:tcPr>
            <w:tcW w:w="3284" w:type="dxa"/>
            <w:shd w:val="clear" w:color="auto" w:fill="auto"/>
          </w:tcPr>
          <w:p w14:paraId="4CC1446F" w14:textId="77777777" w:rsidR="0038692C" w:rsidRDefault="0038692C" w:rsidP="0038692C">
            <w:pPr>
              <w:spacing w:after="240"/>
              <w:rPr>
                <w:rFonts w:ascii="Calibri" w:hAnsi="Calibri" w:cs="Calibri"/>
                <w:color w:val="000000"/>
              </w:rPr>
            </w:pPr>
            <w:r>
              <w:rPr>
                <w:rFonts w:ascii="Calibri" w:hAnsi="Calibri" w:cs="Calibri"/>
                <w:color w:val="000000"/>
              </w:rPr>
              <w:t>Use the strength and commitment of the membership to engage, and where appropriate lobby Government to ensure that both national and local policy are linked to the agreed  strategic objectives outlined within this strategy and individually across the membership are met, using the ‘voice of housing in Kent’ to maximum effect</w:t>
            </w:r>
          </w:p>
          <w:p w14:paraId="2D6B253A" w14:textId="77777777" w:rsidR="0038692C" w:rsidRPr="0038692C" w:rsidRDefault="0038692C" w:rsidP="003637E9"/>
        </w:tc>
        <w:tc>
          <w:tcPr>
            <w:tcW w:w="1353" w:type="dxa"/>
            <w:shd w:val="clear" w:color="auto" w:fill="auto"/>
          </w:tcPr>
          <w:p w14:paraId="027FDFD1" w14:textId="77777777" w:rsidR="0038692C" w:rsidRPr="0038692C" w:rsidRDefault="0038692C" w:rsidP="003637E9">
            <w:r>
              <w:rPr>
                <w:rFonts w:ascii="Calibri" w:eastAsia="Times New Roman" w:hAnsi="Calibri" w:cs="Calibri"/>
                <w:color w:val="000000"/>
                <w:lang w:eastAsia="en-GB"/>
              </w:rPr>
              <w:t>Events or promotion</w:t>
            </w:r>
          </w:p>
        </w:tc>
        <w:tc>
          <w:tcPr>
            <w:tcW w:w="3580" w:type="dxa"/>
            <w:shd w:val="clear" w:color="auto" w:fill="auto"/>
          </w:tcPr>
          <w:p w14:paraId="7EB9FBCF" w14:textId="53661298" w:rsidR="0038692C" w:rsidRPr="0038692C" w:rsidRDefault="003625ED" w:rsidP="003637E9">
            <w:r>
              <w:t>The Conference on the 5</w:t>
            </w:r>
            <w:r w:rsidRPr="003625ED">
              <w:rPr>
                <w:vertAlign w:val="superscript"/>
              </w:rPr>
              <w:t>th</w:t>
            </w:r>
            <w:r>
              <w:t xml:space="preserve"> March brought members together helping the cohesion to be the voice of housing in Kent. </w:t>
            </w:r>
          </w:p>
        </w:tc>
      </w:tr>
      <w:tr w:rsidR="003637E9" w14:paraId="2B20AC1F" w14:textId="77777777" w:rsidTr="003637E9">
        <w:tc>
          <w:tcPr>
            <w:tcW w:w="9016" w:type="dxa"/>
            <w:gridSpan w:val="4"/>
            <w:shd w:val="clear" w:color="auto" w:fill="9CC2E5" w:themeFill="accent1" w:themeFillTint="99"/>
          </w:tcPr>
          <w:p w14:paraId="17BCCA32"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r w:rsidR="0038692C">
              <w:rPr>
                <w:rFonts w:ascii="Calibri" w:eastAsia="Times New Roman" w:hAnsi="Calibri" w:cs="Calibri"/>
                <w:b/>
                <w:color w:val="000000"/>
                <w:lang w:eastAsia="en-GB"/>
              </w:rPr>
              <w:t xml:space="preserve"> - </w:t>
            </w:r>
            <w:r w:rsidR="0038692C">
              <w:rPr>
                <w:b/>
              </w:rPr>
              <w:t>possibly no actions for this sub group</w:t>
            </w:r>
          </w:p>
          <w:p w14:paraId="40A593B7" w14:textId="77777777" w:rsidR="003637E9" w:rsidRPr="003637E9" w:rsidRDefault="003637E9" w:rsidP="003637E9">
            <w:pPr>
              <w:rPr>
                <w:rFonts w:ascii="Calibri" w:eastAsia="Times New Roman" w:hAnsi="Calibri" w:cs="Calibri"/>
                <w:b/>
                <w:color w:val="000000"/>
                <w:lang w:eastAsia="en-GB"/>
              </w:rPr>
            </w:pPr>
          </w:p>
        </w:tc>
      </w:tr>
      <w:tr w:rsidR="00156C03" w14:paraId="58398E01" w14:textId="77777777" w:rsidTr="00156C03">
        <w:tc>
          <w:tcPr>
            <w:tcW w:w="9016" w:type="dxa"/>
            <w:gridSpan w:val="4"/>
            <w:shd w:val="clear" w:color="auto" w:fill="auto"/>
          </w:tcPr>
          <w:p w14:paraId="35B48A47" w14:textId="4C6896D1" w:rsidR="00156C03" w:rsidRDefault="00156C03" w:rsidP="00156C03">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important matters since last update</w:t>
            </w:r>
            <w:r w:rsidR="00F65018">
              <w:rPr>
                <w:rFonts w:ascii="Calibri" w:eastAsia="Times New Roman" w:hAnsi="Calibri" w:cs="Calibri"/>
                <w:b/>
                <w:color w:val="000000"/>
                <w:lang w:eastAsia="en-GB"/>
              </w:rPr>
              <w:t xml:space="preserve"> including any cross sub-group </w:t>
            </w:r>
            <w:r w:rsidR="000F5A15">
              <w:rPr>
                <w:rFonts w:ascii="Calibri" w:eastAsia="Times New Roman" w:hAnsi="Calibri" w:cs="Calibri"/>
                <w:b/>
                <w:color w:val="000000"/>
                <w:lang w:eastAsia="en-GB"/>
              </w:rPr>
              <w:t>working</w:t>
            </w:r>
            <w:r w:rsidR="000F5A15" w:rsidRPr="00C851EC">
              <w:rPr>
                <w:rFonts w:ascii="Calibri" w:eastAsia="Times New Roman" w:hAnsi="Calibri" w:cs="Calibri"/>
                <w:b/>
                <w:color w:val="000000"/>
                <w:lang w:eastAsia="en-GB"/>
              </w:rPr>
              <w:t>.</w:t>
            </w:r>
          </w:p>
          <w:p w14:paraId="1F77F688" w14:textId="2C247F9C" w:rsidR="000F5A15" w:rsidRPr="000F5A15" w:rsidRDefault="003625ED" w:rsidP="00156C03">
            <w:pPr>
              <w:rPr>
                <w:bCs/>
              </w:rPr>
            </w:pPr>
            <w:r>
              <w:rPr>
                <w:bCs/>
              </w:rPr>
              <w:t xml:space="preserve">We’ve opened nominations for the Excellence Awards 2024. </w:t>
            </w:r>
          </w:p>
        </w:tc>
      </w:tr>
    </w:tbl>
    <w:p w14:paraId="3309AAF5" w14:textId="77777777" w:rsidR="00FC3EA1" w:rsidRDefault="00FC3EA1">
      <w:pPr>
        <w:rPr>
          <w:b/>
        </w:rPr>
      </w:pPr>
    </w:p>
    <w:sectPr w:rsid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0F5A15"/>
    <w:rsid w:val="00156C03"/>
    <w:rsid w:val="002437CB"/>
    <w:rsid w:val="003625ED"/>
    <w:rsid w:val="003637E9"/>
    <w:rsid w:val="0038692C"/>
    <w:rsid w:val="004D5AA4"/>
    <w:rsid w:val="00646C3A"/>
    <w:rsid w:val="0077410B"/>
    <w:rsid w:val="007E2F0C"/>
    <w:rsid w:val="009845D3"/>
    <w:rsid w:val="009D1D4B"/>
    <w:rsid w:val="009D7931"/>
    <w:rsid w:val="00B66F0D"/>
    <w:rsid w:val="00CE6CB2"/>
    <w:rsid w:val="00E03075"/>
    <w:rsid w:val="00E24FA4"/>
    <w:rsid w:val="00F65018"/>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736A"/>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3</cp:revision>
  <dcterms:created xsi:type="dcterms:W3CDTF">2024-03-20T11:21:00Z</dcterms:created>
  <dcterms:modified xsi:type="dcterms:W3CDTF">2024-03-20T11:21:00Z</dcterms:modified>
</cp:coreProperties>
</file>