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4EAC" w14:textId="0A927A91" w:rsidR="003D64FC" w:rsidRPr="008349DC" w:rsidRDefault="003B5989" w:rsidP="00BB2D6A">
      <w:pPr>
        <w:rPr>
          <w:sz w:val="32"/>
          <w:szCs w:val="32"/>
        </w:rPr>
      </w:pPr>
      <w:r w:rsidRPr="008349DC">
        <w:rPr>
          <w:sz w:val="32"/>
          <w:szCs w:val="32"/>
        </w:rPr>
        <w:t xml:space="preserve">Checklist for Equality, Diversity and Inclusion </w:t>
      </w:r>
    </w:p>
    <w:tbl>
      <w:tblPr>
        <w:tblStyle w:val="TableGrid"/>
        <w:tblW w:w="14170" w:type="dxa"/>
        <w:tblLook w:val="04A0" w:firstRow="1" w:lastRow="0" w:firstColumn="1" w:lastColumn="0" w:noHBand="0" w:noVBand="1"/>
      </w:tblPr>
      <w:tblGrid>
        <w:gridCol w:w="3005"/>
        <w:gridCol w:w="10031"/>
        <w:gridCol w:w="1134"/>
      </w:tblGrid>
      <w:tr w:rsidR="00255F02" w14:paraId="7471EABF" w14:textId="77777777" w:rsidTr="00AA3D4B">
        <w:tc>
          <w:tcPr>
            <w:tcW w:w="3005" w:type="dxa"/>
            <w:vMerge w:val="restart"/>
          </w:tcPr>
          <w:p w14:paraId="1EB9B572" w14:textId="0BF201E1" w:rsidR="00255F02" w:rsidRDefault="00255F02" w:rsidP="00BB2D6A">
            <w:r>
              <w:t>CUSTOMER EDI DATA</w:t>
            </w:r>
          </w:p>
          <w:p w14:paraId="2AF4C9E4" w14:textId="77777777" w:rsidR="00255F02" w:rsidRDefault="00255F02" w:rsidP="00BB2D6A"/>
          <w:p w14:paraId="649A2D48" w14:textId="02177643" w:rsidR="00255F02" w:rsidRDefault="00255F02" w:rsidP="00BB2D6A">
            <w:r>
              <w:t>Protected characteristics</w:t>
            </w:r>
            <w:r w:rsidR="006427E2">
              <w:t>,</w:t>
            </w:r>
            <w:r>
              <w:t xml:space="preserve"> socio-economic, </w:t>
            </w:r>
            <w:r w:rsidR="006427E2">
              <w:t xml:space="preserve">careering </w:t>
            </w:r>
            <w:proofErr w:type="gramStart"/>
            <w:r w:rsidR="006427E2">
              <w:t>responsibilities</w:t>
            </w:r>
            <w:r>
              <w:t xml:space="preserve">, </w:t>
            </w:r>
            <w:r w:rsidR="008349DC">
              <w:t xml:space="preserve"> </w:t>
            </w:r>
            <w:r>
              <w:t>language</w:t>
            </w:r>
            <w:proofErr w:type="gramEnd"/>
            <w:r>
              <w:t xml:space="preserve"> or literacy needs </w:t>
            </w:r>
            <w:r w:rsidR="006427E2">
              <w:t>(</w:t>
            </w:r>
            <w:r>
              <w:t>and communication preferences</w:t>
            </w:r>
            <w:r w:rsidR="006427E2">
              <w:t>), other support needs</w:t>
            </w:r>
          </w:p>
        </w:tc>
        <w:tc>
          <w:tcPr>
            <w:tcW w:w="10031" w:type="dxa"/>
          </w:tcPr>
          <w:p w14:paraId="2BD40820" w14:textId="0E9B9328" w:rsidR="00255F02" w:rsidRDefault="00255F02" w:rsidP="00BB2D6A">
            <w:r>
              <w:t>Identify gaps (both in what you collect and what you have recorded) and seek to improve quality and quantity (give examples of how it can help deliver improved services)</w:t>
            </w:r>
            <w:r w:rsidR="008349DC">
              <w:t xml:space="preserve">. Use customer feedback to help you make the right ask and explanation. </w:t>
            </w:r>
          </w:p>
          <w:p w14:paraId="09C80624" w14:textId="3D2E1478" w:rsidR="00255F02" w:rsidRDefault="00255F02" w:rsidP="00BB2D6A"/>
        </w:tc>
        <w:tc>
          <w:tcPr>
            <w:tcW w:w="1134" w:type="dxa"/>
          </w:tcPr>
          <w:p w14:paraId="59A04488" w14:textId="77777777" w:rsidR="00255F02" w:rsidRDefault="00255F02" w:rsidP="00BB2D6A"/>
        </w:tc>
      </w:tr>
      <w:tr w:rsidR="00255F02" w14:paraId="46D553C6" w14:textId="77777777" w:rsidTr="00AA3D4B">
        <w:tc>
          <w:tcPr>
            <w:tcW w:w="3005" w:type="dxa"/>
            <w:vMerge/>
          </w:tcPr>
          <w:p w14:paraId="51479D51" w14:textId="77777777" w:rsidR="00255F02" w:rsidRDefault="00255F02" w:rsidP="00BB2D6A"/>
        </w:tc>
        <w:tc>
          <w:tcPr>
            <w:tcW w:w="10031" w:type="dxa"/>
          </w:tcPr>
          <w:p w14:paraId="796AEB48" w14:textId="069FBE18" w:rsidR="00255F02" w:rsidRDefault="00255F02" w:rsidP="00BB2D6A">
            <w:r>
              <w:t>Data comparisons of customer base against staff EDI data, local census data, local social housing data</w:t>
            </w:r>
            <w:r w:rsidR="00024BAB">
              <w:t xml:space="preserve"> to identify any areas of </w:t>
            </w:r>
            <w:r w:rsidR="00671958">
              <w:t>underrepresentation.</w:t>
            </w:r>
          </w:p>
          <w:p w14:paraId="436B170D" w14:textId="004886E0" w:rsidR="00255F02" w:rsidRDefault="00255F02" w:rsidP="00BB2D6A"/>
        </w:tc>
        <w:tc>
          <w:tcPr>
            <w:tcW w:w="1134" w:type="dxa"/>
          </w:tcPr>
          <w:p w14:paraId="7E601367" w14:textId="77777777" w:rsidR="00255F02" w:rsidRDefault="00255F02" w:rsidP="00BB2D6A"/>
        </w:tc>
      </w:tr>
      <w:tr w:rsidR="00255F02" w14:paraId="5D266326" w14:textId="77777777" w:rsidTr="00AA3D4B">
        <w:tc>
          <w:tcPr>
            <w:tcW w:w="3005" w:type="dxa"/>
            <w:vMerge/>
          </w:tcPr>
          <w:p w14:paraId="00FBA86D" w14:textId="77777777" w:rsidR="00255F02" w:rsidRDefault="00255F02" w:rsidP="00BB2D6A"/>
        </w:tc>
        <w:tc>
          <w:tcPr>
            <w:tcW w:w="10031" w:type="dxa"/>
          </w:tcPr>
          <w:p w14:paraId="3FEA6E27" w14:textId="7C5A59DB" w:rsidR="00255F02" w:rsidRDefault="00255F02" w:rsidP="00BB2D6A">
            <w:r>
              <w:t>Use EDI data as lens to examine outcomes for customers (</w:t>
            </w:r>
            <w:r w:rsidR="00671958">
              <w:t>e.g.,</w:t>
            </w:r>
            <w:r>
              <w:t xml:space="preserve"> lettings, evictions, arrears action taken, social priority moves, complaints</w:t>
            </w:r>
            <w:r w:rsidR="00024BAB">
              <w:t>, ASB</w:t>
            </w:r>
            <w:r>
              <w:t xml:space="preserve">) and identify any areas for investigation or </w:t>
            </w:r>
            <w:r w:rsidR="006427E2">
              <w:t>improvement.</w:t>
            </w:r>
          </w:p>
          <w:p w14:paraId="51791ABD" w14:textId="2612F269" w:rsidR="00255F02" w:rsidRDefault="00255F02" w:rsidP="00BB2D6A"/>
        </w:tc>
        <w:tc>
          <w:tcPr>
            <w:tcW w:w="1134" w:type="dxa"/>
          </w:tcPr>
          <w:p w14:paraId="2E03A6E5" w14:textId="77777777" w:rsidR="00255F02" w:rsidRDefault="00255F02" w:rsidP="00BB2D6A"/>
        </w:tc>
      </w:tr>
      <w:tr w:rsidR="00255F02" w14:paraId="7CF9AE7B" w14:textId="77777777" w:rsidTr="00AA3D4B">
        <w:tc>
          <w:tcPr>
            <w:tcW w:w="3005" w:type="dxa"/>
            <w:vMerge/>
          </w:tcPr>
          <w:p w14:paraId="24B69F58" w14:textId="77777777" w:rsidR="00255F02" w:rsidRDefault="00255F02" w:rsidP="00BB2D6A"/>
        </w:tc>
        <w:tc>
          <w:tcPr>
            <w:tcW w:w="10031" w:type="dxa"/>
          </w:tcPr>
          <w:p w14:paraId="05800B44" w14:textId="551F2B90" w:rsidR="00255F02" w:rsidRDefault="00255F02" w:rsidP="00BB2D6A">
            <w:r>
              <w:t>Use EDI data with mapping to identify any hotspots where impact</w:t>
            </w:r>
            <w:r w:rsidR="00024BAB">
              <w:t xml:space="preserve"> is greater</w:t>
            </w:r>
            <w:r>
              <w:t xml:space="preserve"> than others</w:t>
            </w:r>
            <w:r w:rsidR="00024BAB">
              <w:t xml:space="preserve"> for particular issues</w:t>
            </w:r>
            <w:r>
              <w:t xml:space="preserve"> (</w:t>
            </w:r>
            <w:r w:rsidR="00671958">
              <w:t>e.g.,</w:t>
            </w:r>
            <w:r>
              <w:t xml:space="preserve"> damp and mould)</w:t>
            </w:r>
          </w:p>
          <w:p w14:paraId="0D0BB416" w14:textId="08FDA3C2" w:rsidR="00255F02" w:rsidRDefault="00255F02" w:rsidP="00BB2D6A"/>
        </w:tc>
        <w:tc>
          <w:tcPr>
            <w:tcW w:w="1134" w:type="dxa"/>
          </w:tcPr>
          <w:p w14:paraId="15085D8D" w14:textId="77777777" w:rsidR="00255F02" w:rsidRDefault="00255F02" w:rsidP="00BB2D6A"/>
        </w:tc>
      </w:tr>
      <w:tr w:rsidR="00255F02" w14:paraId="17BA5946" w14:textId="77777777" w:rsidTr="00AA3D4B">
        <w:tc>
          <w:tcPr>
            <w:tcW w:w="3005" w:type="dxa"/>
            <w:vMerge/>
          </w:tcPr>
          <w:p w14:paraId="11A790BC" w14:textId="77777777" w:rsidR="00255F02" w:rsidRDefault="00255F02" w:rsidP="00BB2D6A"/>
        </w:tc>
        <w:tc>
          <w:tcPr>
            <w:tcW w:w="10031" w:type="dxa"/>
          </w:tcPr>
          <w:p w14:paraId="69A74D91" w14:textId="41D978FE" w:rsidR="00255F02" w:rsidRDefault="00255F02" w:rsidP="00BB2D6A">
            <w:r>
              <w:t>Review how the data can be best used to tailor services. This can be targeted for individual customers (</w:t>
            </w:r>
            <w:r w:rsidR="00671958">
              <w:t>e.g.,</w:t>
            </w:r>
            <w:r>
              <w:t xml:space="preserve"> more time for customer to answer door or communication preferences such as large print</w:t>
            </w:r>
            <w:r w:rsidR="0051347C">
              <w:t>) or</w:t>
            </w:r>
            <w:r>
              <w:t xml:space="preserve"> used to segment </w:t>
            </w:r>
            <w:r w:rsidR="006427E2">
              <w:t xml:space="preserve">communication and the delivery of </w:t>
            </w:r>
            <w:r>
              <w:t>services</w:t>
            </w:r>
            <w:r w:rsidR="006427E2">
              <w:t>.</w:t>
            </w:r>
          </w:p>
          <w:p w14:paraId="64682D13" w14:textId="1C3CF59D" w:rsidR="00255F02" w:rsidRDefault="00255F02" w:rsidP="00BB2D6A"/>
        </w:tc>
        <w:tc>
          <w:tcPr>
            <w:tcW w:w="1134" w:type="dxa"/>
          </w:tcPr>
          <w:p w14:paraId="0B961543" w14:textId="77777777" w:rsidR="00255F02" w:rsidRDefault="00255F02" w:rsidP="00BB2D6A"/>
        </w:tc>
      </w:tr>
      <w:tr w:rsidR="00255F02" w14:paraId="6BC38D05" w14:textId="77777777" w:rsidTr="00AA3D4B">
        <w:tc>
          <w:tcPr>
            <w:tcW w:w="3005" w:type="dxa"/>
            <w:vMerge/>
          </w:tcPr>
          <w:p w14:paraId="62FF932A" w14:textId="77777777" w:rsidR="00255F02" w:rsidRDefault="00255F02" w:rsidP="00BB2D6A"/>
        </w:tc>
        <w:tc>
          <w:tcPr>
            <w:tcW w:w="10031" w:type="dxa"/>
          </w:tcPr>
          <w:p w14:paraId="044DB2BC" w14:textId="77777777" w:rsidR="00255F02" w:rsidRDefault="00255F02" w:rsidP="00BB2D6A">
            <w:r>
              <w:t xml:space="preserve">Review the EDI data of your engaged customers compared to total customer base. Set targets if not reflective </w:t>
            </w:r>
          </w:p>
          <w:p w14:paraId="01BDB011" w14:textId="27D72907" w:rsidR="0051347C" w:rsidRDefault="0051347C" w:rsidP="00BB2D6A"/>
        </w:tc>
        <w:tc>
          <w:tcPr>
            <w:tcW w:w="1134" w:type="dxa"/>
          </w:tcPr>
          <w:p w14:paraId="65182EAD" w14:textId="77777777" w:rsidR="00255F02" w:rsidRDefault="00255F02" w:rsidP="00BB2D6A"/>
        </w:tc>
      </w:tr>
      <w:tr w:rsidR="003B5989" w14:paraId="37D9E8F8" w14:textId="77777777" w:rsidTr="00AA3D4B">
        <w:tc>
          <w:tcPr>
            <w:tcW w:w="3005" w:type="dxa"/>
          </w:tcPr>
          <w:p w14:paraId="4805F86B" w14:textId="77777777" w:rsidR="003B5989" w:rsidRDefault="003B5989" w:rsidP="00BB2D6A"/>
        </w:tc>
        <w:tc>
          <w:tcPr>
            <w:tcW w:w="10031" w:type="dxa"/>
          </w:tcPr>
          <w:p w14:paraId="28180799" w14:textId="33CE8AD3" w:rsidR="002D4567" w:rsidRDefault="002D4567" w:rsidP="00BB2D6A">
            <w:r>
              <w:t xml:space="preserve">Triangulate data with other sources of insights and feedback (e.g. TSMs, complaints, Customer Scrutiny reports) to give a fuller picture of outcomes and where </w:t>
            </w:r>
            <w:r w:rsidR="00671958">
              <w:t>focus is</w:t>
            </w:r>
            <w:r w:rsidR="008349DC">
              <w:t xml:space="preserve"> </w:t>
            </w:r>
            <w:r>
              <w:t>required</w:t>
            </w:r>
          </w:p>
        </w:tc>
        <w:tc>
          <w:tcPr>
            <w:tcW w:w="1134" w:type="dxa"/>
          </w:tcPr>
          <w:p w14:paraId="3CE8538C" w14:textId="77777777" w:rsidR="003B5989" w:rsidRDefault="003B5989" w:rsidP="00BB2D6A"/>
        </w:tc>
      </w:tr>
      <w:tr w:rsidR="003B5989" w14:paraId="1603BCF8" w14:textId="77777777" w:rsidTr="00AA3D4B">
        <w:tc>
          <w:tcPr>
            <w:tcW w:w="3005" w:type="dxa"/>
          </w:tcPr>
          <w:p w14:paraId="4DF28B7A" w14:textId="77777777" w:rsidR="003B5989" w:rsidRDefault="003B5989" w:rsidP="00BB2D6A"/>
        </w:tc>
        <w:tc>
          <w:tcPr>
            <w:tcW w:w="10031" w:type="dxa"/>
          </w:tcPr>
          <w:p w14:paraId="6CDD9FF5" w14:textId="77777777" w:rsidR="003B5989" w:rsidRDefault="003B5989" w:rsidP="00BB2D6A"/>
        </w:tc>
        <w:tc>
          <w:tcPr>
            <w:tcW w:w="1134" w:type="dxa"/>
          </w:tcPr>
          <w:p w14:paraId="0D4E75A4" w14:textId="77777777" w:rsidR="003B5989" w:rsidRDefault="003B5989" w:rsidP="00BB2D6A"/>
        </w:tc>
      </w:tr>
      <w:tr w:rsidR="002D4567" w14:paraId="32EBEFF0" w14:textId="77777777" w:rsidTr="00AA3D4B">
        <w:tc>
          <w:tcPr>
            <w:tcW w:w="3005" w:type="dxa"/>
            <w:vMerge w:val="restart"/>
          </w:tcPr>
          <w:p w14:paraId="22ABC185" w14:textId="6CF8044B" w:rsidR="002D4567" w:rsidRDefault="002D4567" w:rsidP="00BB2D6A">
            <w:r>
              <w:t>TRAINING &amp; DEVELOPMENT</w:t>
            </w:r>
          </w:p>
        </w:tc>
        <w:tc>
          <w:tcPr>
            <w:tcW w:w="10031" w:type="dxa"/>
          </w:tcPr>
          <w:p w14:paraId="58052209" w14:textId="17EE0FFF" w:rsidR="002D4567" w:rsidRDefault="002D4567" w:rsidP="00BB2D6A">
            <w:r>
              <w:t>Plan programme of training for staff that will cover the essentials and reflect responsibilities (</w:t>
            </w:r>
            <w:r w:rsidR="00671958">
              <w:t>e.g.,</w:t>
            </w:r>
            <w:r>
              <w:t xml:space="preserve"> Equality Act 2010 responsibilities, reasonable adjustments) plus help create right culture (unconscious bias, gender identity, microaggressions, allyship)</w:t>
            </w:r>
          </w:p>
          <w:p w14:paraId="322BC3D0" w14:textId="028F8C47" w:rsidR="002D4567" w:rsidRDefault="002D4567" w:rsidP="00BB2D6A"/>
        </w:tc>
        <w:tc>
          <w:tcPr>
            <w:tcW w:w="1134" w:type="dxa"/>
          </w:tcPr>
          <w:p w14:paraId="5403DAC1" w14:textId="77777777" w:rsidR="002D4567" w:rsidRDefault="002D4567" w:rsidP="00BB2D6A"/>
        </w:tc>
      </w:tr>
      <w:tr w:rsidR="002D4567" w14:paraId="074289A7" w14:textId="77777777" w:rsidTr="00AA3D4B">
        <w:tc>
          <w:tcPr>
            <w:tcW w:w="3005" w:type="dxa"/>
            <w:vMerge/>
          </w:tcPr>
          <w:p w14:paraId="3702E46B" w14:textId="77777777" w:rsidR="002D4567" w:rsidRDefault="002D4567" w:rsidP="00BB2D6A"/>
        </w:tc>
        <w:tc>
          <w:tcPr>
            <w:tcW w:w="10031" w:type="dxa"/>
          </w:tcPr>
          <w:p w14:paraId="4EFBB333" w14:textId="64C02EA3" w:rsidR="002D4567" w:rsidRDefault="002D4567" w:rsidP="00BB2D6A">
            <w:r>
              <w:t xml:space="preserve">Plan programme of training for board/committee members targeted at their responsibilities including leadership on organisational </w:t>
            </w:r>
            <w:r w:rsidR="00671958">
              <w:t>culture.</w:t>
            </w:r>
          </w:p>
          <w:p w14:paraId="0501BAE9" w14:textId="57F78D7C" w:rsidR="002D4567" w:rsidRDefault="002D4567" w:rsidP="00BB2D6A"/>
        </w:tc>
        <w:tc>
          <w:tcPr>
            <w:tcW w:w="1134" w:type="dxa"/>
          </w:tcPr>
          <w:p w14:paraId="2E6C2E8C" w14:textId="77777777" w:rsidR="002D4567" w:rsidRDefault="002D4567" w:rsidP="00BB2D6A"/>
        </w:tc>
      </w:tr>
      <w:tr w:rsidR="002D4567" w14:paraId="53209FED" w14:textId="77777777" w:rsidTr="00AA3D4B">
        <w:tc>
          <w:tcPr>
            <w:tcW w:w="3005" w:type="dxa"/>
            <w:vMerge/>
          </w:tcPr>
          <w:p w14:paraId="6E89C8AB" w14:textId="77777777" w:rsidR="002D4567" w:rsidRDefault="002D4567" w:rsidP="00BB2D6A"/>
        </w:tc>
        <w:tc>
          <w:tcPr>
            <w:tcW w:w="10031" w:type="dxa"/>
          </w:tcPr>
          <w:p w14:paraId="787B7618" w14:textId="45469653" w:rsidR="002D4567" w:rsidRDefault="002D4567" w:rsidP="00BB2D6A">
            <w:r>
              <w:t xml:space="preserve">Offer EDI training and support to engaged </w:t>
            </w:r>
            <w:r w:rsidR="00671958">
              <w:t>customers.</w:t>
            </w:r>
            <w:r>
              <w:t xml:space="preserve"> </w:t>
            </w:r>
          </w:p>
          <w:p w14:paraId="36E4281B" w14:textId="7534750D" w:rsidR="002D4567" w:rsidRDefault="002D4567" w:rsidP="00BB2D6A"/>
        </w:tc>
        <w:tc>
          <w:tcPr>
            <w:tcW w:w="1134" w:type="dxa"/>
          </w:tcPr>
          <w:p w14:paraId="69E36182" w14:textId="77777777" w:rsidR="002D4567" w:rsidRDefault="002D4567" w:rsidP="00BB2D6A"/>
        </w:tc>
      </w:tr>
      <w:tr w:rsidR="003B5989" w14:paraId="38835E93" w14:textId="77777777" w:rsidTr="00AA3D4B">
        <w:tc>
          <w:tcPr>
            <w:tcW w:w="3005" w:type="dxa"/>
          </w:tcPr>
          <w:p w14:paraId="458C08D7" w14:textId="77777777" w:rsidR="003B5989" w:rsidRDefault="003B5989" w:rsidP="00BB2D6A"/>
        </w:tc>
        <w:tc>
          <w:tcPr>
            <w:tcW w:w="10031" w:type="dxa"/>
          </w:tcPr>
          <w:p w14:paraId="283C0470" w14:textId="658AFA48" w:rsidR="003B5989" w:rsidRDefault="008349DC" w:rsidP="00BB2D6A">
            <w:r>
              <w:t xml:space="preserve">Review training </w:t>
            </w:r>
            <w:r w:rsidR="000E44B0">
              <w:t xml:space="preserve">and development </w:t>
            </w:r>
            <w:r>
              <w:t>delivered internally and by external providers with an EDI lens (</w:t>
            </w:r>
            <w:r w:rsidR="00671958">
              <w:t>e.g.,</w:t>
            </w:r>
            <w:r>
              <w:t xml:space="preserve"> does your management training include a module on managing diversity)</w:t>
            </w:r>
            <w:r w:rsidR="000E44B0">
              <w:t xml:space="preserve"> and whether it is proactive in promoting diverse talent</w:t>
            </w:r>
          </w:p>
        </w:tc>
        <w:tc>
          <w:tcPr>
            <w:tcW w:w="1134" w:type="dxa"/>
          </w:tcPr>
          <w:p w14:paraId="2182F87C" w14:textId="77777777" w:rsidR="003B5989" w:rsidRDefault="003B5989" w:rsidP="00BB2D6A"/>
        </w:tc>
      </w:tr>
      <w:tr w:rsidR="003B5989" w14:paraId="22ADBEBE" w14:textId="77777777" w:rsidTr="00AA3D4B">
        <w:tc>
          <w:tcPr>
            <w:tcW w:w="3005" w:type="dxa"/>
          </w:tcPr>
          <w:p w14:paraId="19994601" w14:textId="77777777" w:rsidR="003B5989" w:rsidRDefault="003B5989" w:rsidP="00BB2D6A"/>
        </w:tc>
        <w:tc>
          <w:tcPr>
            <w:tcW w:w="10031" w:type="dxa"/>
          </w:tcPr>
          <w:p w14:paraId="281F5D0C" w14:textId="77777777" w:rsidR="003B5989" w:rsidRDefault="003B5989" w:rsidP="00BB2D6A"/>
        </w:tc>
        <w:tc>
          <w:tcPr>
            <w:tcW w:w="1134" w:type="dxa"/>
          </w:tcPr>
          <w:p w14:paraId="5641502D" w14:textId="77777777" w:rsidR="003B5989" w:rsidRDefault="003B5989" w:rsidP="00BB2D6A"/>
        </w:tc>
      </w:tr>
      <w:tr w:rsidR="000D6B9B" w14:paraId="3C529DDE" w14:textId="77777777" w:rsidTr="00AA3D4B">
        <w:tc>
          <w:tcPr>
            <w:tcW w:w="3005" w:type="dxa"/>
            <w:vMerge w:val="restart"/>
          </w:tcPr>
          <w:p w14:paraId="37E8E7B2" w14:textId="672FCF3F" w:rsidR="000D6B9B" w:rsidRDefault="000D6B9B" w:rsidP="00BB2D6A">
            <w:r>
              <w:t>RECRU</w:t>
            </w:r>
            <w:r w:rsidR="00302073">
              <w:t>I</w:t>
            </w:r>
            <w:r>
              <w:t>TMENT &amp; RETENTION</w:t>
            </w:r>
          </w:p>
        </w:tc>
        <w:tc>
          <w:tcPr>
            <w:tcW w:w="10031" w:type="dxa"/>
          </w:tcPr>
          <w:p w14:paraId="3FD86191" w14:textId="49B81D57" w:rsidR="000D6B9B" w:rsidRDefault="000D6B9B" w:rsidP="00BB2D6A">
            <w:r>
              <w:t xml:space="preserve">Review recruitment policies for staff and board/committee: methods, language and criteria </w:t>
            </w:r>
            <w:r w:rsidR="00671958">
              <w:t>used.</w:t>
            </w:r>
          </w:p>
          <w:p w14:paraId="7D0D6835" w14:textId="0937E1A6" w:rsidR="000D6B9B" w:rsidRDefault="000D6B9B" w:rsidP="00BB2D6A"/>
        </w:tc>
        <w:tc>
          <w:tcPr>
            <w:tcW w:w="1134" w:type="dxa"/>
          </w:tcPr>
          <w:p w14:paraId="0663C393" w14:textId="77777777" w:rsidR="000D6B9B" w:rsidRDefault="000D6B9B" w:rsidP="00BB2D6A"/>
        </w:tc>
      </w:tr>
      <w:tr w:rsidR="000D6B9B" w14:paraId="77F4ABF4" w14:textId="77777777" w:rsidTr="00AA3D4B">
        <w:tc>
          <w:tcPr>
            <w:tcW w:w="3005" w:type="dxa"/>
            <w:vMerge/>
          </w:tcPr>
          <w:p w14:paraId="522E0C81" w14:textId="77777777" w:rsidR="000D6B9B" w:rsidRDefault="000D6B9B" w:rsidP="00BB2D6A"/>
        </w:tc>
        <w:tc>
          <w:tcPr>
            <w:tcW w:w="10031" w:type="dxa"/>
          </w:tcPr>
          <w:p w14:paraId="41097EEF" w14:textId="487C0F92" w:rsidR="000D6B9B" w:rsidRDefault="000D6B9B" w:rsidP="00BB2D6A">
            <w:r>
              <w:t xml:space="preserve">Review EDI recruitment data in terms of stages of the process (application/interview/offer) to see if there are discrepancies and investigate </w:t>
            </w:r>
            <w:r w:rsidR="00671958">
              <w:t>reasons.</w:t>
            </w:r>
          </w:p>
          <w:p w14:paraId="4BA29318" w14:textId="4C49A9F2" w:rsidR="000D6B9B" w:rsidRDefault="000D6B9B" w:rsidP="00BB2D6A"/>
        </w:tc>
        <w:tc>
          <w:tcPr>
            <w:tcW w:w="1134" w:type="dxa"/>
          </w:tcPr>
          <w:p w14:paraId="36F1DE94" w14:textId="77777777" w:rsidR="000D6B9B" w:rsidRDefault="000D6B9B" w:rsidP="00BB2D6A"/>
        </w:tc>
      </w:tr>
      <w:tr w:rsidR="000D6B9B" w14:paraId="62534745" w14:textId="77777777" w:rsidTr="00AA3D4B">
        <w:tc>
          <w:tcPr>
            <w:tcW w:w="3005" w:type="dxa"/>
            <w:vMerge/>
          </w:tcPr>
          <w:p w14:paraId="442D1617" w14:textId="77777777" w:rsidR="000D6B9B" w:rsidRDefault="000D6B9B" w:rsidP="00BB2D6A"/>
        </w:tc>
        <w:tc>
          <w:tcPr>
            <w:tcW w:w="10031" w:type="dxa"/>
          </w:tcPr>
          <w:p w14:paraId="3DF3B8CA" w14:textId="77777777" w:rsidR="000D6B9B" w:rsidRDefault="000D6B9B" w:rsidP="00BB2D6A">
            <w:r>
              <w:t xml:space="preserve">Set targets for </w:t>
            </w:r>
            <w:r w:rsidR="008349DC">
              <w:t xml:space="preserve">staff and board/committee </w:t>
            </w:r>
            <w:r>
              <w:t>recruitment (</w:t>
            </w:r>
            <w:r w:rsidR="00671958">
              <w:t>e.g.,</w:t>
            </w:r>
            <w:r>
              <w:t xml:space="preserve"> underrepresented groups or targeted for particular areas of the business such as women in operative roles) </w:t>
            </w:r>
            <w:r w:rsidR="00F20C69">
              <w:t xml:space="preserve">and be pro-active in terms of recruitment by using diversity websites, recruiters, </w:t>
            </w:r>
            <w:r w:rsidR="003234EA">
              <w:t>statements</w:t>
            </w:r>
          </w:p>
          <w:p w14:paraId="10B546AD" w14:textId="5A20F8C0" w:rsidR="003234EA" w:rsidRDefault="003234EA" w:rsidP="00BB2D6A"/>
        </w:tc>
        <w:tc>
          <w:tcPr>
            <w:tcW w:w="1134" w:type="dxa"/>
          </w:tcPr>
          <w:p w14:paraId="156517EB" w14:textId="77777777" w:rsidR="000D6B9B" w:rsidRDefault="000D6B9B" w:rsidP="00BB2D6A"/>
        </w:tc>
      </w:tr>
      <w:tr w:rsidR="000D6B9B" w14:paraId="5CFCB4BE" w14:textId="77777777" w:rsidTr="00AA3D4B">
        <w:tc>
          <w:tcPr>
            <w:tcW w:w="3005" w:type="dxa"/>
            <w:vMerge/>
          </w:tcPr>
          <w:p w14:paraId="64FA9FDE" w14:textId="77777777" w:rsidR="000D6B9B" w:rsidRDefault="000D6B9B" w:rsidP="00BB2D6A"/>
        </w:tc>
        <w:tc>
          <w:tcPr>
            <w:tcW w:w="10031" w:type="dxa"/>
          </w:tcPr>
          <w:p w14:paraId="3B5BA206" w14:textId="539E423D" w:rsidR="000D6B9B" w:rsidRDefault="000D6B9B" w:rsidP="00BB2D6A">
            <w:r>
              <w:t>Use data to review key outcome data for staff and identify any areas for investigation or positive action (</w:t>
            </w:r>
            <w:r w:rsidR="00671958">
              <w:t>e.g.,</w:t>
            </w:r>
            <w:r>
              <w:t xml:space="preserve"> promotion, performance rewards, management development)</w:t>
            </w:r>
            <w:r w:rsidR="00F20C69">
              <w:t xml:space="preserve">, this could include such things as coaching, reverse </w:t>
            </w:r>
            <w:r w:rsidR="000E44B0">
              <w:t>mentoring.</w:t>
            </w:r>
            <w:r w:rsidR="00F20C69">
              <w:t xml:space="preserve"> </w:t>
            </w:r>
          </w:p>
          <w:p w14:paraId="7DD3F21E" w14:textId="7D54DAD2" w:rsidR="00F20C69" w:rsidRDefault="00F20C69" w:rsidP="00BB2D6A"/>
        </w:tc>
        <w:tc>
          <w:tcPr>
            <w:tcW w:w="1134" w:type="dxa"/>
          </w:tcPr>
          <w:p w14:paraId="46FC6D5F" w14:textId="77777777" w:rsidR="000D6B9B" w:rsidRDefault="000D6B9B" w:rsidP="00BB2D6A"/>
        </w:tc>
      </w:tr>
      <w:tr w:rsidR="000D6B9B" w14:paraId="0C66D889" w14:textId="77777777" w:rsidTr="00AA3D4B">
        <w:tc>
          <w:tcPr>
            <w:tcW w:w="3005" w:type="dxa"/>
            <w:vMerge/>
          </w:tcPr>
          <w:p w14:paraId="4FFA154D" w14:textId="77777777" w:rsidR="000D6B9B" w:rsidRDefault="000D6B9B" w:rsidP="00BB2D6A"/>
        </w:tc>
        <w:tc>
          <w:tcPr>
            <w:tcW w:w="10031" w:type="dxa"/>
          </w:tcPr>
          <w:p w14:paraId="48100A0E" w14:textId="3D6ED132" w:rsidR="000D6B9B" w:rsidRDefault="000D6B9B" w:rsidP="00BB2D6A">
            <w:r>
              <w:t>Collect and report on pay gaps (gender, ethnicity, disability) and action plan where necessary</w:t>
            </w:r>
          </w:p>
        </w:tc>
        <w:tc>
          <w:tcPr>
            <w:tcW w:w="1134" w:type="dxa"/>
          </w:tcPr>
          <w:p w14:paraId="2A5EA82F" w14:textId="77777777" w:rsidR="000D6B9B" w:rsidRDefault="000D6B9B" w:rsidP="00BB2D6A"/>
        </w:tc>
      </w:tr>
      <w:tr w:rsidR="003B5989" w14:paraId="282FF841" w14:textId="77777777" w:rsidTr="00AA3D4B">
        <w:tc>
          <w:tcPr>
            <w:tcW w:w="3005" w:type="dxa"/>
          </w:tcPr>
          <w:p w14:paraId="1AA93FBF" w14:textId="77777777" w:rsidR="003B5989" w:rsidRDefault="003B5989" w:rsidP="00BB2D6A"/>
        </w:tc>
        <w:tc>
          <w:tcPr>
            <w:tcW w:w="10031" w:type="dxa"/>
          </w:tcPr>
          <w:p w14:paraId="69FF3496" w14:textId="77777777" w:rsidR="003B5989" w:rsidRDefault="003B5989" w:rsidP="00BB2D6A"/>
        </w:tc>
        <w:tc>
          <w:tcPr>
            <w:tcW w:w="1134" w:type="dxa"/>
          </w:tcPr>
          <w:p w14:paraId="7E915327" w14:textId="77777777" w:rsidR="003B5989" w:rsidRDefault="003B5989" w:rsidP="00BB2D6A"/>
        </w:tc>
      </w:tr>
      <w:tr w:rsidR="002D4567" w14:paraId="015D4582" w14:textId="77777777" w:rsidTr="00AA3D4B">
        <w:tc>
          <w:tcPr>
            <w:tcW w:w="3005" w:type="dxa"/>
            <w:vMerge w:val="restart"/>
          </w:tcPr>
          <w:p w14:paraId="4CF31834" w14:textId="3E1E87B5" w:rsidR="002D4567" w:rsidRDefault="002D4567" w:rsidP="00BB2D6A">
            <w:r>
              <w:t>ORGANISATIONAL CULTURE</w:t>
            </w:r>
            <w:r w:rsidR="008349DC">
              <w:t xml:space="preserve"> &amp; LEADERSHIP</w:t>
            </w:r>
          </w:p>
        </w:tc>
        <w:tc>
          <w:tcPr>
            <w:tcW w:w="10031" w:type="dxa"/>
          </w:tcPr>
          <w:p w14:paraId="3AD8ED17" w14:textId="0ECE2680" w:rsidR="002D4567" w:rsidRDefault="0065604B" w:rsidP="0065604B">
            <w:r>
              <w:t xml:space="preserve">Review your values, strategy, objectives for EDI relevance. Use future opportunities to strengthen </w:t>
            </w:r>
            <w:r w:rsidR="003234EA">
              <w:t xml:space="preserve">and create targets </w:t>
            </w:r>
            <w:r>
              <w:t xml:space="preserve">(use staff/customer engagement to develop and embed). </w:t>
            </w:r>
          </w:p>
          <w:p w14:paraId="24F44FD8" w14:textId="0EB7C3A3" w:rsidR="0065604B" w:rsidRDefault="0065604B" w:rsidP="0065604B"/>
        </w:tc>
        <w:tc>
          <w:tcPr>
            <w:tcW w:w="1134" w:type="dxa"/>
          </w:tcPr>
          <w:p w14:paraId="4BA7D9D9" w14:textId="77777777" w:rsidR="002D4567" w:rsidRDefault="002D4567" w:rsidP="00BB2D6A"/>
        </w:tc>
      </w:tr>
      <w:tr w:rsidR="0065604B" w14:paraId="4BCF1C25" w14:textId="77777777" w:rsidTr="00AA3D4B">
        <w:tc>
          <w:tcPr>
            <w:tcW w:w="3005" w:type="dxa"/>
            <w:vMerge/>
          </w:tcPr>
          <w:p w14:paraId="199BDA3F" w14:textId="77777777" w:rsidR="0065604B" w:rsidRDefault="0065604B" w:rsidP="00BB2D6A"/>
        </w:tc>
        <w:tc>
          <w:tcPr>
            <w:tcW w:w="10031" w:type="dxa"/>
          </w:tcPr>
          <w:p w14:paraId="13FDE7F1" w14:textId="12556DAE" w:rsidR="0065604B" w:rsidRDefault="0065604B" w:rsidP="0065604B">
            <w:r>
              <w:t>Use staff feedback mechanisms (</w:t>
            </w:r>
            <w:r w:rsidR="00671958">
              <w:t>e.g.,</w:t>
            </w:r>
            <w:r>
              <w:t xml:space="preserve"> pulse surveys, staff forums) to collect views on inclusivity of the workplace – if staff feel they can bring their whole self to </w:t>
            </w:r>
            <w:r w:rsidR="000E44B0">
              <w:t>work.</w:t>
            </w:r>
            <w:r>
              <w:t xml:space="preserve"> </w:t>
            </w:r>
          </w:p>
          <w:p w14:paraId="0B105C5C" w14:textId="77777777" w:rsidR="0065604B" w:rsidRDefault="0065604B" w:rsidP="00BB2D6A"/>
        </w:tc>
        <w:tc>
          <w:tcPr>
            <w:tcW w:w="1134" w:type="dxa"/>
          </w:tcPr>
          <w:p w14:paraId="0DB3F51D" w14:textId="77777777" w:rsidR="0065604B" w:rsidRDefault="0065604B" w:rsidP="00BB2D6A"/>
        </w:tc>
      </w:tr>
      <w:tr w:rsidR="002D4567" w14:paraId="677CA88E" w14:textId="77777777" w:rsidTr="00AA3D4B">
        <w:tc>
          <w:tcPr>
            <w:tcW w:w="3005" w:type="dxa"/>
            <w:vMerge/>
          </w:tcPr>
          <w:p w14:paraId="53FB77E5" w14:textId="77777777" w:rsidR="002D4567" w:rsidRDefault="002D4567" w:rsidP="00BB2D6A"/>
        </w:tc>
        <w:tc>
          <w:tcPr>
            <w:tcW w:w="10031" w:type="dxa"/>
          </w:tcPr>
          <w:p w14:paraId="093B580B" w14:textId="30F2A73A" w:rsidR="002D4567" w:rsidRDefault="002D4567" w:rsidP="00BB2D6A">
            <w:r>
              <w:t xml:space="preserve">Review how any staff feedback is used to change </w:t>
            </w:r>
            <w:r w:rsidR="00671958">
              <w:t>practices.</w:t>
            </w:r>
          </w:p>
          <w:p w14:paraId="71336C06" w14:textId="0EC7274C" w:rsidR="002D4567" w:rsidRDefault="002D4567" w:rsidP="00BB2D6A"/>
        </w:tc>
        <w:tc>
          <w:tcPr>
            <w:tcW w:w="1134" w:type="dxa"/>
          </w:tcPr>
          <w:p w14:paraId="5CC4083B" w14:textId="77777777" w:rsidR="002D4567" w:rsidRDefault="002D4567" w:rsidP="00BB2D6A"/>
        </w:tc>
      </w:tr>
      <w:tr w:rsidR="002D4567" w14:paraId="6239905A" w14:textId="77777777" w:rsidTr="00AA3D4B">
        <w:tc>
          <w:tcPr>
            <w:tcW w:w="3005" w:type="dxa"/>
            <w:vMerge/>
          </w:tcPr>
          <w:p w14:paraId="62A43A1F" w14:textId="77777777" w:rsidR="002D4567" w:rsidRDefault="002D4567" w:rsidP="00BB2D6A"/>
        </w:tc>
        <w:tc>
          <w:tcPr>
            <w:tcW w:w="10031" w:type="dxa"/>
          </w:tcPr>
          <w:p w14:paraId="189B558A" w14:textId="3C257CE4" w:rsidR="002D4567" w:rsidRDefault="002D4567" w:rsidP="00BB2D6A">
            <w:r>
              <w:t xml:space="preserve">Plan a calendar of awareness raising and celebration events or recognition across the year and ensure this is shared externally with customers and other </w:t>
            </w:r>
            <w:r w:rsidR="00671958">
              <w:t xml:space="preserve">stakeholders. </w:t>
            </w:r>
          </w:p>
          <w:p w14:paraId="515693CC" w14:textId="1FFF1A29" w:rsidR="002D4567" w:rsidRDefault="002D4567" w:rsidP="00BB2D6A"/>
        </w:tc>
        <w:tc>
          <w:tcPr>
            <w:tcW w:w="1134" w:type="dxa"/>
          </w:tcPr>
          <w:p w14:paraId="0170DF77" w14:textId="77777777" w:rsidR="002D4567" w:rsidRDefault="002D4567" w:rsidP="00BB2D6A"/>
        </w:tc>
      </w:tr>
      <w:tr w:rsidR="002D4567" w14:paraId="787BAC72" w14:textId="77777777" w:rsidTr="00AA3D4B">
        <w:tc>
          <w:tcPr>
            <w:tcW w:w="3005" w:type="dxa"/>
            <w:vMerge/>
          </w:tcPr>
          <w:p w14:paraId="44AEA2B1" w14:textId="77777777" w:rsidR="002D4567" w:rsidRDefault="002D4567" w:rsidP="00BB2D6A"/>
        </w:tc>
        <w:tc>
          <w:tcPr>
            <w:tcW w:w="10031" w:type="dxa"/>
          </w:tcPr>
          <w:p w14:paraId="175B6269" w14:textId="3D0CF079" w:rsidR="002D4567" w:rsidRDefault="002D4567" w:rsidP="00BB2D6A">
            <w:r>
              <w:t xml:space="preserve">Review if staff network(s) could be created and how they would feed into decision </w:t>
            </w:r>
            <w:r w:rsidR="00671958">
              <w:t>making.</w:t>
            </w:r>
          </w:p>
          <w:p w14:paraId="7AA43AA9" w14:textId="6F07BFF1" w:rsidR="002D4567" w:rsidRDefault="002D4567" w:rsidP="00BB2D6A"/>
        </w:tc>
        <w:tc>
          <w:tcPr>
            <w:tcW w:w="1134" w:type="dxa"/>
          </w:tcPr>
          <w:p w14:paraId="096B67D9" w14:textId="77777777" w:rsidR="002D4567" w:rsidRDefault="002D4567" w:rsidP="00BB2D6A"/>
        </w:tc>
      </w:tr>
      <w:tr w:rsidR="00671958" w14:paraId="5EAA6F8C" w14:textId="77777777" w:rsidTr="00AA3D4B">
        <w:tc>
          <w:tcPr>
            <w:tcW w:w="3005" w:type="dxa"/>
            <w:vMerge/>
          </w:tcPr>
          <w:p w14:paraId="3249309A" w14:textId="77777777" w:rsidR="00671958" w:rsidRDefault="00671958" w:rsidP="00BB2D6A"/>
        </w:tc>
        <w:tc>
          <w:tcPr>
            <w:tcW w:w="10031" w:type="dxa"/>
          </w:tcPr>
          <w:p w14:paraId="79ACF625" w14:textId="257F9D23" w:rsidR="00671958" w:rsidRDefault="00671958" w:rsidP="00BB2D6A">
            <w:r>
              <w:t xml:space="preserve">Review your internal and external communications in terms of accessibility and inclusivity in messaging </w:t>
            </w:r>
            <w:r w:rsidR="000E44B0">
              <w:t>and any responses to external events (</w:t>
            </w:r>
            <w:r w:rsidR="0051347C">
              <w:t>e.g.,</w:t>
            </w:r>
            <w:r w:rsidR="000E44B0">
              <w:t xml:space="preserve"> Black Lives Matter) </w:t>
            </w:r>
          </w:p>
          <w:p w14:paraId="3CDA406A" w14:textId="4B86490B" w:rsidR="00671958" w:rsidRDefault="00671958" w:rsidP="00BB2D6A"/>
        </w:tc>
        <w:tc>
          <w:tcPr>
            <w:tcW w:w="1134" w:type="dxa"/>
          </w:tcPr>
          <w:p w14:paraId="1BE5EC64" w14:textId="77777777" w:rsidR="00671958" w:rsidRDefault="00671958" w:rsidP="00BB2D6A"/>
        </w:tc>
      </w:tr>
      <w:tr w:rsidR="002D4567" w14:paraId="77725C80" w14:textId="77777777" w:rsidTr="00AA3D4B">
        <w:tc>
          <w:tcPr>
            <w:tcW w:w="3005" w:type="dxa"/>
            <w:vMerge/>
          </w:tcPr>
          <w:p w14:paraId="5E000E36" w14:textId="77777777" w:rsidR="002D4567" w:rsidRDefault="002D4567" w:rsidP="00BB2D6A"/>
        </w:tc>
        <w:tc>
          <w:tcPr>
            <w:tcW w:w="10031" w:type="dxa"/>
          </w:tcPr>
          <w:p w14:paraId="1A5A5B6F" w14:textId="3FCB84D5" w:rsidR="002D4567" w:rsidRDefault="002D4567" w:rsidP="00BB2D6A">
            <w:r>
              <w:t>Review what you have in place to support diverse needs of staff (</w:t>
            </w:r>
            <w:r w:rsidR="00671958">
              <w:t>e.g.,</w:t>
            </w:r>
            <w:r>
              <w:t xml:space="preserve"> policies such as flexible working or menopause or initiatives such as mental health first aiders)</w:t>
            </w:r>
          </w:p>
          <w:p w14:paraId="432E0BBA" w14:textId="27DB1250" w:rsidR="002D4567" w:rsidRDefault="002D4567" w:rsidP="00BB2D6A"/>
        </w:tc>
        <w:tc>
          <w:tcPr>
            <w:tcW w:w="1134" w:type="dxa"/>
          </w:tcPr>
          <w:p w14:paraId="5884BDCE" w14:textId="77777777" w:rsidR="002D4567" w:rsidRDefault="002D4567" w:rsidP="00BB2D6A"/>
        </w:tc>
      </w:tr>
      <w:tr w:rsidR="008349DC" w14:paraId="2805C5D3" w14:textId="77777777" w:rsidTr="00AA3D4B">
        <w:tc>
          <w:tcPr>
            <w:tcW w:w="3005" w:type="dxa"/>
          </w:tcPr>
          <w:p w14:paraId="6325C8A2" w14:textId="77777777" w:rsidR="008349DC" w:rsidRDefault="008349DC" w:rsidP="00BB2D6A"/>
        </w:tc>
        <w:tc>
          <w:tcPr>
            <w:tcW w:w="10031" w:type="dxa"/>
          </w:tcPr>
          <w:p w14:paraId="000675C0" w14:textId="3936FF4F" w:rsidR="008349DC" w:rsidRDefault="008349DC" w:rsidP="00BB2D6A">
            <w:r>
              <w:t xml:space="preserve">Review </w:t>
            </w:r>
            <w:r w:rsidR="00671958">
              <w:t xml:space="preserve">the Executive/Leadership Team’s and </w:t>
            </w:r>
            <w:r>
              <w:t xml:space="preserve">board’s </w:t>
            </w:r>
            <w:r w:rsidR="006427E2">
              <w:t xml:space="preserve">expressed commitment and </w:t>
            </w:r>
            <w:r>
              <w:t>involvement in EDI (</w:t>
            </w:r>
            <w:r w:rsidR="00671958">
              <w:t>e.g.,</w:t>
            </w:r>
            <w:r>
              <w:t xml:space="preserve"> </w:t>
            </w:r>
            <w:r w:rsidR="006427E2">
              <w:t xml:space="preserve">policies, statements, </w:t>
            </w:r>
            <w:r>
              <w:t xml:space="preserve">regular reporting, discussions) </w:t>
            </w:r>
            <w:r w:rsidR="003234EA">
              <w:t xml:space="preserve">and any personal or organisational </w:t>
            </w:r>
            <w:r w:rsidR="0051347C">
              <w:t>targets.</w:t>
            </w:r>
            <w:r w:rsidR="003234EA">
              <w:t xml:space="preserve"> </w:t>
            </w:r>
          </w:p>
          <w:p w14:paraId="3B8ED5BB" w14:textId="34857C83" w:rsidR="008349DC" w:rsidRDefault="008349DC" w:rsidP="00BB2D6A"/>
        </w:tc>
        <w:tc>
          <w:tcPr>
            <w:tcW w:w="1134" w:type="dxa"/>
          </w:tcPr>
          <w:p w14:paraId="71AA2978" w14:textId="77777777" w:rsidR="008349DC" w:rsidRDefault="008349DC" w:rsidP="00BB2D6A"/>
        </w:tc>
      </w:tr>
      <w:tr w:rsidR="008349DC" w14:paraId="16AFC92D" w14:textId="77777777" w:rsidTr="00AA3D4B">
        <w:tc>
          <w:tcPr>
            <w:tcW w:w="3005" w:type="dxa"/>
          </w:tcPr>
          <w:p w14:paraId="00111DF7" w14:textId="77777777" w:rsidR="008349DC" w:rsidRDefault="008349DC" w:rsidP="00BB2D6A"/>
        </w:tc>
        <w:tc>
          <w:tcPr>
            <w:tcW w:w="10031" w:type="dxa"/>
          </w:tcPr>
          <w:p w14:paraId="67C28BE0" w14:textId="21EFDEBF" w:rsidR="008349DC" w:rsidRDefault="008349DC" w:rsidP="00BB2D6A">
            <w:r>
              <w:t xml:space="preserve">Use annual appraisal and other mechanisms for exploring </w:t>
            </w:r>
            <w:r w:rsidR="003234EA">
              <w:t>psychological safety</w:t>
            </w:r>
            <w:r>
              <w:t xml:space="preserve"> </w:t>
            </w:r>
            <w:r w:rsidR="00671958">
              <w:t xml:space="preserve">with board openness and discussions on </w:t>
            </w:r>
            <w:r w:rsidR="0051347C">
              <w:t>EDI.</w:t>
            </w:r>
            <w:r w:rsidR="00671958">
              <w:t xml:space="preserve"> </w:t>
            </w:r>
          </w:p>
          <w:p w14:paraId="2BB74707" w14:textId="05B0B954" w:rsidR="006427E2" w:rsidRDefault="006427E2" w:rsidP="00BB2D6A"/>
        </w:tc>
        <w:tc>
          <w:tcPr>
            <w:tcW w:w="1134" w:type="dxa"/>
          </w:tcPr>
          <w:p w14:paraId="312C9729" w14:textId="77777777" w:rsidR="008349DC" w:rsidRDefault="008349DC" w:rsidP="00BB2D6A"/>
        </w:tc>
      </w:tr>
      <w:tr w:rsidR="00671958" w14:paraId="132F2902" w14:textId="77777777" w:rsidTr="00AA3D4B">
        <w:tc>
          <w:tcPr>
            <w:tcW w:w="3005" w:type="dxa"/>
          </w:tcPr>
          <w:p w14:paraId="2D49FEF4" w14:textId="77777777" w:rsidR="00671958" w:rsidRDefault="00671958" w:rsidP="00BB2D6A"/>
        </w:tc>
        <w:tc>
          <w:tcPr>
            <w:tcW w:w="10031" w:type="dxa"/>
          </w:tcPr>
          <w:p w14:paraId="668EEDBD" w14:textId="77777777" w:rsidR="00671958" w:rsidRDefault="00671958" w:rsidP="00BB2D6A">
            <w:r>
              <w:t>Review EDI policy, strategy, action plan (and any specific targets or policies in place or required) and how these are monitored and reported against (including what is shared with staff, customers and stakeholders)</w:t>
            </w:r>
          </w:p>
          <w:p w14:paraId="0AC6A266" w14:textId="2BBC0169" w:rsidR="0051347C" w:rsidRDefault="0051347C" w:rsidP="00BB2D6A"/>
        </w:tc>
        <w:tc>
          <w:tcPr>
            <w:tcW w:w="1134" w:type="dxa"/>
          </w:tcPr>
          <w:p w14:paraId="0150C8AC" w14:textId="77777777" w:rsidR="00671958" w:rsidRDefault="00671958" w:rsidP="00BB2D6A"/>
        </w:tc>
      </w:tr>
      <w:tr w:rsidR="00671958" w14:paraId="2D3C3B09" w14:textId="77777777" w:rsidTr="00AA3D4B">
        <w:tc>
          <w:tcPr>
            <w:tcW w:w="3005" w:type="dxa"/>
          </w:tcPr>
          <w:p w14:paraId="1176ACF6" w14:textId="77777777" w:rsidR="00671958" w:rsidRDefault="00671958" w:rsidP="00BB2D6A"/>
        </w:tc>
        <w:tc>
          <w:tcPr>
            <w:tcW w:w="10031" w:type="dxa"/>
          </w:tcPr>
          <w:p w14:paraId="74386C62" w14:textId="77777777" w:rsidR="0051347C" w:rsidRDefault="00671958" w:rsidP="00BB2D6A">
            <w:r>
              <w:t>Review your Equality Impact Assessment process</w:t>
            </w:r>
            <w:r w:rsidR="003234EA">
              <w:t>, monitoring</w:t>
            </w:r>
            <w:r>
              <w:t xml:space="preserve"> and training.</w:t>
            </w:r>
          </w:p>
          <w:p w14:paraId="10D611F1" w14:textId="14434846" w:rsidR="000E44B0" w:rsidRDefault="00671958" w:rsidP="00BB2D6A">
            <w:r>
              <w:t xml:space="preserve"> </w:t>
            </w:r>
          </w:p>
        </w:tc>
        <w:tc>
          <w:tcPr>
            <w:tcW w:w="1134" w:type="dxa"/>
          </w:tcPr>
          <w:p w14:paraId="7F7B0358" w14:textId="77777777" w:rsidR="00671958" w:rsidRDefault="00671958" w:rsidP="00BB2D6A"/>
        </w:tc>
      </w:tr>
      <w:tr w:rsidR="00671958" w14:paraId="462C0CEF" w14:textId="77777777" w:rsidTr="00AA3D4B">
        <w:tc>
          <w:tcPr>
            <w:tcW w:w="3005" w:type="dxa"/>
          </w:tcPr>
          <w:p w14:paraId="2FD2062D" w14:textId="77777777" w:rsidR="00671958" w:rsidRDefault="00671958" w:rsidP="00BB2D6A"/>
        </w:tc>
        <w:tc>
          <w:tcPr>
            <w:tcW w:w="10031" w:type="dxa"/>
          </w:tcPr>
          <w:p w14:paraId="2743C331" w14:textId="2D7D11B4" w:rsidR="000E44B0" w:rsidRDefault="000E44B0" w:rsidP="00BB2D6A">
            <w:r>
              <w:t xml:space="preserve">Review how you make progress on EDI. Is through a designated officer, group, pursuing accreditation or other process. How does this feed into strategic priorities and senior (including board) level discussions. Review if you need more resources or senior backing. </w:t>
            </w:r>
          </w:p>
        </w:tc>
        <w:tc>
          <w:tcPr>
            <w:tcW w:w="1134" w:type="dxa"/>
          </w:tcPr>
          <w:p w14:paraId="6DA3F648" w14:textId="77777777" w:rsidR="00671958" w:rsidRDefault="00671958" w:rsidP="00BB2D6A"/>
        </w:tc>
      </w:tr>
      <w:tr w:rsidR="003B5989" w14:paraId="11C4122F" w14:textId="77777777" w:rsidTr="00AA3D4B">
        <w:tc>
          <w:tcPr>
            <w:tcW w:w="3005" w:type="dxa"/>
          </w:tcPr>
          <w:p w14:paraId="1311E53D" w14:textId="77777777" w:rsidR="003B5989" w:rsidRDefault="003B5989" w:rsidP="00BB2D6A"/>
        </w:tc>
        <w:tc>
          <w:tcPr>
            <w:tcW w:w="10031" w:type="dxa"/>
          </w:tcPr>
          <w:p w14:paraId="30941FB7" w14:textId="77777777" w:rsidR="003B5989" w:rsidRDefault="003B5989" w:rsidP="00BB2D6A"/>
        </w:tc>
        <w:tc>
          <w:tcPr>
            <w:tcW w:w="1134" w:type="dxa"/>
          </w:tcPr>
          <w:p w14:paraId="3D917F0E" w14:textId="77777777" w:rsidR="003B5989" w:rsidRDefault="003B5989" w:rsidP="00BB2D6A"/>
        </w:tc>
      </w:tr>
      <w:tr w:rsidR="002D4567" w14:paraId="7A499ECA" w14:textId="77777777" w:rsidTr="00AA3D4B">
        <w:tc>
          <w:tcPr>
            <w:tcW w:w="3005" w:type="dxa"/>
            <w:vMerge w:val="restart"/>
          </w:tcPr>
          <w:p w14:paraId="26F27FBD" w14:textId="321CED80" w:rsidR="002D4567" w:rsidRDefault="002D4567" w:rsidP="00BB2D6A">
            <w:r>
              <w:t>CUSTOMER</w:t>
            </w:r>
            <w:r w:rsidR="006427E2">
              <w:t>S</w:t>
            </w:r>
            <w:r>
              <w:t xml:space="preserve"> &amp; COMMUNITY</w:t>
            </w:r>
          </w:p>
        </w:tc>
        <w:tc>
          <w:tcPr>
            <w:tcW w:w="10031" w:type="dxa"/>
          </w:tcPr>
          <w:p w14:paraId="401B49BB" w14:textId="33A2EC54" w:rsidR="002D4567" w:rsidRDefault="002D4567" w:rsidP="00BB2D6A">
            <w:r>
              <w:t xml:space="preserve">Review what mechanisms you have for customers to engage with and influence the organisation on a strategic as well as operational level and if they are </w:t>
            </w:r>
            <w:r w:rsidR="00671958">
              <w:t>accessible.</w:t>
            </w:r>
          </w:p>
        </w:tc>
        <w:tc>
          <w:tcPr>
            <w:tcW w:w="1134" w:type="dxa"/>
          </w:tcPr>
          <w:p w14:paraId="71E85D21" w14:textId="77777777" w:rsidR="002D4567" w:rsidRDefault="002D4567" w:rsidP="00BB2D6A"/>
        </w:tc>
      </w:tr>
      <w:tr w:rsidR="002D4567" w14:paraId="4312BFD8" w14:textId="77777777" w:rsidTr="00AA3D4B">
        <w:tc>
          <w:tcPr>
            <w:tcW w:w="3005" w:type="dxa"/>
            <w:vMerge/>
          </w:tcPr>
          <w:p w14:paraId="55A1499D" w14:textId="77777777" w:rsidR="002D4567" w:rsidRDefault="002D4567" w:rsidP="00BB2D6A"/>
        </w:tc>
        <w:tc>
          <w:tcPr>
            <w:tcW w:w="10031" w:type="dxa"/>
          </w:tcPr>
          <w:p w14:paraId="51976C85" w14:textId="050B9B99" w:rsidR="002D4567" w:rsidRDefault="002D4567" w:rsidP="00BB2D6A">
            <w:r>
              <w:t xml:space="preserve">Review the accessibility of your communications including your website (against accessibility standards) and how you understand and respect individual </w:t>
            </w:r>
            <w:r w:rsidR="00671958">
              <w:t>preferences.</w:t>
            </w:r>
          </w:p>
          <w:p w14:paraId="2791E9EC" w14:textId="3A11A298" w:rsidR="002D4567" w:rsidRDefault="002D4567" w:rsidP="00BB2D6A"/>
        </w:tc>
        <w:tc>
          <w:tcPr>
            <w:tcW w:w="1134" w:type="dxa"/>
          </w:tcPr>
          <w:p w14:paraId="23C7CD11" w14:textId="77777777" w:rsidR="002D4567" w:rsidRDefault="002D4567" w:rsidP="00BB2D6A"/>
        </w:tc>
      </w:tr>
      <w:tr w:rsidR="003B5989" w14:paraId="59DB7477" w14:textId="77777777" w:rsidTr="00AA3D4B">
        <w:tc>
          <w:tcPr>
            <w:tcW w:w="3005" w:type="dxa"/>
          </w:tcPr>
          <w:p w14:paraId="77990375" w14:textId="77777777" w:rsidR="003B5989" w:rsidRDefault="003B5989" w:rsidP="00BB2D6A"/>
        </w:tc>
        <w:tc>
          <w:tcPr>
            <w:tcW w:w="10031" w:type="dxa"/>
          </w:tcPr>
          <w:p w14:paraId="217B6C98" w14:textId="77777777" w:rsidR="003B5989" w:rsidRDefault="002D4567" w:rsidP="00BB2D6A">
            <w:r>
              <w:t>Review how services are designed and refreshed and what methods are used to ensure they are fair and equitable (</w:t>
            </w:r>
            <w:r w:rsidR="00671958">
              <w:t>e.g.,</w:t>
            </w:r>
            <w:r>
              <w:t xml:space="preserve"> customer EDI data, insights, engagement, complaints, Equality Impact Assessments)</w:t>
            </w:r>
          </w:p>
          <w:p w14:paraId="4426A2A1" w14:textId="0C512EC1" w:rsidR="0051347C" w:rsidRDefault="0051347C" w:rsidP="00BB2D6A"/>
        </w:tc>
        <w:tc>
          <w:tcPr>
            <w:tcW w:w="1134" w:type="dxa"/>
          </w:tcPr>
          <w:p w14:paraId="1939CF89" w14:textId="77777777" w:rsidR="003B5989" w:rsidRDefault="003B5989" w:rsidP="00BB2D6A"/>
        </w:tc>
      </w:tr>
      <w:tr w:rsidR="003B5989" w14:paraId="7C8ABA30" w14:textId="77777777" w:rsidTr="00AA3D4B">
        <w:tc>
          <w:tcPr>
            <w:tcW w:w="3005" w:type="dxa"/>
          </w:tcPr>
          <w:p w14:paraId="3B5A7CC2" w14:textId="77777777" w:rsidR="003B5989" w:rsidRDefault="003B5989" w:rsidP="00BB2D6A"/>
        </w:tc>
        <w:tc>
          <w:tcPr>
            <w:tcW w:w="10031" w:type="dxa"/>
          </w:tcPr>
          <w:p w14:paraId="022ED7E7" w14:textId="51D9B11E" w:rsidR="003B5989" w:rsidRDefault="002D4567" w:rsidP="00BB2D6A">
            <w:r>
              <w:t xml:space="preserve">Review your complaints process to ensure </w:t>
            </w:r>
            <w:r w:rsidR="00024BAB">
              <w:t xml:space="preserve">all customers have information on how to complain, that you are complaint with equality requirements and that you are using complaints information to learn and improve services, including their accessibility. </w:t>
            </w:r>
          </w:p>
          <w:p w14:paraId="1970FA91" w14:textId="4D138DAC" w:rsidR="002D4567" w:rsidRDefault="002D4567" w:rsidP="00BB2D6A"/>
        </w:tc>
        <w:tc>
          <w:tcPr>
            <w:tcW w:w="1134" w:type="dxa"/>
          </w:tcPr>
          <w:p w14:paraId="1E494938" w14:textId="77777777" w:rsidR="003B5989" w:rsidRDefault="003B5989" w:rsidP="00BB2D6A"/>
        </w:tc>
      </w:tr>
      <w:tr w:rsidR="003B5989" w14:paraId="6D6E4FDF" w14:textId="77777777" w:rsidTr="00AA3D4B">
        <w:tc>
          <w:tcPr>
            <w:tcW w:w="3005" w:type="dxa"/>
          </w:tcPr>
          <w:p w14:paraId="48B05084" w14:textId="77777777" w:rsidR="003B5989" w:rsidRDefault="003B5989" w:rsidP="00BB2D6A"/>
        </w:tc>
        <w:tc>
          <w:tcPr>
            <w:tcW w:w="10031" w:type="dxa"/>
          </w:tcPr>
          <w:p w14:paraId="62ABDA91" w14:textId="30D79F33" w:rsidR="003B5989" w:rsidRDefault="00024BAB" w:rsidP="00BB2D6A">
            <w:r>
              <w:t>Use case studies to learn where you have done things right or wrong (</w:t>
            </w:r>
            <w:r w:rsidR="00671958">
              <w:t>e.g.,</w:t>
            </w:r>
            <w:r>
              <w:t xml:space="preserve"> complaints with an EDI lens) and how to make </w:t>
            </w:r>
            <w:r w:rsidR="003234EA">
              <w:t>improvements.</w:t>
            </w:r>
          </w:p>
          <w:p w14:paraId="2F0DB8E9" w14:textId="3C173DD5" w:rsidR="00024BAB" w:rsidRDefault="00024BAB" w:rsidP="00BB2D6A"/>
        </w:tc>
        <w:tc>
          <w:tcPr>
            <w:tcW w:w="1134" w:type="dxa"/>
          </w:tcPr>
          <w:p w14:paraId="3C7B9E22" w14:textId="77777777" w:rsidR="003B5989" w:rsidRDefault="003B5989" w:rsidP="00BB2D6A"/>
        </w:tc>
      </w:tr>
      <w:tr w:rsidR="003B5989" w14:paraId="0F4ED0DF" w14:textId="77777777" w:rsidTr="00AA3D4B">
        <w:tc>
          <w:tcPr>
            <w:tcW w:w="3005" w:type="dxa"/>
          </w:tcPr>
          <w:p w14:paraId="220F0DA3" w14:textId="77777777" w:rsidR="003B5989" w:rsidRDefault="003B5989" w:rsidP="00BB2D6A"/>
        </w:tc>
        <w:tc>
          <w:tcPr>
            <w:tcW w:w="10031" w:type="dxa"/>
          </w:tcPr>
          <w:p w14:paraId="663355B8" w14:textId="0DDFCA0F" w:rsidR="00024BAB" w:rsidRDefault="00024BAB" w:rsidP="00BB2D6A">
            <w:r>
              <w:t>Review what social value initiatives or support you are providing to those at risk of being marginalised (</w:t>
            </w:r>
            <w:r w:rsidR="00671958">
              <w:t>e.g.,</w:t>
            </w:r>
            <w:r>
              <w:t xml:space="preserve"> health and wellbeing, financial or digital inclusion)</w:t>
            </w:r>
          </w:p>
          <w:p w14:paraId="368AE3F5" w14:textId="4CC6157E" w:rsidR="00024BAB" w:rsidRDefault="00024BAB" w:rsidP="00BB2D6A"/>
        </w:tc>
        <w:tc>
          <w:tcPr>
            <w:tcW w:w="1134" w:type="dxa"/>
          </w:tcPr>
          <w:p w14:paraId="0957FB42" w14:textId="77777777" w:rsidR="003B5989" w:rsidRDefault="003B5989" w:rsidP="00BB2D6A"/>
        </w:tc>
      </w:tr>
      <w:tr w:rsidR="00024BAB" w14:paraId="714DD63F" w14:textId="77777777" w:rsidTr="00AA3D4B">
        <w:tc>
          <w:tcPr>
            <w:tcW w:w="3005" w:type="dxa"/>
          </w:tcPr>
          <w:p w14:paraId="356BBBC1" w14:textId="77777777" w:rsidR="00024BAB" w:rsidRDefault="00024BAB" w:rsidP="00BB2D6A"/>
        </w:tc>
        <w:tc>
          <w:tcPr>
            <w:tcW w:w="10031" w:type="dxa"/>
          </w:tcPr>
          <w:p w14:paraId="722308F6" w14:textId="4FE6BE69" w:rsidR="00024BAB" w:rsidRDefault="00024BAB" w:rsidP="00BB2D6A">
            <w:r>
              <w:t xml:space="preserve">Review </w:t>
            </w:r>
            <w:r w:rsidR="0065604B">
              <w:t>your activities and partnership working locally and how you are addressing equality of opportunity, wellbeing, inclusion and supporting marginalised and vulnerable people (</w:t>
            </w:r>
            <w:r w:rsidR="00671958">
              <w:t>e.g.,</w:t>
            </w:r>
            <w:r w:rsidR="0065604B">
              <w:t xml:space="preserve"> action with the police on ASB, social value requirements through your procurement process)</w:t>
            </w:r>
          </w:p>
          <w:p w14:paraId="010EB9F0" w14:textId="012E8EA5" w:rsidR="00024BAB" w:rsidRDefault="00024BAB" w:rsidP="00BB2D6A"/>
        </w:tc>
        <w:tc>
          <w:tcPr>
            <w:tcW w:w="1134" w:type="dxa"/>
          </w:tcPr>
          <w:p w14:paraId="2CFFEDAD" w14:textId="77777777" w:rsidR="00024BAB" w:rsidRDefault="00024BAB" w:rsidP="00BB2D6A"/>
        </w:tc>
      </w:tr>
    </w:tbl>
    <w:p w14:paraId="667CDA8B" w14:textId="36CE017F" w:rsidR="003B5989" w:rsidRDefault="003B5989" w:rsidP="00BB2D6A"/>
    <w:p w14:paraId="181C38D6" w14:textId="3D83630C" w:rsidR="0051347C" w:rsidRPr="0051347C" w:rsidRDefault="0051347C" w:rsidP="00BB2D6A">
      <w:pPr>
        <w:rPr>
          <w:u w:val="single"/>
        </w:rPr>
      </w:pPr>
      <w:r w:rsidRPr="0051347C">
        <w:rPr>
          <w:u w:val="single"/>
        </w:rPr>
        <w:t>Documents considered</w:t>
      </w:r>
    </w:p>
    <w:p w14:paraId="474FE7EC" w14:textId="04B5FF77" w:rsidR="0051347C" w:rsidRDefault="0051347C" w:rsidP="0051347C">
      <w:r>
        <w:t>RSH Proposed New Consumer Standards (from April 2024)</w:t>
      </w:r>
    </w:p>
    <w:p w14:paraId="5F811562" w14:textId="77777777" w:rsidR="0051347C" w:rsidRDefault="0051347C" w:rsidP="0051347C">
      <w:r>
        <w:t>NHF Code of Governance 2020</w:t>
      </w:r>
    </w:p>
    <w:p w14:paraId="761E49D5" w14:textId="77777777" w:rsidR="0051347C" w:rsidRDefault="0051347C" w:rsidP="0051347C">
      <w:r>
        <w:t>NHF EDI Data Tool</w:t>
      </w:r>
    </w:p>
    <w:p w14:paraId="03036C8A" w14:textId="1D0AD4B0" w:rsidR="0051347C" w:rsidRDefault="0051347C" w:rsidP="0051347C">
      <w:r>
        <w:t>Housing Diversity Network Accreditation incorporating RACE Equality Code</w:t>
      </w:r>
    </w:p>
    <w:p w14:paraId="747BAAAF" w14:textId="35679CDC" w:rsidR="0051347C" w:rsidRPr="00BB2D6A" w:rsidRDefault="0051347C" w:rsidP="0051347C">
      <w:r>
        <w:t>Better Social Housing Review</w:t>
      </w:r>
    </w:p>
    <w:sectPr w:rsidR="0051347C" w:rsidRPr="00BB2D6A" w:rsidSect="003B59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89"/>
    <w:rsid w:val="00024BAB"/>
    <w:rsid w:val="000D6B9B"/>
    <w:rsid w:val="000E44B0"/>
    <w:rsid w:val="001F24EF"/>
    <w:rsid w:val="00255F02"/>
    <w:rsid w:val="002D4567"/>
    <w:rsid w:val="00302073"/>
    <w:rsid w:val="003234EA"/>
    <w:rsid w:val="00325F7A"/>
    <w:rsid w:val="00335848"/>
    <w:rsid w:val="003B5989"/>
    <w:rsid w:val="003D64FC"/>
    <w:rsid w:val="0051347C"/>
    <w:rsid w:val="006427E2"/>
    <w:rsid w:val="0065604B"/>
    <w:rsid w:val="00671958"/>
    <w:rsid w:val="006F40EF"/>
    <w:rsid w:val="008349DC"/>
    <w:rsid w:val="008D436C"/>
    <w:rsid w:val="0095081E"/>
    <w:rsid w:val="00AA3D4B"/>
    <w:rsid w:val="00BB2D6A"/>
    <w:rsid w:val="00C803C9"/>
    <w:rsid w:val="00CF4646"/>
    <w:rsid w:val="00E15495"/>
    <w:rsid w:val="00F07BB9"/>
    <w:rsid w:val="00F20C69"/>
    <w:rsid w:val="00FE0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1C69"/>
  <w15:chartTrackingRefBased/>
  <w15:docId w15:val="{4C7DFF77-581E-4B86-A86E-CD292E5C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C9"/>
    <w:rPr>
      <w:rFonts w:ascii="Verdana" w:hAnsi="Verdana"/>
    </w:rPr>
  </w:style>
  <w:style w:type="paragraph" w:styleId="Heading1">
    <w:name w:val="heading 1"/>
    <w:basedOn w:val="Normal"/>
    <w:next w:val="Normal"/>
    <w:link w:val="Heading1Char"/>
    <w:uiPriority w:val="9"/>
    <w:qFormat/>
    <w:rsid w:val="003D64FC"/>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D64FC"/>
    <w:pPr>
      <w:keepNext/>
      <w:keepLines/>
      <w:spacing w:before="40" w:after="120"/>
      <w:outlineLvl w:val="1"/>
    </w:pPr>
    <w:rPr>
      <w:b/>
      <w:sz w:val="32"/>
      <w:szCs w:val="26"/>
    </w:rPr>
  </w:style>
  <w:style w:type="paragraph" w:styleId="Heading3">
    <w:name w:val="heading 3"/>
    <w:basedOn w:val="Normal"/>
    <w:next w:val="Normal"/>
    <w:link w:val="Heading3Char"/>
    <w:uiPriority w:val="9"/>
    <w:unhideWhenUsed/>
    <w:qFormat/>
    <w:rsid w:val="003D64FC"/>
    <w:pPr>
      <w:keepNext/>
      <w:keepLines/>
      <w:spacing w:before="4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3D64FC"/>
    <w:pPr>
      <w:keepNext/>
      <w:keepLines/>
      <w:spacing w:before="40" w:after="120"/>
      <w:outlineLvl w:val="3"/>
    </w:pPr>
    <w:rPr>
      <w:rFonts w:eastAsiaTheme="majorEastAsia" w:cstheme="majorBidi"/>
      <w:b/>
      <w:sz w:val="24"/>
    </w:rPr>
  </w:style>
  <w:style w:type="paragraph" w:styleId="Heading5">
    <w:name w:val="heading 5"/>
    <w:basedOn w:val="Heading4"/>
    <w:next w:val="Normal"/>
    <w:link w:val="Heading5Char"/>
    <w:uiPriority w:val="9"/>
    <w:unhideWhenUsed/>
    <w:qFormat/>
    <w:rsid w:val="003D64FC"/>
    <w:pPr>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4FC"/>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3D64FC"/>
    <w:rPr>
      <w:rFonts w:ascii="Verdana" w:hAnsi="Verdana"/>
      <w:b/>
      <w:sz w:val="32"/>
      <w:szCs w:val="26"/>
    </w:rPr>
  </w:style>
  <w:style w:type="character" w:customStyle="1" w:styleId="Heading3Char">
    <w:name w:val="Heading 3 Char"/>
    <w:basedOn w:val="DefaultParagraphFont"/>
    <w:link w:val="Heading3"/>
    <w:uiPriority w:val="9"/>
    <w:rsid w:val="003D64FC"/>
    <w:rPr>
      <w:rFonts w:ascii="Verdana" w:eastAsiaTheme="majorEastAsia" w:hAnsi="Verdana" w:cstheme="majorBidi"/>
      <w:b/>
      <w:sz w:val="28"/>
      <w:szCs w:val="24"/>
    </w:rPr>
  </w:style>
  <w:style w:type="character" w:customStyle="1" w:styleId="Heading4Char">
    <w:name w:val="Heading 4 Char"/>
    <w:basedOn w:val="DefaultParagraphFont"/>
    <w:link w:val="Heading4"/>
    <w:uiPriority w:val="9"/>
    <w:rsid w:val="003D64FC"/>
    <w:rPr>
      <w:rFonts w:ascii="Verdana" w:eastAsiaTheme="majorEastAsia" w:hAnsi="Verdana" w:cstheme="majorBidi"/>
      <w:b/>
      <w:sz w:val="24"/>
    </w:rPr>
  </w:style>
  <w:style w:type="character" w:customStyle="1" w:styleId="Heading5Char">
    <w:name w:val="Heading 5 Char"/>
    <w:basedOn w:val="DefaultParagraphFont"/>
    <w:link w:val="Heading5"/>
    <w:uiPriority w:val="9"/>
    <w:rsid w:val="003D64FC"/>
    <w:rPr>
      <w:rFonts w:ascii="Verdana" w:eastAsiaTheme="majorEastAsia" w:hAnsi="Verdana" w:cstheme="majorBidi"/>
      <w:b/>
      <w:szCs w:val="20"/>
    </w:rPr>
  </w:style>
  <w:style w:type="paragraph" w:styleId="NormalWeb">
    <w:name w:val="Normal (Web)"/>
    <w:basedOn w:val="Normal"/>
    <w:uiPriority w:val="99"/>
    <w:unhideWhenUsed/>
    <w:rsid w:val="003D64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F07BB9"/>
    <w:pPr>
      <w:spacing w:after="0"/>
      <w:outlineLvl w:val="9"/>
    </w:pPr>
    <w:rPr>
      <w:rFonts w:asciiTheme="majorHAnsi" w:hAnsiTheme="majorHAnsi"/>
      <w:b w:val="0"/>
      <w:color w:val="2F5496" w:themeColor="accent1" w:themeShade="BF"/>
      <w:sz w:val="32"/>
      <w:lang w:eastAsia="en-GB"/>
    </w:rPr>
  </w:style>
  <w:style w:type="paragraph" w:styleId="TOC1">
    <w:name w:val="toc 1"/>
    <w:basedOn w:val="Normal"/>
    <w:next w:val="Normal"/>
    <w:autoRedefine/>
    <w:uiPriority w:val="39"/>
    <w:unhideWhenUsed/>
    <w:rsid w:val="00F07BB9"/>
    <w:pPr>
      <w:spacing w:after="100"/>
    </w:pPr>
  </w:style>
  <w:style w:type="paragraph" w:styleId="TOC2">
    <w:name w:val="toc 2"/>
    <w:basedOn w:val="Normal"/>
    <w:next w:val="Normal"/>
    <w:autoRedefine/>
    <w:uiPriority w:val="39"/>
    <w:unhideWhenUsed/>
    <w:rsid w:val="00F07BB9"/>
    <w:pPr>
      <w:spacing w:after="100"/>
      <w:ind w:left="220"/>
    </w:pPr>
  </w:style>
  <w:style w:type="paragraph" w:styleId="TOC3">
    <w:name w:val="toc 3"/>
    <w:basedOn w:val="Normal"/>
    <w:next w:val="Normal"/>
    <w:autoRedefine/>
    <w:uiPriority w:val="39"/>
    <w:unhideWhenUsed/>
    <w:rsid w:val="00F07BB9"/>
    <w:pPr>
      <w:spacing w:after="100"/>
      <w:ind w:left="440"/>
    </w:pPr>
  </w:style>
  <w:style w:type="character" w:styleId="Hyperlink">
    <w:name w:val="Hyperlink"/>
    <w:basedOn w:val="DefaultParagraphFont"/>
    <w:uiPriority w:val="99"/>
    <w:unhideWhenUsed/>
    <w:rsid w:val="00F07BB9"/>
    <w:rPr>
      <w:color w:val="0563C1" w:themeColor="hyperlink"/>
      <w:u w:val="single"/>
    </w:rPr>
  </w:style>
  <w:style w:type="table" w:styleId="TableGrid">
    <w:name w:val="Table Grid"/>
    <w:basedOn w:val="TableNormal"/>
    <w:uiPriority w:val="39"/>
    <w:rsid w:val="003B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5137">
      <w:bodyDiv w:val="1"/>
      <w:marLeft w:val="0"/>
      <w:marRight w:val="0"/>
      <w:marTop w:val="0"/>
      <w:marBottom w:val="0"/>
      <w:divBdr>
        <w:top w:val="none" w:sz="0" w:space="0" w:color="auto"/>
        <w:left w:val="none" w:sz="0" w:space="0" w:color="auto"/>
        <w:bottom w:val="none" w:sz="0" w:space="0" w:color="auto"/>
        <w:right w:val="none" w:sz="0" w:space="0" w:color="auto"/>
      </w:divBdr>
    </w:div>
    <w:div w:id="466435088">
      <w:bodyDiv w:val="1"/>
      <w:marLeft w:val="0"/>
      <w:marRight w:val="0"/>
      <w:marTop w:val="0"/>
      <w:marBottom w:val="0"/>
      <w:divBdr>
        <w:top w:val="none" w:sz="0" w:space="0" w:color="auto"/>
        <w:left w:val="none" w:sz="0" w:space="0" w:color="auto"/>
        <w:bottom w:val="none" w:sz="0" w:space="0" w:color="auto"/>
        <w:right w:val="none" w:sz="0" w:space="0" w:color="auto"/>
      </w:divBdr>
    </w:div>
    <w:div w:id="669869265">
      <w:bodyDiv w:val="1"/>
      <w:marLeft w:val="0"/>
      <w:marRight w:val="0"/>
      <w:marTop w:val="0"/>
      <w:marBottom w:val="0"/>
      <w:divBdr>
        <w:top w:val="none" w:sz="0" w:space="0" w:color="auto"/>
        <w:left w:val="none" w:sz="0" w:space="0" w:color="auto"/>
        <w:bottom w:val="none" w:sz="0" w:space="0" w:color="auto"/>
        <w:right w:val="none" w:sz="0" w:space="0" w:color="auto"/>
      </w:divBdr>
    </w:div>
    <w:div w:id="18900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694777FA9F6F4E8D8A559CB7F24AE6" ma:contentTypeVersion="14" ma:contentTypeDescription="Create a new document." ma:contentTypeScope="" ma:versionID="1f65e8e2aee3c5b4275009052fb6abd3">
  <xsd:schema xmlns:xsd="http://www.w3.org/2001/XMLSchema" xmlns:xs="http://www.w3.org/2001/XMLSchema" xmlns:p="http://schemas.microsoft.com/office/2006/metadata/properties" xmlns:ns3="5cf0ce72-c756-416c-b465-81aa7d0620f3" xmlns:ns4="a932a0a2-e0cd-4122-997c-3c6567bdb549" targetNamespace="http://schemas.microsoft.com/office/2006/metadata/properties" ma:root="true" ma:fieldsID="06dcfd7b699c324bbb20ad2e78c21f81" ns3:_="" ns4:_="">
    <xsd:import namespace="5cf0ce72-c756-416c-b465-81aa7d0620f3"/>
    <xsd:import namespace="a932a0a2-e0cd-4122-997c-3c6567bdb5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0ce72-c756-416c-b465-81aa7d062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2a0a2-e0cd-4122-997c-3c6567bdb5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cf0ce72-c756-416c-b465-81aa7d0620f3" xsi:nil="true"/>
  </documentManagement>
</p:properties>
</file>

<file path=customXml/itemProps1.xml><?xml version="1.0" encoding="utf-8"?>
<ds:datastoreItem xmlns:ds="http://schemas.openxmlformats.org/officeDocument/2006/customXml" ds:itemID="{8365BC28-89B6-40B4-BDAD-5217101C9CCD}">
  <ds:schemaRefs>
    <ds:schemaRef ds:uri="http://schemas.microsoft.com/sharepoint/v3/contenttype/forms"/>
  </ds:schemaRefs>
</ds:datastoreItem>
</file>

<file path=customXml/itemProps2.xml><?xml version="1.0" encoding="utf-8"?>
<ds:datastoreItem xmlns:ds="http://schemas.openxmlformats.org/officeDocument/2006/customXml" ds:itemID="{5FEC4C6D-0D1A-4DE1-AA81-67B793C1B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0ce72-c756-416c-b465-81aa7d0620f3"/>
    <ds:schemaRef ds:uri="a932a0a2-e0cd-4122-997c-3c6567bdb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F0D07-14F7-4E4D-BCA7-C8A0DB8FA29E}">
  <ds:schemaRefs>
    <ds:schemaRef ds:uri="http://schemas.openxmlformats.org/officeDocument/2006/bibliography"/>
  </ds:schemaRefs>
</ds:datastoreItem>
</file>

<file path=customXml/itemProps4.xml><?xml version="1.0" encoding="utf-8"?>
<ds:datastoreItem xmlns:ds="http://schemas.openxmlformats.org/officeDocument/2006/customXml" ds:itemID="{45B9EC35-04E0-4CE7-979E-970DE133B16D}">
  <ds:schemaRefs>
    <ds:schemaRef ds:uri="http://schemas.microsoft.com/office/2006/metadata/properties"/>
    <ds:schemaRef ds:uri="http://schemas.microsoft.com/office/infopath/2007/PartnerControls"/>
    <ds:schemaRef ds:uri="5cf0ce72-c756-416c-b465-81aa7d0620f3"/>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Humphrey</dc:creator>
  <cp:keywords/>
  <dc:description/>
  <cp:lastModifiedBy>Sharon Irvine</cp:lastModifiedBy>
  <cp:revision>4</cp:revision>
  <dcterms:created xsi:type="dcterms:W3CDTF">2023-10-24T04:22:00Z</dcterms:created>
  <dcterms:modified xsi:type="dcterms:W3CDTF">2023-10-24T10:08:00Z</dcterms:modified>
</cp:coreProperties>
</file>