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39E5EEC6" w14:textId="77777777" w:rsidR="00902E39" w:rsidRDefault="00902E39" w:rsidP="00E30D1D">
      <w:pPr>
        <w:jc w:val="both"/>
        <w:rPr>
          <w:b/>
          <w:bCs/>
        </w:rPr>
      </w:pPr>
    </w:p>
    <w:p w14:paraId="2A0B7A97" w14:textId="1B3A88B6" w:rsidR="00902E39" w:rsidRDefault="00902E39" w:rsidP="00902E39">
      <w:pPr>
        <w:pStyle w:val="Header"/>
        <w:rPr>
          <w:b/>
        </w:rPr>
      </w:pPr>
      <w:r>
        <w:rPr>
          <w:b/>
        </w:rPr>
        <w:t xml:space="preserve">Draft Kent Engagement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4F4B94B9" wp14:editId="41B67D56">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CB9A28" w14:textId="77777777" w:rsidR="00902E39" w:rsidRDefault="00902E39" w:rsidP="00902E3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4B94B9"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0CB9A28" w14:textId="77777777" w:rsidR="00902E39" w:rsidRDefault="00902E39" w:rsidP="00902E3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7B6A3C">
        <w:rPr>
          <w:b/>
        </w:rPr>
        <w:t xml:space="preserve">Meeting Notes 30 </w:t>
      </w:r>
      <w:bookmarkStart w:id="0" w:name="_GoBack"/>
      <w:bookmarkEnd w:id="0"/>
      <w:r w:rsidR="007B6A3C">
        <w:rPr>
          <w:b/>
        </w:rPr>
        <w:t>Jan 2023</w:t>
      </w:r>
      <w:r>
        <w:rPr>
          <w:b/>
        </w:rPr>
        <w:t xml:space="preserve">, Microsoft Teams Call </w:t>
      </w:r>
    </w:p>
    <w:p w14:paraId="44A48CFD" w14:textId="77777777" w:rsidR="00902E39" w:rsidRPr="00902E39" w:rsidRDefault="00902E39" w:rsidP="00902E39">
      <w:pPr>
        <w:pStyle w:val="Header"/>
        <w:rPr>
          <w:b/>
        </w:rPr>
      </w:pPr>
    </w:p>
    <w:p w14:paraId="01ED23FC" w14:textId="72F7BC78" w:rsidR="00B44664" w:rsidRPr="000A08C6" w:rsidRDefault="00DF015F" w:rsidP="00E30D1D">
      <w:pPr>
        <w:jc w:val="both"/>
      </w:pPr>
      <w:r w:rsidRPr="6C2E39D5">
        <w:rPr>
          <w:b/>
          <w:bCs/>
        </w:rPr>
        <w:t>Present</w:t>
      </w:r>
      <w:r w:rsidR="006029C3">
        <w:t>:</w:t>
      </w:r>
      <w:r w:rsidR="00B1540F">
        <w:t xml:space="preserve"> </w:t>
      </w:r>
      <w:r w:rsidR="00CE54E6">
        <w:t>Beth Becks, Dover</w:t>
      </w:r>
      <w:r w:rsidR="003D2F6C">
        <w:t xml:space="preserve"> and co-chair</w:t>
      </w:r>
      <w:r w:rsidR="00CE54E6">
        <w:t xml:space="preserve">; Carrie Hartwell, KCC; Emma Henry, </w:t>
      </w:r>
      <w:r w:rsidR="003D2F6C">
        <w:t xml:space="preserve">WKHA; </w:t>
      </w:r>
      <w:r w:rsidR="00CE54E6">
        <w:t xml:space="preserve">Sarah Tickner, TCH; Angela Palmer, </w:t>
      </w:r>
      <w:r w:rsidR="003D2F6C">
        <w:t xml:space="preserve">MHS; </w:t>
      </w:r>
      <w:r w:rsidR="00CE54E6">
        <w:t>Mark Meredith</w:t>
      </w:r>
      <w:r w:rsidR="003D2F6C">
        <w:t>, SHG</w:t>
      </w:r>
      <w:r w:rsidR="00CE54E6">
        <w:t xml:space="preserve">; Hannah Rourke, </w:t>
      </w:r>
      <w:r w:rsidR="003D2F6C">
        <w:t xml:space="preserve">Medway; </w:t>
      </w:r>
      <w:r w:rsidR="00961B05">
        <w:t>Robert Slade</w:t>
      </w:r>
      <w:r w:rsidR="00853E96">
        <w:t>, Kent Police</w:t>
      </w:r>
      <w:r w:rsidR="00961B05">
        <w:t xml:space="preserve">; </w:t>
      </w:r>
      <w:r w:rsidR="002A374B">
        <w:t>Helen Miller</w:t>
      </w:r>
      <w:r w:rsidR="004B6EE7">
        <w:t>,</w:t>
      </w:r>
      <w:r w:rsidR="002A374B">
        <w:t xml:space="preserve"> K</w:t>
      </w:r>
      <w:r w:rsidR="00FF7645">
        <w:t xml:space="preserve">ent </w:t>
      </w:r>
      <w:r w:rsidR="002A374B">
        <w:t>H</w:t>
      </w:r>
      <w:r w:rsidR="00FF7645">
        <w:t xml:space="preserve">ousing </w:t>
      </w:r>
      <w:r w:rsidR="002A374B">
        <w:t>G</w:t>
      </w:r>
      <w:r w:rsidR="00FF7645">
        <w:t>roup</w:t>
      </w:r>
      <w:r w:rsidR="002A374B">
        <w:t xml:space="preserve">; </w:t>
      </w:r>
    </w:p>
    <w:p w14:paraId="0DBB4997" w14:textId="2D1CB959" w:rsidR="00C0154C" w:rsidRPr="00041734" w:rsidRDefault="00DF015F" w:rsidP="00C0154C">
      <w:r>
        <w:rPr>
          <w:b/>
        </w:rPr>
        <w:t>Apologies</w:t>
      </w:r>
      <w:r w:rsidR="007330A4">
        <w:rPr>
          <w:b/>
        </w:rPr>
        <w:t>:</w:t>
      </w:r>
      <w:r w:rsidR="00711D39">
        <w:rPr>
          <w:b/>
        </w:rPr>
        <w:t xml:space="preserve"> </w:t>
      </w:r>
      <w:r w:rsidR="003843CC" w:rsidRPr="003843CC">
        <w:t>Lin Perkins, Golding Homes and co-chair;</w:t>
      </w:r>
      <w:r w:rsidR="003843CC">
        <w:rPr>
          <w:b/>
        </w:rPr>
        <w:t xml:space="preserve"> </w:t>
      </w:r>
      <w:r w:rsidR="00E17A49" w:rsidRPr="00E17A49">
        <w:t>Amanda Mankelow, TCH;</w:t>
      </w:r>
      <w:r w:rsidR="00E17A49">
        <w:rPr>
          <w:b/>
        </w:rPr>
        <w:t xml:space="preserve"> </w:t>
      </w:r>
      <w:r w:rsidR="009B701B" w:rsidRPr="009B701B">
        <w:t>Mike Bailey, Folkestone and Hythe;</w:t>
      </w:r>
      <w:r w:rsidR="009B701B">
        <w:t xml:space="preserve"> </w:t>
      </w:r>
      <w:r w:rsidR="00DE6C5A">
        <w:t>Louise Humphrey, MHS;</w:t>
      </w:r>
    </w:p>
    <w:tbl>
      <w:tblPr>
        <w:tblStyle w:val="TableGrid"/>
        <w:tblW w:w="15026" w:type="dxa"/>
        <w:tblInd w:w="-998" w:type="dxa"/>
        <w:tblLayout w:type="fixed"/>
        <w:tblLook w:val="04A0" w:firstRow="1" w:lastRow="0" w:firstColumn="1" w:lastColumn="0" w:noHBand="0" w:noVBand="1"/>
      </w:tblPr>
      <w:tblGrid>
        <w:gridCol w:w="1560"/>
        <w:gridCol w:w="9214"/>
        <w:gridCol w:w="851"/>
        <w:gridCol w:w="3401"/>
      </w:tblGrid>
      <w:tr w:rsidR="00B1540F" w:rsidRPr="00733643" w14:paraId="51C7AF28" w14:textId="77777777" w:rsidTr="00FF7645">
        <w:trPr>
          <w:trHeight w:val="752"/>
        </w:trPr>
        <w:tc>
          <w:tcPr>
            <w:tcW w:w="1560" w:type="dxa"/>
            <w:shd w:val="clear" w:color="auto" w:fill="DBE5F1" w:themeFill="accent1" w:themeFillTint="33"/>
          </w:tcPr>
          <w:p w14:paraId="6F3B69C3" w14:textId="77777777" w:rsidR="00B1540F" w:rsidRPr="00DD02F7" w:rsidRDefault="00B1540F" w:rsidP="002B184E">
            <w:pPr>
              <w:jc w:val="center"/>
              <w:rPr>
                <w:rFonts w:ascii="Arial" w:hAnsi="Arial" w:cs="Arial"/>
              </w:rPr>
            </w:pPr>
            <w:r w:rsidRPr="00DD02F7">
              <w:rPr>
                <w:rFonts w:ascii="Arial" w:hAnsi="Arial" w:cs="Arial"/>
              </w:rPr>
              <w:t>Reference</w:t>
            </w:r>
          </w:p>
        </w:tc>
        <w:tc>
          <w:tcPr>
            <w:tcW w:w="9214" w:type="dxa"/>
            <w:shd w:val="clear" w:color="auto" w:fill="DBE5F1" w:themeFill="accent1" w:themeFillTint="33"/>
          </w:tcPr>
          <w:p w14:paraId="7F116C9A" w14:textId="77777777" w:rsidR="00B1540F" w:rsidRPr="00DD02F7" w:rsidRDefault="00B1540F" w:rsidP="002B184E">
            <w:pPr>
              <w:jc w:val="center"/>
              <w:rPr>
                <w:rFonts w:ascii="Arial" w:hAnsi="Arial" w:cs="Arial"/>
              </w:rPr>
            </w:pPr>
            <w:r w:rsidRPr="00DD02F7">
              <w:rPr>
                <w:rFonts w:ascii="Arial" w:hAnsi="Arial" w:cs="Arial"/>
              </w:rPr>
              <w:t>Notes/Outcome</w:t>
            </w:r>
          </w:p>
        </w:tc>
        <w:tc>
          <w:tcPr>
            <w:tcW w:w="851" w:type="dxa"/>
            <w:shd w:val="clear" w:color="auto" w:fill="DBE5F1" w:themeFill="accent1" w:themeFillTint="33"/>
          </w:tcPr>
          <w:p w14:paraId="06D4BD81" w14:textId="77777777" w:rsidR="00B1540F" w:rsidRPr="00DD02F7" w:rsidRDefault="00B1540F" w:rsidP="009F047F">
            <w:pPr>
              <w:jc w:val="center"/>
              <w:rPr>
                <w:rFonts w:ascii="Arial" w:hAnsi="Arial" w:cs="Arial"/>
              </w:rPr>
            </w:pPr>
            <w:r w:rsidRPr="00DD02F7">
              <w:rPr>
                <w:rFonts w:ascii="Arial" w:hAnsi="Arial" w:cs="Arial"/>
              </w:rPr>
              <w:t xml:space="preserve">Who </w:t>
            </w:r>
          </w:p>
        </w:tc>
        <w:tc>
          <w:tcPr>
            <w:tcW w:w="3401" w:type="dxa"/>
            <w:shd w:val="clear" w:color="auto" w:fill="DBE5F1" w:themeFill="accent1" w:themeFillTint="33"/>
          </w:tcPr>
          <w:p w14:paraId="44D44000" w14:textId="77777777" w:rsidR="00B1540F" w:rsidRPr="00DD02F7" w:rsidRDefault="00B1540F" w:rsidP="00205AB1">
            <w:pPr>
              <w:jc w:val="both"/>
              <w:rPr>
                <w:rFonts w:ascii="Arial" w:hAnsi="Arial" w:cs="Arial"/>
              </w:rPr>
            </w:pPr>
            <w:r w:rsidRPr="00DD02F7">
              <w:rPr>
                <w:rFonts w:ascii="Arial" w:hAnsi="Arial" w:cs="Arial"/>
              </w:rPr>
              <w:t>Action/Decision</w:t>
            </w:r>
          </w:p>
        </w:tc>
      </w:tr>
      <w:tr w:rsidR="00B1540F" w:rsidRPr="00733643" w14:paraId="67E86FA8" w14:textId="77777777" w:rsidTr="00FF7645">
        <w:tc>
          <w:tcPr>
            <w:tcW w:w="1560" w:type="dxa"/>
          </w:tcPr>
          <w:p w14:paraId="7BC61AE8" w14:textId="4F7CA6D9" w:rsidR="00B1540F" w:rsidRPr="00DD02F7" w:rsidRDefault="00B1540F" w:rsidP="00426F3D">
            <w:pPr>
              <w:rPr>
                <w:rFonts w:ascii="Arial" w:hAnsi="Arial" w:cs="Arial"/>
              </w:rPr>
            </w:pPr>
            <w:r w:rsidRPr="00DD02F7">
              <w:rPr>
                <w:rFonts w:ascii="Arial" w:hAnsi="Arial" w:cs="Arial"/>
              </w:rPr>
              <w:t>Matters Arising</w:t>
            </w:r>
            <w:r w:rsidR="00600B44">
              <w:rPr>
                <w:rFonts w:ascii="Arial" w:hAnsi="Arial" w:cs="Arial"/>
              </w:rPr>
              <w:t xml:space="preserve"> from Nov 2022</w:t>
            </w:r>
          </w:p>
        </w:tc>
        <w:tc>
          <w:tcPr>
            <w:tcW w:w="9214" w:type="dxa"/>
            <w:shd w:val="clear" w:color="auto" w:fill="auto"/>
          </w:tcPr>
          <w:p w14:paraId="072C4F9A" w14:textId="179637D0" w:rsidR="00CE54E6" w:rsidRDefault="00CE54E6" w:rsidP="001058CE">
            <w:pPr>
              <w:jc w:val="both"/>
              <w:rPr>
                <w:rFonts w:ascii="Arial" w:hAnsi="Arial" w:cs="Arial"/>
              </w:rPr>
            </w:pPr>
            <w:r>
              <w:rPr>
                <w:rFonts w:ascii="Arial" w:hAnsi="Arial" w:cs="Arial"/>
              </w:rPr>
              <w:t>Short introductions;</w:t>
            </w:r>
          </w:p>
          <w:p w14:paraId="78E7F23D" w14:textId="33B22E2E" w:rsidR="00CE54E6" w:rsidRDefault="00DE6C5A" w:rsidP="001058CE">
            <w:pPr>
              <w:jc w:val="both"/>
              <w:rPr>
                <w:rFonts w:ascii="Arial" w:hAnsi="Arial" w:cs="Arial"/>
              </w:rPr>
            </w:pPr>
            <w:r>
              <w:rPr>
                <w:rFonts w:ascii="Arial" w:hAnsi="Arial" w:cs="Arial"/>
              </w:rPr>
              <w:t>Beth Becks, from Dover DC, co-</w:t>
            </w:r>
            <w:r w:rsidR="00CE54E6">
              <w:rPr>
                <w:rFonts w:ascii="Arial" w:hAnsi="Arial" w:cs="Arial"/>
              </w:rPr>
              <w:t>chair for this group with Lin</w:t>
            </w:r>
            <w:r>
              <w:rPr>
                <w:rFonts w:ascii="Arial" w:hAnsi="Arial" w:cs="Arial"/>
              </w:rPr>
              <w:t xml:space="preserve"> Perkins</w:t>
            </w:r>
            <w:r w:rsidR="00CE54E6">
              <w:rPr>
                <w:rFonts w:ascii="Arial" w:hAnsi="Arial" w:cs="Arial"/>
              </w:rPr>
              <w:t>;</w:t>
            </w:r>
          </w:p>
          <w:p w14:paraId="7A5B6665" w14:textId="0C0E9CA9" w:rsidR="00CE54E6" w:rsidRDefault="00CE54E6" w:rsidP="001058CE">
            <w:pPr>
              <w:jc w:val="both"/>
              <w:rPr>
                <w:rFonts w:ascii="Arial" w:hAnsi="Arial" w:cs="Arial"/>
              </w:rPr>
            </w:pPr>
            <w:r>
              <w:rPr>
                <w:rFonts w:ascii="Arial" w:hAnsi="Arial" w:cs="Arial"/>
              </w:rPr>
              <w:t>Angela Palmer, MHS</w:t>
            </w:r>
            <w:r w:rsidR="00DE6C5A">
              <w:rPr>
                <w:rFonts w:ascii="Arial" w:hAnsi="Arial" w:cs="Arial"/>
              </w:rPr>
              <w:t>;</w:t>
            </w:r>
          </w:p>
          <w:p w14:paraId="1D0AA6EC" w14:textId="1AB12F42" w:rsidR="00CE54E6" w:rsidRDefault="00CE54E6" w:rsidP="001058CE">
            <w:pPr>
              <w:jc w:val="both"/>
              <w:rPr>
                <w:rFonts w:ascii="Arial" w:hAnsi="Arial" w:cs="Arial"/>
              </w:rPr>
            </w:pPr>
            <w:r>
              <w:rPr>
                <w:rFonts w:ascii="Arial" w:hAnsi="Arial" w:cs="Arial"/>
              </w:rPr>
              <w:t xml:space="preserve">Carrie Hartwell, Serious Organised </w:t>
            </w:r>
            <w:r w:rsidR="00961B05">
              <w:rPr>
                <w:rFonts w:ascii="Arial" w:hAnsi="Arial" w:cs="Arial"/>
              </w:rPr>
              <w:t>C</w:t>
            </w:r>
            <w:r>
              <w:rPr>
                <w:rFonts w:ascii="Arial" w:hAnsi="Arial" w:cs="Arial"/>
              </w:rPr>
              <w:t>rime coordinator</w:t>
            </w:r>
            <w:r w:rsidR="00DE6C5A">
              <w:rPr>
                <w:rFonts w:ascii="Arial" w:hAnsi="Arial" w:cs="Arial"/>
              </w:rPr>
              <w:t>, KCC;</w:t>
            </w:r>
          </w:p>
          <w:p w14:paraId="778B644D" w14:textId="78B35C7C" w:rsidR="00CE54E6" w:rsidRDefault="00CE54E6" w:rsidP="001058CE">
            <w:pPr>
              <w:jc w:val="both"/>
              <w:rPr>
                <w:rFonts w:ascii="Arial" w:hAnsi="Arial" w:cs="Arial"/>
              </w:rPr>
            </w:pPr>
            <w:r>
              <w:rPr>
                <w:rFonts w:ascii="Arial" w:hAnsi="Arial" w:cs="Arial"/>
              </w:rPr>
              <w:t>Emma</w:t>
            </w:r>
            <w:r w:rsidR="003D2F6C">
              <w:rPr>
                <w:rFonts w:ascii="Arial" w:hAnsi="Arial" w:cs="Arial"/>
              </w:rPr>
              <w:t xml:space="preserve"> Henry</w:t>
            </w:r>
            <w:r w:rsidR="00DE6C5A">
              <w:rPr>
                <w:rFonts w:ascii="Arial" w:hAnsi="Arial" w:cs="Arial"/>
              </w:rPr>
              <w:t>, WKHA;</w:t>
            </w:r>
          </w:p>
          <w:p w14:paraId="35917B74" w14:textId="5577AD26" w:rsidR="00CE54E6" w:rsidRDefault="00CE54E6" w:rsidP="001058CE">
            <w:pPr>
              <w:jc w:val="both"/>
              <w:rPr>
                <w:rFonts w:ascii="Arial" w:hAnsi="Arial" w:cs="Arial"/>
              </w:rPr>
            </w:pPr>
            <w:r>
              <w:rPr>
                <w:rFonts w:ascii="Arial" w:hAnsi="Arial" w:cs="Arial"/>
              </w:rPr>
              <w:t>Mark Meredith, Southern Housing Gr</w:t>
            </w:r>
            <w:r w:rsidR="00DE6C5A">
              <w:rPr>
                <w:rFonts w:ascii="Arial" w:hAnsi="Arial" w:cs="Arial"/>
              </w:rPr>
              <w:t>oup, recently merged with Optivo;</w:t>
            </w:r>
          </w:p>
          <w:p w14:paraId="7F8E8E6A" w14:textId="386F247B" w:rsidR="00CE54E6" w:rsidRDefault="00CE54E6" w:rsidP="001058CE">
            <w:pPr>
              <w:jc w:val="both"/>
              <w:rPr>
                <w:rFonts w:ascii="Arial" w:hAnsi="Arial" w:cs="Arial"/>
              </w:rPr>
            </w:pPr>
            <w:r>
              <w:rPr>
                <w:rFonts w:ascii="Arial" w:hAnsi="Arial" w:cs="Arial"/>
              </w:rPr>
              <w:t>Hannah Rourke, Medway</w:t>
            </w:r>
            <w:r w:rsidR="00DE6C5A">
              <w:rPr>
                <w:rFonts w:ascii="Arial" w:hAnsi="Arial" w:cs="Arial"/>
              </w:rPr>
              <w:t>;</w:t>
            </w:r>
          </w:p>
          <w:p w14:paraId="78BB287B" w14:textId="64834A6B" w:rsidR="00CE54E6" w:rsidRDefault="00CE54E6" w:rsidP="001058CE">
            <w:pPr>
              <w:jc w:val="both"/>
              <w:rPr>
                <w:rFonts w:ascii="Arial" w:hAnsi="Arial" w:cs="Arial"/>
              </w:rPr>
            </w:pPr>
            <w:r>
              <w:rPr>
                <w:rFonts w:ascii="Arial" w:hAnsi="Arial" w:cs="Arial"/>
              </w:rPr>
              <w:t xml:space="preserve">Sarah Tickner, </w:t>
            </w:r>
            <w:r w:rsidR="00DE6C5A">
              <w:rPr>
                <w:rFonts w:ascii="Arial" w:hAnsi="Arial" w:cs="Arial"/>
              </w:rPr>
              <w:t xml:space="preserve">recently joined </w:t>
            </w:r>
            <w:r>
              <w:rPr>
                <w:rFonts w:ascii="Arial" w:hAnsi="Arial" w:cs="Arial"/>
              </w:rPr>
              <w:t xml:space="preserve">TCH </w:t>
            </w:r>
            <w:r w:rsidR="00DE6C5A">
              <w:rPr>
                <w:rFonts w:ascii="Arial" w:hAnsi="Arial" w:cs="Arial"/>
              </w:rPr>
              <w:t xml:space="preserve">as </w:t>
            </w:r>
            <w:r>
              <w:rPr>
                <w:rFonts w:ascii="Arial" w:hAnsi="Arial" w:cs="Arial"/>
              </w:rPr>
              <w:t>resident engagement manager</w:t>
            </w:r>
            <w:r w:rsidR="00DE6C5A">
              <w:rPr>
                <w:rFonts w:ascii="Arial" w:hAnsi="Arial" w:cs="Arial"/>
              </w:rPr>
              <w:t>;</w:t>
            </w:r>
          </w:p>
          <w:p w14:paraId="4DBAA8EF" w14:textId="7B9629C1" w:rsidR="003D2F6C" w:rsidRDefault="003D2F6C" w:rsidP="001058CE">
            <w:pPr>
              <w:jc w:val="both"/>
              <w:rPr>
                <w:rFonts w:ascii="Arial" w:hAnsi="Arial" w:cs="Arial"/>
              </w:rPr>
            </w:pPr>
            <w:r>
              <w:rPr>
                <w:rFonts w:ascii="Arial" w:hAnsi="Arial" w:cs="Arial"/>
              </w:rPr>
              <w:t>Helen Miller, Kent Housing Group’s partnership manager</w:t>
            </w:r>
            <w:r w:rsidR="00DE6C5A">
              <w:rPr>
                <w:rFonts w:ascii="Arial" w:hAnsi="Arial" w:cs="Arial"/>
              </w:rPr>
              <w:t>;</w:t>
            </w:r>
          </w:p>
          <w:p w14:paraId="2C085B91" w14:textId="394E97FF" w:rsidR="003D2F6C" w:rsidRDefault="003D2F6C" w:rsidP="001058CE">
            <w:pPr>
              <w:jc w:val="both"/>
              <w:rPr>
                <w:rFonts w:ascii="Arial" w:hAnsi="Arial" w:cs="Arial"/>
              </w:rPr>
            </w:pPr>
            <w:r>
              <w:rPr>
                <w:rFonts w:ascii="Arial" w:hAnsi="Arial" w:cs="Arial"/>
              </w:rPr>
              <w:t>(Robert joined after introductions were made)</w:t>
            </w:r>
          </w:p>
          <w:p w14:paraId="4755943A" w14:textId="1D6D5A42" w:rsidR="00CE54E6" w:rsidRDefault="00323916" w:rsidP="001058CE">
            <w:pPr>
              <w:jc w:val="both"/>
              <w:rPr>
                <w:rFonts w:ascii="Arial" w:hAnsi="Arial" w:cs="Arial"/>
              </w:rPr>
            </w:pPr>
            <w:r w:rsidRPr="00600B44">
              <w:rPr>
                <w:rFonts w:ascii="Arial" w:hAnsi="Arial" w:cs="Arial"/>
              </w:rPr>
              <w:t xml:space="preserve"> </w:t>
            </w:r>
          </w:p>
          <w:p w14:paraId="1D35D3B7" w14:textId="4B65D39F" w:rsidR="005866DF" w:rsidRDefault="00130429" w:rsidP="001058CE">
            <w:pPr>
              <w:jc w:val="both"/>
              <w:rPr>
                <w:rFonts w:ascii="Arial" w:hAnsi="Arial" w:cs="Arial"/>
              </w:rPr>
            </w:pPr>
            <w:r>
              <w:rPr>
                <w:rFonts w:ascii="Arial" w:hAnsi="Arial" w:cs="Arial"/>
              </w:rPr>
              <w:t>Does the group</w:t>
            </w:r>
            <w:r w:rsidR="00CE54E6">
              <w:rPr>
                <w:rFonts w:ascii="Arial" w:hAnsi="Arial" w:cs="Arial"/>
              </w:rPr>
              <w:t xml:space="preserve"> need a central place for documents? </w:t>
            </w:r>
            <w:r w:rsidR="003D2F6C">
              <w:rPr>
                <w:rFonts w:ascii="Arial" w:hAnsi="Arial" w:cs="Arial"/>
              </w:rPr>
              <w:t xml:space="preserve">HM set up a channel on teams in the summer but it has not been posted on. </w:t>
            </w:r>
            <w:r w:rsidR="00CE54E6">
              <w:rPr>
                <w:rFonts w:ascii="Arial" w:hAnsi="Arial" w:cs="Arial"/>
              </w:rPr>
              <w:t xml:space="preserve">BB would we want this chat and catch up function? Emma Henry liked the idea </w:t>
            </w:r>
            <w:r w:rsidR="00DE6C5A">
              <w:rPr>
                <w:rFonts w:ascii="Arial" w:hAnsi="Arial" w:cs="Arial"/>
              </w:rPr>
              <w:t>so HM to send invitation to Teams channel called KHG Engagement Group, hosted at Ashford Borough Council again. If members</w:t>
            </w:r>
            <w:r w:rsidR="00961B05">
              <w:rPr>
                <w:rFonts w:ascii="Arial" w:hAnsi="Arial" w:cs="Arial"/>
              </w:rPr>
              <w:t xml:space="preserve"> cannot</w:t>
            </w:r>
            <w:r w:rsidR="00DE6C5A">
              <w:rPr>
                <w:rFonts w:ascii="Arial" w:hAnsi="Arial" w:cs="Arial"/>
              </w:rPr>
              <w:t xml:space="preserve"> use this</w:t>
            </w:r>
            <w:r w:rsidR="00961B05">
              <w:rPr>
                <w:rFonts w:ascii="Arial" w:hAnsi="Arial" w:cs="Arial"/>
              </w:rPr>
              <w:t xml:space="preserve"> then we can look at </w:t>
            </w:r>
            <w:r w:rsidR="00DE6C5A">
              <w:rPr>
                <w:rFonts w:ascii="Arial" w:hAnsi="Arial" w:cs="Arial"/>
              </w:rPr>
              <w:t>using OneDrive/</w:t>
            </w:r>
            <w:r w:rsidR="00961B05">
              <w:rPr>
                <w:rFonts w:ascii="Arial" w:hAnsi="Arial" w:cs="Arial"/>
              </w:rPr>
              <w:t>SharePoint.</w:t>
            </w:r>
          </w:p>
          <w:p w14:paraId="45D613F8" w14:textId="77777777" w:rsidR="00961B05" w:rsidRDefault="00961B05" w:rsidP="001058CE">
            <w:pPr>
              <w:jc w:val="both"/>
              <w:rPr>
                <w:rFonts w:ascii="Arial" w:hAnsi="Arial" w:cs="Arial"/>
              </w:rPr>
            </w:pPr>
          </w:p>
          <w:p w14:paraId="7A032A31" w14:textId="592ECD5C" w:rsidR="00961B05" w:rsidRPr="00600B44" w:rsidRDefault="00961B05" w:rsidP="001058CE">
            <w:pPr>
              <w:jc w:val="both"/>
              <w:rPr>
                <w:rFonts w:ascii="Arial" w:hAnsi="Arial" w:cs="Arial"/>
              </w:rPr>
            </w:pPr>
            <w:r>
              <w:rPr>
                <w:rFonts w:ascii="Arial" w:hAnsi="Arial" w:cs="Arial"/>
              </w:rPr>
              <w:t xml:space="preserve">CH asked </w:t>
            </w:r>
            <w:r w:rsidR="003D2F6C">
              <w:rPr>
                <w:rFonts w:ascii="Arial" w:hAnsi="Arial" w:cs="Arial"/>
              </w:rPr>
              <w:t xml:space="preserve">about </w:t>
            </w:r>
            <w:r>
              <w:rPr>
                <w:rFonts w:ascii="Arial" w:hAnsi="Arial" w:cs="Arial"/>
              </w:rPr>
              <w:t>tenant satisfaction/perceptions survey</w:t>
            </w:r>
            <w:r w:rsidR="003D2F6C">
              <w:rPr>
                <w:rFonts w:ascii="Arial" w:hAnsi="Arial" w:cs="Arial"/>
              </w:rPr>
              <w:t>s</w:t>
            </w:r>
            <w:r>
              <w:rPr>
                <w:rFonts w:ascii="Arial" w:hAnsi="Arial" w:cs="Arial"/>
              </w:rPr>
              <w:t>.  BB landlords need to do an annual survey with residents each year. This covers building saf</w:t>
            </w:r>
            <w:r w:rsidR="003D2F6C">
              <w:rPr>
                <w:rFonts w:ascii="Arial" w:hAnsi="Arial" w:cs="Arial"/>
              </w:rPr>
              <w:t>ety, their neighbourhood, how landlords</w:t>
            </w:r>
            <w:r>
              <w:rPr>
                <w:rFonts w:ascii="Arial" w:hAnsi="Arial" w:cs="Arial"/>
              </w:rPr>
              <w:t xml:space="preserve"> deliver the service, etc. Every landlord must use the questions provided and sent it to the Regulator who will publish it, probably 2024. This could help understanding on ASB, etc. </w:t>
            </w:r>
          </w:p>
        </w:tc>
        <w:tc>
          <w:tcPr>
            <w:tcW w:w="851" w:type="dxa"/>
            <w:shd w:val="clear" w:color="auto" w:fill="auto"/>
          </w:tcPr>
          <w:p w14:paraId="747F11D3" w14:textId="62A18EEA" w:rsidR="00B1540F" w:rsidRDefault="00B1540F" w:rsidP="008669A9">
            <w:pPr>
              <w:jc w:val="both"/>
              <w:rPr>
                <w:rFonts w:ascii="Arial" w:hAnsi="Arial" w:cs="Arial"/>
                <w:color w:val="FF0000"/>
              </w:rPr>
            </w:pPr>
          </w:p>
          <w:p w14:paraId="6AF49F7D" w14:textId="15674AA5" w:rsidR="003D2F6C" w:rsidRDefault="003D2F6C" w:rsidP="008669A9">
            <w:pPr>
              <w:jc w:val="both"/>
              <w:rPr>
                <w:rFonts w:ascii="Arial" w:hAnsi="Arial" w:cs="Arial"/>
                <w:color w:val="FF0000"/>
              </w:rPr>
            </w:pPr>
          </w:p>
          <w:p w14:paraId="36A74EAB" w14:textId="75B33EA9" w:rsidR="003D2F6C" w:rsidRDefault="003D2F6C" w:rsidP="008669A9">
            <w:pPr>
              <w:jc w:val="both"/>
              <w:rPr>
                <w:rFonts w:ascii="Arial" w:hAnsi="Arial" w:cs="Arial"/>
                <w:color w:val="FF0000"/>
              </w:rPr>
            </w:pPr>
          </w:p>
          <w:p w14:paraId="7877C85C" w14:textId="4F583EB6" w:rsidR="003D2F6C" w:rsidRDefault="003D2F6C" w:rsidP="008669A9">
            <w:pPr>
              <w:jc w:val="both"/>
              <w:rPr>
                <w:rFonts w:ascii="Arial" w:hAnsi="Arial" w:cs="Arial"/>
                <w:color w:val="FF0000"/>
              </w:rPr>
            </w:pPr>
          </w:p>
          <w:p w14:paraId="076ABED6" w14:textId="2D2BA469" w:rsidR="003D2F6C" w:rsidRDefault="003D2F6C" w:rsidP="008669A9">
            <w:pPr>
              <w:jc w:val="both"/>
              <w:rPr>
                <w:rFonts w:ascii="Arial" w:hAnsi="Arial" w:cs="Arial"/>
                <w:color w:val="FF0000"/>
              </w:rPr>
            </w:pPr>
          </w:p>
          <w:p w14:paraId="7E4F0EA2" w14:textId="5D6E7362" w:rsidR="003D2F6C" w:rsidRDefault="003D2F6C" w:rsidP="008669A9">
            <w:pPr>
              <w:jc w:val="both"/>
              <w:rPr>
                <w:rFonts w:ascii="Arial" w:hAnsi="Arial" w:cs="Arial"/>
                <w:color w:val="FF0000"/>
              </w:rPr>
            </w:pPr>
          </w:p>
          <w:p w14:paraId="714D51A3" w14:textId="4175D8CB" w:rsidR="003D2F6C" w:rsidRDefault="003D2F6C" w:rsidP="008669A9">
            <w:pPr>
              <w:jc w:val="both"/>
              <w:rPr>
                <w:rFonts w:ascii="Arial" w:hAnsi="Arial" w:cs="Arial"/>
                <w:color w:val="FF0000"/>
              </w:rPr>
            </w:pPr>
          </w:p>
          <w:p w14:paraId="610ABBC9" w14:textId="1AFA9ABE" w:rsidR="003D2F6C" w:rsidRDefault="003D2F6C" w:rsidP="008669A9">
            <w:pPr>
              <w:jc w:val="both"/>
              <w:rPr>
                <w:rFonts w:ascii="Arial" w:hAnsi="Arial" w:cs="Arial"/>
                <w:color w:val="FF0000"/>
              </w:rPr>
            </w:pPr>
          </w:p>
          <w:p w14:paraId="1B0F1F40" w14:textId="71C7F620" w:rsidR="003D2F6C" w:rsidRDefault="003D2F6C" w:rsidP="008669A9">
            <w:pPr>
              <w:jc w:val="both"/>
              <w:rPr>
                <w:rFonts w:ascii="Arial" w:hAnsi="Arial" w:cs="Arial"/>
                <w:color w:val="FF0000"/>
              </w:rPr>
            </w:pPr>
          </w:p>
          <w:p w14:paraId="1E184C0A" w14:textId="1BFB1295" w:rsidR="003D2F6C" w:rsidRDefault="003D2F6C" w:rsidP="008669A9">
            <w:pPr>
              <w:jc w:val="both"/>
              <w:rPr>
                <w:rFonts w:ascii="Arial" w:hAnsi="Arial" w:cs="Arial"/>
                <w:color w:val="FF0000"/>
              </w:rPr>
            </w:pPr>
          </w:p>
          <w:p w14:paraId="51EF0820" w14:textId="71613831" w:rsidR="003D2F6C" w:rsidRDefault="003D2F6C" w:rsidP="008669A9">
            <w:pPr>
              <w:jc w:val="both"/>
              <w:rPr>
                <w:rFonts w:ascii="Arial" w:hAnsi="Arial" w:cs="Arial"/>
                <w:color w:val="FF0000"/>
              </w:rPr>
            </w:pPr>
          </w:p>
          <w:p w14:paraId="39B598C7" w14:textId="0B61CB9E" w:rsidR="003D2F6C" w:rsidRDefault="003D2F6C" w:rsidP="008669A9">
            <w:pPr>
              <w:jc w:val="both"/>
              <w:rPr>
                <w:rFonts w:ascii="Arial" w:hAnsi="Arial" w:cs="Arial"/>
                <w:color w:val="FF0000"/>
              </w:rPr>
            </w:pPr>
            <w:r>
              <w:rPr>
                <w:rFonts w:ascii="Arial" w:hAnsi="Arial" w:cs="Arial"/>
                <w:color w:val="FF0000"/>
              </w:rPr>
              <w:t>All</w:t>
            </w:r>
          </w:p>
          <w:p w14:paraId="236E20ED" w14:textId="77777777" w:rsidR="00CE54E6" w:rsidRDefault="00CE54E6" w:rsidP="008669A9">
            <w:pPr>
              <w:jc w:val="both"/>
              <w:rPr>
                <w:rFonts w:ascii="Arial" w:hAnsi="Arial" w:cs="Arial"/>
                <w:color w:val="FF0000"/>
              </w:rPr>
            </w:pPr>
          </w:p>
          <w:p w14:paraId="752509FB" w14:textId="77777777" w:rsidR="00CE54E6" w:rsidRDefault="00CE54E6" w:rsidP="008669A9">
            <w:pPr>
              <w:jc w:val="both"/>
              <w:rPr>
                <w:rFonts w:ascii="Arial" w:hAnsi="Arial" w:cs="Arial"/>
                <w:color w:val="FF0000"/>
              </w:rPr>
            </w:pPr>
          </w:p>
          <w:p w14:paraId="61F2E9F6" w14:textId="77777777" w:rsidR="00CE54E6" w:rsidRDefault="00CE54E6" w:rsidP="008669A9">
            <w:pPr>
              <w:jc w:val="both"/>
              <w:rPr>
                <w:rFonts w:ascii="Arial" w:hAnsi="Arial" w:cs="Arial"/>
                <w:color w:val="FF0000"/>
              </w:rPr>
            </w:pPr>
          </w:p>
          <w:p w14:paraId="15B4A952" w14:textId="77777777" w:rsidR="00CE54E6" w:rsidRDefault="00CE54E6" w:rsidP="008669A9">
            <w:pPr>
              <w:jc w:val="both"/>
              <w:rPr>
                <w:rFonts w:ascii="Arial" w:hAnsi="Arial" w:cs="Arial"/>
                <w:color w:val="FF0000"/>
              </w:rPr>
            </w:pPr>
          </w:p>
          <w:p w14:paraId="3C8F37A6" w14:textId="77777777" w:rsidR="00CE54E6" w:rsidRDefault="00CE54E6" w:rsidP="008669A9">
            <w:pPr>
              <w:jc w:val="both"/>
              <w:rPr>
                <w:rFonts w:ascii="Arial" w:hAnsi="Arial" w:cs="Arial"/>
                <w:color w:val="FF0000"/>
              </w:rPr>
            </w:pPr>
          </w:p>
          <w:p w14:paraId="5C25D6DF" w14:textId="77777777" w:rsidR="00CE54E6" w:rsidRDefault="00CE54E6" w:rsidP="008669A9">
            <w:pPr>
              <w:jc w:val="both"/>
              <w:rPr>
                <w:rFonts w:ascii="Arial" w:hAnsi="Arial" w:cs="Arial"/>
                <w:color w:val="FF0000"/>
              </w:rPr>
            </w:pPr>
          </w:p>
          <w:p w14:paraId="76EE72EA" w14:textId="77777777" w:rsidR="00CE54E6" w:rsidRDefault="00CE54E6" w:rsidP="008669A9">
            <w:pPr>
              <w:jc w:val="both"/>
              <w:rPr>
                <w:rFonts w:ascii="Arial" w:hAnsi="Arial" w:cs="Arial"/>
                <w:color w:val="FF0000"/>
              </w:rPr>
            </w:pPr>
          </w:p>
          <w:p w14:paraId="24244C2C" w14:textId="77777777" w:rsidR="00CE54E6" w:rsidRDefault="00CE54E6" w:rsidP="008669A9">
            <w:pPr>
              <w:jc w:val="both"/>
              <w:rPr>
                <w:rFonts w:ascii="Arial" w:hAnsi="Arial" w:cs="Arial"/>
                <w:color w:val="FF0000"/>
              </w:rPr>
            </w:pPr>
          </w:p>
          <w:p w14:paraId="6EFEEA1C" w14:textId="0F49FAB9" w:rsidR="00CE54E6" w:rsidRPr="00BE6CB8" w:rsidRDefault="00CE54E6" w:rsidP="008669A9">
            <w:pPr>
              <w:jc w:val="both"/>
              <w:rPr>
                <w:rFonts w:ascii="Arial" w:hAnsi="Arial" w:cs="Arial"/>
                <w:color w:val="FF0000"/>
              </w:rPr>
            </w:pPr>
          </w:p>
        </w:tc>
        <w:tc>
          <w:tcPr>
            <w:tcW w:w="3401" w:type="dxa"/>
            <w:shd w:val="clear" w:color="auto" w:fill="auto"/>
          </w:tcPr>
          <w:p w14:paraId="74A4C40B" w14:textId="77777777" w:rsidR="00B1540F" w:rsidRDefault="00B1540F" w:rsidP="00426F3D">
            <w:pPr>
              <w:jc w:val="both"/>
              <w:rPr>
                <w:rFonts w:ascii="Arial" w:hAnsi="Arial" w:cs="Arial"/>
                <w:color w:val="FF0000"/>
              </w:rPr>
            </w:pPr>
          </w:p>
          <w:p w14:paraId="088A02EE" w14:textId="77777777" w:rsidR="003D2F6C" w:rsidRDefault="003D2F6C" w:rsidP="00426F3D">
            <w:pPr>
              <w:jc w:val="both"/>
              <w:rPr>
                <w:rFonts w:ascii="Arial" w:hAnsi="Arial" w:cs="Arial"/>
                <w:color w:val="FF0000"/>
              </w:rPr>
            </w:pPr>
          </w:p>
          <w:p w14:paraId="0DA89221" w14:textId="77777777" w:rsidR="003D2F6C" w:rsidRDefault="003D2F6C" w:rsidP="00426F3D">
            <w:pPr>
              <w:jc w:val="both"/>
              <w:rPr>
                <w:rFonts w:ascii="Arial" w:hAnsi="Arial" w:cs="Arial"/>
                <w:color w:val="FF0000"/>
              </w:rPr>
            </w:pPr>
          </w:p>
          <w:p w14:paraId="27853D55" w14:textId="77777777" w:rsidR="003D2F6C" w:rsidRDefault="003D2F6C" w:rsidP="00426F3D">
            <w:pPr>
              <w:jc w:val="both"/>
              <w:rPr>
                <w:rFonts w:ascii="Arial" w:hAnsi="Arial" w:cs="Arial"/>
                <w:color w:val="FF0000"/>
              </w:rPr>
            </w:pPr>
          </w:p>
          <w:p w14:paraId="198F3954" w14:textId="77777777" w:rsidR="003D2F6C" w:rsidRDefault="003D2F6C" w:rsidP="00426F3D">
            <w:pPr>
              <w:jc w:val="both"/>
              <w:rPr>
                <w:rFonts w:ascii="Arial" w:hAnsi="Arial" w:cs="Arial"/>
                <w:color w:val="FF0000"/>
              </w:rPr>
            </w:pPr>
          </w:p>
          <w:p w14:paraId="1E0DE509" w14:textId="77777777" w:rsidR="003D2F6C" w:rsidRDefault="003D2F6C" w:rsidP="00426F3D">
            <w:pPr>
              <w:jc w:val="both"/>
              <w:rPr>
                <w:rFonts w:ascii="Arial" w:hAnsi="Arial" w:cs="Arial"/>
                <w:color w:val="FF0000"/>
              </w:rPr>
            </w:pPr>
          </w:p>
          <w:p w14:paraId="42B5E37C" w14:textId="77777777" w:rsidR="003D2F6C" w:rsidRDefault="003D2F6C" w:rsidP="00426F3D">
            <w:pPr>
              <w:jc w:val="both"/>
              <w:rPr>
                <w:rFonts w:ascii="Arial" w:hAnsi="Arial" w:cs="Arial"/>
                <w:color w:val="FF0000"/>
              </w:rPr>
            </w:pPr>
          </w:p>
          <w:p w14:paraId="3BD955D8" w14:textId="77777777" w:rsidR="003D2F6C" w:rsidRDefault="003D2F6C" w:rsidP="00426F3D">
            <w:pPr>
              <w:jc w:val="both"/>
              <w:rPr>
                <w:rFonts w:ascii="Arial" w:hAnsi="Arial" w:cs="Arial"/>
                <w:color w:val="FF0000"/>
              </w:rPr>
            </w:pPr>
          </w:p>
          <w:p w14:paraId="25660AFE" w14:textId="43C584CB" w:rsidR="003D2F6C" w:rsidRDefault="003D2F6C" w:rsidP="00426F3D">
            <w:pPr>
              <w:jc w:val="both"/>
              <w:rPr>
                <w:rFonts w:ascii="Arial" w:hAnsi="Arial" w:cs="Arial"/>
                <w:color w:val="FF0000"/>
              </w:rPr>
            </w:pPr>
          </w:p>
          <w:p w14:paraId="252B2C8A" w14:textId="4A107DCC" w:rsidR="003D2F6C" w:rsidRDefault="003D2F6C" w:rsidP="00426F3D">
            <w:pPr>
              <w:jc w:val="both"/>
              <w:rPr>
                <w:rFonts w:ascii="Arial" w:hAnsi="Arial" w:cs="Arial"/>
                <w:color w:val="FF0000"/>
              </w:rPr>
            </w:pPr>
          </w:p>
          <w:p w14:paraId="14D0E9FE" w14:textId="77777777" w:rsidR="003D2F6C" w:rsidRDefault="003D2F6C" w:rsidP="00426F3D">
            <w:pPr>
              <w:jc w:val="both"/>
              <w:rPr>
                <w:rFonts w:ascii="Arial" w:hAnsi="Arial" w:cs="Arial"/>
                <w:color w:val="FF0000"/>
              </w:rPr>
            </w:pPr>
          </w:p>
          <w:p w14:paraId="38327248" w14:textId="7638C441" w:rsidR="003D2F6C" w:rsidRDefault="003D2F6C" w:rsidP="00426F3D">
            <w:pPr>
              <w:jc w:val="both"/>
              <w:rPr>
                <w:rFonts w:ascii="Arial" w:hAnsi="Arial" w:cs="Arial"/>
                <w:color w:val="FF0000"/>
              </w:rPr>
            </w:pPr>
            <w:r>
              <w:rPr>
                <w:rFonts w:ascii="Arial" w:hAnsi="Arial" w:cs="Arial"/>
                <w:color w:val="FF0000"/>
              </w:rPr>
              <w:t>Check whether you can access the KHG Engagement Team channel on Ashford Borough Council Teams. If you can please post a comment.</w:t>
            </w:r>
          </w:p>
          <w:p w14:paraId="44681488" w14:textId="5BB1345B" w:rsidR="003D2F6C" w:rsidRPr="00BE6CB8" w:rsidRDefault="003D2F6C" w:rsidP="00426F3D">
            <w:pPr>
              <w:jc w:val="both"/>
              <w:rPr>
                <w:rFonts w:ascii="Arial" w:hAnsi="Arial" w:cs="Arial"/>
                <w:color w:val="FF0000"/>
              </w:rPr>
            </w:pPr>
          </w:p>
        </w:tc>
      </w:tr>
      <w:tr w:rsidR="009B74AB" w:rsidRPr="00733643" w14:paraId="255F4161" w14:textId="77777777" w:rsidTr="00FF7645">
        <w:tc>
          <w:tcPr>
            <w:tcW w:w="1560" w:type="dxa"/>
          </w:tcPr>
          <w:p w14:paraId="0E49922F" w14:textId="17EA4C43" w:rsidR="009B74AB" w:rsidRDefault="005866DF" w:rsidP="00426F3D">
            <w:pPr>
              <w:rPr>
                <w:rFonts w:ascii="Arial" w:hAnsi="Arial" w:cs="Arial"/>
              </w:rPr>
            </w:pPr>
            <w:r>
              <w:rPr>
                <w:rFonts w:ascii="Verdana" w:hAnsi="Verdana"/>
                <w:sz w:val="20"/>
                <w:szCs w:val="20"/>
              </w:rPr>
              <w:t>Improving tenant participation and STAP</w:t>
            </w:r>
          </w:p>
        </w:tc>
        <w:tc>
          <w:tcPr>
            <w:tcW w:w="9214" w:type="dxa"/>
            <w:shd w:val="clear" w:color="auto" w:fill="auto"/>
          </w:tcPr>
          <w:p w14:paraId="3779C3C1" w14:textId="59A0F26B" w:rsidR="00476604" w:rsidRDefault="005866DF" w:rsidP="00E06C13">
            <w:pPr>
              <w:rPr>
                <w:rFonts w:ascii="Arial" w:hAnsi="Arial" w:cs="Arial"/>
              </w:rPr>
            </w:pPr>
            <w:r>
              <w:rPr>
                <w:rFonts w:ascii="Arial" w:hAnsi="Arial" w:cs="Arial"/>
              </w:rPr>
              <w:t>Michael Bailey</w:t>
            </w:r>
            <w:r w:rsidR="009B701B">
              <w:rPr>
                <w:rFonts w:ascii="Arial" w:hAnsi="Arial" w:cs="Arial"/>
              </w:rPr>
              <w:t xml:space="preserve"> – to </w:t>
            </w:r>
            <w:r w:rsidR="003D2F6C">
              <w:rPr>
                <w:rFonts w:ascii="Arial" w:hAnsi="Arial" w:cs="Arial"/>
              </w:rPr>
              <w:t xml:space="preserve">be invited to </w:t>
            </w:r>
            <w:r w:rsidR="009B701B">
              <w:rPr>
                <w:rFonts w:ascii="Arial" w:hAnsi="Arial" w:cs="Arial"/>
              </w:rPr>
              <w:t>present at next meeting</w:t>
            </w:r>
            <w:r w:rsidR="003D2F6C">
              <w:rPr>
                <w:rFonts w:ascii="Arial" w:hAnsi="Arial" w:cs="Arial"/>
              </w:rPr>
              <w:t xml:space="preserve"> with Loren Paine</w:t>
            </w:r>
          </w:p>
        </w:tc>
        <w:tc>
          <w:tcPr>
            <w:tcW w:w="851" w:type="dxa"/>
            <w:shd w:val="clear" w:color="auto" w:fill="auto"/>
          </w:tcPr>
          <w:p w14:paraId="5557A32C" w14:textId="52E35BCE" w:rsidR="0074410C" w:rsidRPr="00BE6CB8" w:rsidRDefault="003D2F6C" w:rsidP="008669A9">
            <w:pPr>
              <w:jc w:val="both"/>
              <w:rPr>
                <w:rFonts w:ascii="Arial" w:hAnsi="Arial" w:cs="Arial"/>
                <w:color w:val="FF0000"/>
              </w:rPr>
            </w:pPr>
            <w:r>
              <w:rPr>
                <w:rFonts w:ascii="Arial" w:hAnsi="Arial" w:cs="Arial"/>
                <w:color w:val="FF0000"/>
              </w:rPr>
              <w:t>HM</w:t>
            </w:r>
          </w:p>
        </w:tc>
        <w:tc>
          <w:tcPr>
            <w:tcW w:w="3401" w:type="dxa"/>
            <w:shd w:val="clear" w:color="auto" w:fill="auto"/>
          </w:tcPr>
          <w:p w14:paraId="1E1BA395" w14:textId="0415239A" w:rsidR="0074410C" w:rsidRPr="00BE6CB8" w:rsidRDefault="003D2F6C" w:rsidP="00426F3D">
            <w:pPr>
              <w:jc w:val="both"/>
              <w:rPr>
                <w:rFonts w:ascii="Arial" w:hAnsi="Arial" w:cs="Arial"/>
                <w:color w:val="FF0000"/>
              </w:rPr>
            </w:pPr>
            <w:r>
              <w:rPr>
                <w:rFonts w:ascii="Arial" w:hAnsi="Arial" w:cs="Arial"/>
                <w:color w:val="FF0000"/>
              </w:rPr>
              <w:t>Invite Loren and Mike to present next time</w:t>
            </w:r>
          </w:p>
        </w:tc>
      </w:tr>
      <w:tr w:rsidR="00313B3E" w:rsidRPr="00733643" w14:paraId="1633BA25" w14:textId="77777777" w:rsidTr="00FF7645">
        <w:tc>
          <w:tcPr>
            <w:tcW w:w="1560" w:type="dxa"/>
          </w:tcPr>
          <w:p w14:paraId="0D23A3B1" w14:textId="01D03C58" w:rsidR="0074410C" w:rsidRDefault="005866DF" w:rsidP="00426F3D">
            <w:pPr>
              <w:rPr>
                <w:rFonts w:ascii="Arial" w:hAnsi="Arial" w:cs="Arial"/>
              </w:rPr>
            </w:pPr>
            <w:r>
              <w:rPr>
                <w:rFonts w:ascii="Verdana" w:hAnsi="Verdana"/>
                <w:sz w:val="20"/>
                <w:szCs w:val="20"/>
              </w:rPr>
              <w:lastRenderedPageBreak/>
              <w:t>Sharing information on serious organised crime</w:t>
            </w:r>
          </w:p>
        </w:tc>
        <w:tc>
          <w:tcPr>
            <w:tcW w:w="9214" w:type="dxa"/>
            <w:shd w:val="clear" w:color="auto" w:fill="auto"/>
          </w:tcPr>
          <w:p w14:paraId="2456E3E6" w14:textId="121A1030" w:rsidR="00E85B7A" w:rsidRDefault="005866DF" w:rsidP="009C07B2">
            <w:pPr>
              <w:rPr>
                <w:rFonts w:ascii="Verdana" w:hAnsi="Verdana"/>
                <w:sz w:val="20"/>
                <w:szCs w:val="20"/>
              </w:rPr>
            </w:pPr>
            <w:r>
              <w:rPr>
                <w:rFonts w:ascii="Verdana" w:hAnsi="Verdana"/>
                <w:sz w:val="20"/>
                <w:szCs w:val="20"/>
              </w:rPr>
              <w:t>Carrie Hartwell</w:t>
            </w:r>
            <w:r w:rsidR="00961B05">
              <w:rPr>
                <w:rFonts w:ascii="Verdana" w:hAnsi="Verdana"/>
                <w:sz w:val="20"/>
                <w:szCs w:val="20"/>
              </w:rPr>
              <w:t xml:space="preserve"> from serious organised crime </w:t>
            </w:r>
            <w:r w:rsidR="00B42456">
              <w:rPr>
                <w:rFonts w:ascii="Verdana" w:hAnsi="Verdana"/>
                <w:sz w:val="20"/>
                <w:szCs w:val="20"/>
              </w:rPr>
              <w:t>(SOC) unit at KCC</w:t>
            </w:r>
            <w:r w:rsidR="00961B05">
              <w:rPr>
                <w:rFonts w:ascii="Verdana" w:hAnsi="Verdana"/>
                <w:sz w:val="20"/>
                <w:szCs w:val="20"/>
              </w:rPr>
              <w:t xml:space="preserve"> showed a presentation that will be circulated on what it is, how it is in Kent, and how housing can help to disrupt serious organised crime. There are 10 crime strands, including illegal drugs, fraud, modern slavery</w:t>
            </w:r>
            <w:r w:rsidR="005A288C">
              <w:rPr>
                <w:rFonts w:ascii="Verdana" w:hAnsi="Verdana"/>
                <w:sz w:val="20"/>
                <w:szCs w:val="20"/>
              </w:rPr>
              <w:t xml:space="preserve">, etc. CH highlighted the 4 P approach, prepare, protect, prevent, and pursue to give a whole system approach. Stock holding LAs and housing associations are key partners for addressing crime including sharing information, which can be ‘soft’ knowledge that helps build a picture on what is happening on estates. </w:t>
            </w:r>
          </w:p>
          <w:p w14:paraId="52E0E5C3" w14:textId="7D771B65" w:rsidR="005A288C" w:rsidRDefault="005A288C" w:rsidP="009C07B2">
            <w:pPr>
              <w:rPr>
                <w:rFonts w:ascii="Verdana" w:hAnsi="Verdana"/>
                <w:sz w:val="20"/>
                <w:szCs w:val="20"/>
              </w:rPr>
            </w:pPr>
          </w:p>
          <w:p w14:paraId="5D62FE8E" w14:textId="18BF5400" w:rsidR="005A288C" w:rsidRDefault="005A288C" w:rsidP="009C07B2">
            <w:pPr>
              <w:rPr>
                <w:rFonts w:ascii="Verdana" w:hAnsi="Verdana"/>
                <w:sz w:val="20"/>
                <w:szCs w:val="20"/>
              </w:rPr>
            </w:pPr>
            <w:r>
              <w:rPr>
                <w:rFonts w:ascii="Verdana" w:hAnsi="Verdana"/>
                <w:sz w:val="20"/>
                <w:szCs w:val="20"/>
              </w:rPr>
              <w:t xml:space="preserve">Examples could be pop up brothels, or perhaps seeing cannabis cultivation. RS </w:t>
            </w:r>
            <w:r w:rsidR="00B42456">
              <w:rPr>
                <w:rFonts w:ascii="Verdana" w:hAnsi="Verdana"/>
                <w:sz w:val="20"/>
                <w:szCs w:val="20"/>
              </w:rPr>
              <w:t xml:space="preserve">explained that </w:t>
            </w:r>
            <w:r>
              <w:rPr>
                <w:rFonts w:ascii="Verdana" w:hAnsi="Verdana"/>
                <w:sz w:val="20"/>
                <w:szCs w:val="20"/>
              </w:rPr>
              <w:t>serious organised crime can be spotted by frontline services and the victims and perpetrators are within our communities. Housing officers will know the vulnerable people, perhaps to cuckooing, in their estate. People can slowly be drawn into modern slavery as well as people brought into the count</w:t>
            </w:r>
            <w:r w:rsidR="00B42456">
              <w:rPr>
                <w:rFonts w:ascii="Verdana" w:hAnsi="Verdana"/>
                <w:sz w:val="20"/>
                <w:szCs w:val="20"/>
              </w:rPr>
              <w:t>r</w:t>
            </w:r>
            <w:r>
              <w:rPr>
                <w:rFonts w:ascii="Verdana" w:hAnsi="Verdana"/>
                <w:sz w:val="20"/>
                <w:szCs w:val="20"/>
              </w:rPr>
              <w:t>y</w:t>
            </w:r>
            <w:r w:rsidR="00B42456">
              <w:rPr>
                <w:rFonts w:ascii="Verdana" w:hAnsi="Verdana"/>
                <w:sz w:val="20"/>
                <w:szCs w:val="20"/>
              </w:rPr>
              <w:t xml:space="preserve"> (see link in email with Carrie’s presentation)</w:t>
            </w:r>
            <w:r>
              <w:rPr>
                <w:rFonts w:ascii="Verdana" w:hAnsi="Verdana"/>
                <w:sz w:val="20"/>
                <w:szCs w:val="20"/>
              </w:rPr>
              <w:t xml:space="preserve">. Officers can have the gut reaction that ‘something does not look right’ and become aware of coercion, or other behaviours. </w:t>
            </w:r>
          </w:p>
          <w:p w14:paraId="583892D3" w14:textId="4BE69D79" w:rsidR="002334DE" w:rsidRDefault="002334DE" w:rsidP="009C07B2">
            <w:pPr>
              <w:rPr>
                <w:rFonts w:ascii="Verdana" w:hAnsi="Verdana"/>
                <w:sz w:val="20"/>
                <w:szCs w:val="20"/>
              </w:rPr>
            </w:pPr>
          </w:p>
          <w:p w14:paraId="6A562088" w14:textId="429BFDDF" w:rsidR="002334DE" w:rsidRDefault="002334DE" w:rsidP="009C07B2">
            <w:pPr>
              <w:rPr>
                <w:rFonts w:ascii="Verdana" w:hAnsi="Verdana"/>
                <w:sz w:val="20"/>
                <w:szCs w:val="20"/>
              </w:rPr>
            </w:pPr>
            <w:r>
              <w:rPr>
                <w:rFonts w:ascii="Verdana" w:hAnsi="Verdana"/>
                <w:sz w:val="20"/>
                <w:szCs w:val="20"/>
              </w:rPr>
              <w:t>HR, used to work in community safety, from housing point of view, we need two way communication</w:t>
            </w:r>
            <w:r w:rsidR="00B42456">
              <w:rPr>
                <w:rFonts w:ascii="Verdana" w:hAnsi="Verdana"/>
                <w:sz w:val="20"/>
                <w:szCs w:val="20"/>
              </w:rPr>
              <w:t xml:space="preserve"> with the Police</w:t>
            </w:r>
            <w:r>
              <w:rPr>
                <w:rFonts w:ascii="Verdana" w:hAnsi="Verdana"/>
                <w:sz w:val="20"/>
                <w:szCs w:val="20"/>
              </w:rPr>
              <w:t xml:space="preserve">. This is a request for the Police to share data on our properties with us. This data will help us help you and can plan visits together and take the action needed. Early and ongoing communication is key and allows us to safeguard our tenants. They have had successes when agencies have worked together. RS agreed that working together is much more powerful and a positive feedback loop is needed is on partnership working. RS suggests that partners should be assertive in their requests for a response to requests for information and joint working. Staff move quite often and partner relationships can be temporarily lost and need re-establishing regularly. </w:t>
            </w:r>
          </w:p>
          <w:p w14:paraId="27C2438B" w14:textId="77777777" w:rsidR="002334DE" w:rsidRDefault="002334DE" w:rsidP="009C07B2">
            <w:pPr>
              <w:rPr>
                <w:rFonts w:ascii="Verdana" w:hAnsi="Verdana"/>
                <w:sz w:val="20"/>
                <w:szCs w:val="20"/>
              </w:rPr>
            </w:pPr>
          </w:p>
          <w:p w14:paraId="46CBF455" w14:textId="4F001D2A" w:rsidR="002334DE" w:rsidRDefault="002334DE" w:rsidP="009C07B2">
            <w:pPr>
              <w:rPr>
                <w:rFonts w:ascii="Verdana" w:hAnsi="Verdana"/>
                <w:sz w:val="20"/>
                <w:szCs w:val="20"/>
              </w:rPr>
            </w:pPr>
            <w:r>
              <w:rPr>
                <w:rFonts w:ascii="Verdana" w:hAnsi="Verdana"/>
                <w:sz w:val="20"/>
                <w:szCs w:val="20"/>
              </w:rPr>
              <w:t>CH it may be worth talking with your local S</w:t>
            </w:r>
            <w:r w:rsidR="00C75573">
              <w:rPr>
                <w:rFonts w:ascii="Verdana" w:hAnsi="Verdana"/>
                <w:sz w:val="20"/>
                <w:szCs w:val="20"/>
              </w:rPr>
              <w:t xml:space="preserve">erious and </w:t>
            </w:r>
            <w:r>
              <w:rPr>
                <w:rFonts w:ascii="Verdana" w:hAnsi="Verdana"/>
                <w:sz w:val="20"/>
                <w:szCs w:val="20"/>
              </w:rPr>
              <w:t>O</w:t>
            </w:r>
            <w:r w:rsidR="00C75573">
              <w:rPr>
                <w:rFonts w:ascii="Verdana" w:hAnsi="Verdana"/>
                <w:sz w:val="20"/>
                <w:szCs w:val="20"/>
              </w:rPr>
              <w:t xml:space="preserve">rganised </w:t>
            </w:r>
            <w:r>
              <w:rPr>
                <w:rFonts w:ascii="Verdana" w:hAnsi="Verdana"/>
                <w:sz w:val="20"/>
                <w:szCs w:val="20"/>
              </w:rPr>
              <w:t>C</w:t>
            </w:r>
            <w:r w:rsidR="00C75573">
              <w:rPr>
                <w:rFonts w:ascii="Verdana" w:hAnsi="Verdana"/>
                <w:sz w:val="20"/>
                <w:szCs w:val="20"/>
              </w:rPr>
              <w:t>rime (SOC)</w:t>
            </w:r>
            <w:r w:rsidR="00B42456">
              <w:rPr>
                <w:rFonts w:ascii="Verdana" w:hAnsi="Verdana"/>
                <w:sz w:val="20"/>
                <w:szCs w:val="20"/>
              </w:rPr>
              <w:t xml:space="preserve"> partnership and establishing/re-establishing</w:t>
            </w:r>
            <w:r>
              <w:rPr>
                <w:rFonts w:ascii="Verdana" w:hAnsi="Verdana"/>
                <w:sz w:val="20"/>
                <w:szCs w:val="20"/>
              </w:rPr>
              <w:t xml:space="preserve"> those links. </w:t>
            </w:r>
          </w:p>
          <w:p w14:paraId="2B4B77AC" w14:textId="5074BF9A" w:rsidR="00961B05" w:rsidRDefault="00961B05" w:rsidP="00F5564A">
            <w:pPr>
              <w:rPr>
                <w:rFonts w:ascii="Arial" w:hAnsi="Arial" w:cs="Arial"/>
              </w:rPr>
            </w:pPr>
          </w:p>
        </w:tc>
        <w:tc>
          <w:tcPr>
            <w:tcW w:w="851" w:type="dxa"/>
            <w:shd w:val="clear" w:color="auto" w:fill="auto"/>
          </w:tcPr>
          <w:p w14:paraId="093AC812" w14:textId="7CE35516" w:rsidR="00CA4CDF" w:rsidRPr="00BE6CB8" w:rsidRDefault="00B42456" w:rsidP="008669A9">
            <w:pPr>
              <w:jc w:val="both"/>
              <w:rPr>
                <w:rFonts w:ascii="Arial" w:hAnsi="Arial" w:cs="Arial"/>
                <w:color w:val="FF0000"/>
              </w:rPr>
            </w:pPr>
            <w:r>
              <w:rPr>
                <w:rFonts w:ascii="Arial" w:hAnsi="Arial" w:cs="Arial"/>
                <w:color w:val="FF0000"/>
              </w:rPr>
              <w:t>HM</w:t>
            </w:r>
          </w:p>
        </w:tc>
        <w:tc>
          <w:tcPr>
            <w:tcW w:w="3401" w:type="dxa"/>
            <w:shd w:val="clear" w:color="auto" w:fill="auto"/>
          </w:tcPr>
          <w:p w14:paraId="2F1A1210" w14:textId="28746123" w:rsidR="00CA4CDF" w:rsidRPr="00BE6CB8" w:rsidRDefault="00B42456" w:rsidP="00426F3D">
            <w:pPr>
              <w:jc w:val="both"/>
              <w:rPr>
                <w:rFonts w:ascii="Arial" w:hAnsi="Arial" w:cs="Arial"/>
                <w:color w:val="FF0000"/>
              </w:rPr>
            </w:pPr>
            <w:r>
              <w:rPr>
                <w:rFonts w:ascii="Arial" w:hAnsi="Arial" w:cs="Arial"/>
                <w:color w:val="FF0000"/>
              </w:rPr>
              <w:t>Circulate CH’s presentation and link to case studies</w:t>
            </w:r>
          </w:p>
        </w:tc>
      </w:tr>
      <w:tr w:rsidR="005866DF" w:rsidRPr="00733643" w14:paraId="66A4FDE9" w14:textId="77777777" w:rsidTr="00FF7645">
        <w:tc>
          <w:tcPr>
            <w:tcW w:w="1560" w:type="dxa"/>
          </w:tcPr>
          <w:p w14:paraId="29AEBC07" w14:textId="33302A65" w:rsidR="005866DF" w:rsidRDefault="005866DF" w:rsidP="00426F3D">
            <w:pPr>
              <w:rPr>
                <w:rFonts w:ascii="Verdana" w:hAnsi="Verdana"/>
                <w:sz w:val="20"/>
                <w:szCs w:val="20"/>
              </w:rPr>
            </w:pPr>
            <w:r>
              <w:rPr>
                <w:rFonts w:ascii="Verdana" w:hAnsi="Verdana"/>
                <w:sz w:val="20"/>
                <w:szCs w:val="20"/>
              </w:rPr>
              <w:t>Gathering tenant profile</w:t>
            </w:r>
          </w:p>
        </w:tc>
        <w:tc>
          <w:tcPr>
            <w:tcW w:w="9214" w:type="dxa"/>
            <w:shd w:val="clear" w:color="auto" w:fill="auto"/>
          </w:tcPr>
          <w:p w14:paraId="15108C3D" w14:textId="7F399C09" w:rsidR="00C93C35" w:rsidRDefault="005866DF" w:rsidP="00C93C35">
            <w:pPr>
              <w:rPr>
                <w:rStyle w:val="Hyperlink"/>
                <w:rFonts w:ascii="Verdana" w:hAnsi="Verdana" w:cstheme="minorHAnsi"/>
                <w:color w:val="auto"/>
                <w:sz w:val="20"/>
                <w:szCs w:val="20"/>
                <w:u w:val="none"/>
              </w:rPr>
            </w:pPr>
            <w:r w:rsidRPr="00B42456">
              <w:rPr>
                <w:rFonts w:ascii="Verdana" w:hAnsi="Verdana" w:cstheme="minorHAnsi"/>
                <w:sz w:val="20"/>
                <w:szCs w:val="20"/>
              </w:rPr>
              <w:t>Beth Becks</w:t>
            </w:r>
            <w:r w:rsidR="00F5564A" w:rsidRPr="00B42456">
              <w:rPr>
                <w:rFonts w:ascii="Verdana" w:hAnsi="Verdana" w:cstheme="minorHAnsi"/>
                <w:sz w:val="20"/>
                <w:szCs w:val="20"/>
              </w:rPr>
              <w:t xml:space="preserve"> from Dover explained how she is seeking data on the tenant profile for areas using  the census data</w:t>
            </w:r>
            <w:r w:rsidR="00B42456" w:rsidRPr="00B42456">
              <w:rPr>
                <w:rFonts w:ascii="Verdana" w:hAnsi="Verdana" w:cstheme="minorHAnsi"/>
                <w:sz w:val="20"/>
                <w:szCs w:val="20"/>
              </w:rPr>
              <w:t xml:space="preserve"> using this link </w:t>
            </w:r>
            <w:hyperlink r:id="rId11" w:history="1">
              <w:r w:rsidR="00C93C35" w:rsidRPr="00B42456">
                <w:rPr>
                  <w:rStyle w:val="Hyperlink"/>
                  <w:rFonts w:ascii="Verdana" w:hAnsi="Verdana" w:cstheme="minorHAnsi"/>
                  <w:sz w:val="20"/>
                  <w:szCs w:val="20"/>
                </w:rPr>
                <w:t>Build a custom area profile - Census 2021, ONS</w:t>
              </w:r>
            </w:hyperlink>
            <w:r w:rsidR="00B42456">
              <w:rPr>
                <w:rStyle w:val="Hyperlink"/>
                <w:rFonts w:ascii="Verdana" w:hAnsi="Verdana" w:cstheme="minorHAnsi"/>
                <w:sz w:val="20"/>
                <w:szCs w:val="20"/>
              </w:rPr>
              <w:t xml:space="preserve">. </w:t>
            </w:r>
            <w:r w:rsidR="00B42456">
              <w:rPr>
                <w:rStyle w:val="Hyperlink"/>
                <w:rFonts w:ascii="Verdana" w:hAnsi="Verdana" w:cstheme="minorHAnsi"/>
                <w:color w:val="auto"/>
                <w:sz w:val="20"/>
                <w:szCs w:val="20"/>
                <w:u w:val="none"/>
              </w:rPr>
              <w:t>She had assistance from colleagues with GIS expertise. This can gather data from estates</w:t>
            </w:r>
            <w:r w:rsidR="00BA12AC">
              <w:rPr>
                <w:rStyle w:val="Hyperlink"/>
                <w:rFonts w:ascii="Verdana" w:hAnsi="Verdana" w:cstheme="minorHAnsi"/>
                <w:color w:val="auto"/>
                <w:sz w:val="20"/>
                <w:szCs w:val="20"/>
                <w:u w:val="none"/>
              </w:rPr>
              <w:t>, and this</w:t>
            </w:r>
            <w:r w:rsidR="00B42456">
              <w:rPr>
                <w:rStyle w:val="Hyperlink"/>
                <w:rFonts w:ascii="Verdana" w:hAnsi="Verdana" w:cstheme="minorHAnsi"/>
                <w:color w:val="auto"/>
                <w:sz w:val="20"/>
                <w:szCs w:val="20"/>
                <w:u w:val="none"/>
              </w:rPr>
              <w:t xml:space="preserve"> works well in areas where there are a high number of your tenants. </w:t>
            </w:r>
            <w:r w:rsidR="00BA12AC">
              <w:rPr>
                <w:rStyle w:val="Hyperlink"/>
                <w:rFonts w:ascii="Verdana" w:hAnsi="Verdana" w:cstheme="minorHAnsi"/>
                <w:color w:val="auto"/>
                <w:sz w:val="20"/>
                <w:szCs w:val="20"/>
                <w:u w:val="none"/>
              </w:rPr>
              <w:t xml:space="preserve">She highlights an area, then picks subjects like tenure to check she has the right area, then age and ethnic group. They can then compare the responses to the data given in the census and target any under represented groups to encourage them to participation. This way the census data is displayed changes regularly. </w:t>
            </w:r>
            <w:r w:rsidR="00F57E13">
              <w:rPr>
                <w:rStyle w:val="Hyperlink"/>
                <w:rFonts w:ascii="Verdana" w:hAnsi="Verdana" w:cstheme="minorHAnsi"/>
                <w:color w:val="auto"/>
                <w:sz w:val="20"/>
                <w:szCs w:val="20"/>
                <w:u w:val="none"/>
              </w:rPr>
              <w:t xml:space="preserve">The data was collected in 2021 so is useful now but will be less useful as it ages. </w:t>
            </w:r>
          </w:p>
          <w:p w14:paraId="29725981" w14:textId="31723258" w:rsidR="00F57E13" w:rsidRDefault="00F57E13" w:rsidP="00C93C35">
            <w:pPr>
              <w:rPr>
                <w:rStyle w:val="Hyperlink"/>
                <w:rFonts w:ascii="Verdana" w:hAnsi="Verdana" w:cstheme="minorHAnsi"/>
                <w:color w:val="auto"/>
                <w:sz w:val="20"/>
                <w:szCs w:val="20"/>
                <w:u w:val="none"/>
              </w:rPr>
            </w:pPr>
            <w:r>
              <w:rPr>
                <w:rStyle w:val="Hyperlink"/>
                <w:rFonts w:ascii="Verdana" w:hAnsi="Verdana" w:cstheme="minorHAnsi"/>
                <w:color w:val="auto"/>
                <w:sz w:val="20"/>
                <w:szCs w:val="20"/>
                <w:u w:val="none"/>
              </w:rPr>
              <w:t xml:space="preserve">AP asked what other ways organisations are collecting data. They have looked into HACT which does come with a cost of £6000 for one year and not based on stock level. BB </w:t>
            </w:r>
            <w:r>
              <w:rPr>
                <w:rStyle w:val="Hyperlink"/>
                <w:rFonts w:ascii="Verdana" w:hAnsi="Verdana" w:cstheme="minorHAnsi"/>
                <w:color w:val="auto"/>
                <w:sz w:val="20"/>
                <w:szCs w:val="20"/>
                <w:u w:val="none"/>
              </w:rPr>
              <w:lastRenderedPageBreak/>
              <w:t xml:space="preserve">thought this used the free ONS data and presented it for you and Dover has good capacity to use the GIS based data. If your organisation uses HACT please liaise with AP. </w:t>
            </w:r>
          </w:p>
          <w:p w14:paraId="05021C22" w14:textId="4BD1C1EE" w:rsidR="00F57E13" w:rsidRDefault="00F57E13" w:rsidP="00C93C35">
            <w:pPr>
              <w:rPr>
                <w:rStyle w:val="Hyperlink"/>
                <w:rFonts w:ascii="Verdana" w:hAnsi="Verdana" w:cstheme="minorHAnsi"/>
                <w:color w:val="auto"/>
                <w:sz w:val="20"/>
                <w:szCs w:val="20"/>
                <w:u w:val="none"/>
              </w:rPr>
            </w:pPr>
            <w:r>
              <w:rPr>
                <w:rStyle w:val="Hyperlink"/>
                <w:rFonts w:ascii="Verdana" w:hAnsi="Verdana" w:cstheme="minorHAnsi"/>
                <w:color w:val="auto"/>
                <w:sz w:val="20"/>
                <w:szCs w:val="20"/>
                <w:u w:val="none"/>
              </w:rPr>
              <w:t>ST worked with HACT in the past and agreed with BBs comments on using ONS data. Their tool for quantifying engagement with a £ sign used to be useful. You need a password to access this.</w:t>
            </w:r>
          </w:p>
          <w:p w14:paraId="4909A6EB" w14:textId="77777777" w:rsidR="00736029" w:rsidRDefault="00736029" w:rsidP="00C93C35">
            <w:pPr>
              <w:rPr>
                <w:rStyle w:val="Hyperlink"/>
                <w:rFonts w:ascii="Verdana" w:hAnsi="Verdana" w:cstheme="minorHAnsi"/>
                <w:color w:val="auto"/>
                <w:sz w:val="20"/>
                <w:szCs w:val="20"/>
                <w:u w:val="none"/>
              </w:rPr>
            </w:pPr>
          </w:p>
          <w:p w14:paraId="0E5D63AB" w14:textId="05FBFE25" w:rsidR="00F57E13" w:rsidRDefault="00F57E13" w:rsidP="00C93C35">
            <w:pPr>
              <w:rPr>
                <w:rStyle w:val="Hyperlink"/>
                <w:rFonts w:ascii="Verdana" w:hAnsi="Verdana" w:cstheme="minorHAnsi"/>
                <w:color w:val="auto"/>
                <w:sz w:val="20"/>
                <w:szCs w:val="20"/>
                <w:u w:val="none"/>
              </w:rPr>
            </w:pPr>
            <w:r>
              <w:rPr>
                <w:rStyle w:val="Hyperlink"/>
                <w:rFonts w:ascii="Verdana" w:hAnsi="Verdana" w:cstheme="minorHAnsi"/>
                <w:color w:val="auto"/>
                <w:sz w:val="20"/>
                <w:szCs w:val="20"/>
                <w:u w:val="none"/>
              </w:rPr>
              <w:t xml:space="preserve">We will add HACT as an agenda item for June. </w:t>
            </w:r>
          </w:p>
          <w:p w14:paraId="2F517FD3" w14:textId="77777777" w:rsidR="00736029" w:rsidRPr="00B42456" w:rsidRDefault="00736029" w:rsidP="00C93C35">
            <w:pPr>
              <w:rPr>
                <w:rStyle w:val="Hyperlink"/>
                <w:rFonts w:ascii="Verdana" w:hAnsi="Verdana" w:cstheme="minorHAnsi"/>
                <w:color w:val="auto"/>
                <w:sz w:val="20"/>
                <w:szCs w:val="20"/>
                <w:u w:val="none"/>
              </w:rPr>
            </w:pPr>
          </w:p>
          <w:p w14:paraId="3D0FFA31" w14:textId="396FD1E0" w:rsidR="00F5564A" w:rsidRPr="00B42456" w:rsidRDefault="00B42456" w:rsidP="00C93C35">
            <w:pPr>
              <w:rPr>
                <w:rStyle w:val="Hyperlink"/>
                <w:rFonts w:ascii="Verdana" w:hAnsi="Verdana" w:cstheme="minorHAnsi"/>
                <w:color w:val="auto"/>
                <w:sz w:val="20"/>
                <w:szCs w:val="20"/>
                <w:u w:val="none"/>
              </w:rPr>
            </w:pPr>
            <w:r w:rsidRPr="00B42456">
              <w:rPr>
                <w:rStyle w:val="Hyperlink"/>
                <w:rFonts w:ascii="Verdana" w:hAnsi="Verdana" w:cstheme="minorHAnsi"/>
                <w:color w:val="auto"/>
                <w:sz w:val="20"/>
                <w:szCs w:val="20"/>
                <w:u w:val="none"/>
              </w:rPr>
              <w:t xml:space="preserve">BB has been advised by the legal service that she cannot use data from tenancy records for the tenant perception survey. </w:t>
            </w:r>
            <w:r w:rsidR="00F5564A" w:rsidRPr="00B42456">
              <w:rPr>
                <w:rStyle w:val="Hyperlink"/>
                <w:rFonts w:ascii="Verdana" w:hAnsi="Verdana" w:cstheme="minorHAnsi"/>
                <w:color w:val="auto"/>
                <w:sz w:val="20"/>
                <w:szCs w:val="20"/>
                <w:u w:val="none"/>
              </w:rPr>
              <w:t>EH explained that they can use that da</w:t>
            </w:r>
            <w:r w:rsidRPr="00B42456">
              <w:rPr>
                <w:rStyle w:val="Hyperlink"/>
                <w:rFonts w:ascii="Verdana" w:hAnsi="Verdana" w:cstheme="minorHAnsi"/>
                <w:color w:val="auto"/>
                <w:sz w:val="20"/>
                <w:szCs w:val="20"/>
                <w:u w:val="none"/>
              </w:rPr>
              <w:t>ta from tenancy records</w:t>
            </w:r>
            <w:r w:rsidR="00F5564A" w:rsidRPr="00B42456">
              <w:rPr>
                <w:rStyle w:val="Hyperlink"/>
                <w:rFonts w:ascii="Verdana" w:hAnsi="Verdana" w:cstheme="minorHAnsi"/>
                <w:color w:val="auto"/>
                <w:sz w:val="20"/>
                <w:szCs w:val="20"/>
                <w:u w:val="none"/>
              </w:rPr>
              <w:t xml:space="preserve"> because this is for a regulatory process. </w:t>
            </w:r>
            <w:r w:rsidRPr="00B42456">
              <w:rPr>
                <w:rStyle w:val="Hyperlink"/>
                <w:rFonts w:ascii="Verdana" w:hAnsi="Verdana" w:cstheme="minorHAnsi"/>
                <w:color w:val="auto"/>
                <w:sz w:val="20"/>
                <w:szCs w:val="20"/>
                <w:u w:val="none"/>
              </w:rPr>
              <w:t xml:space="preserve">It appears that different organisations are interpreting GDPR differently. </w:t>
            </w:r>
            <w:r>
              <w:rPr>
                <w:rStyle w:val="Hyperlink"/>
                <w:rFonts w:ascii="Verdana" w:hAnsi="Verdana" w:cstheme="minorHAnsi"/>
                <w:color w:val="auto"/>
                <w:sz w:val="20"/>
                <w:szCs w:val="20"/>
                <w:u w:val="none"/>
              </w:rPr>
              <w:t>Officers may need to do a business case for explaining why gathering piece of information.</w:t>
            </w:r>
            <w:r w:rsidR="00736029">
              <w:rPr>
                <w:rStyle w:val="Hyperlink"/>
                <w:rFonts w:ascii="Verdana" w:hAnsi="Verdana" w:cstheme="minorHAnsi"/>
                <w:color w:val="auto"/>
                <w:sz w:val="20"/>
                <w:szCs w:val="20"/>
                <w:u w:val="none"/>
              </w:rPr>
              <w:t xml:space="preserve"> There is some nervousness about using this data at TCH too. </w:t>
            </w:r>
          </w:p>
          <w:p w14:paraId="2F7028DE" w14:textId="36AE017F" w:rsidR="00C93C35" w:rsidRDefault="00C93C35" w:rsidP="00F5564A">
            <w:pPr>
              <w:rPr>
                <w:rFonts w:ascii="Verdana" w:hAnsi="Verdana"/>
                <w:sz w:val="20"/>
                <w:szCs w:val="20"/>
              </w:rPr>
            </w:pPr>
          </w:p>
        </w:tc>
        <w:tc>
          <w:tcPr>
            <w:tcW w:w="851" w:type="dxa"/>
            <w:shd w:val="clear" w:color="auto" w:fill="auto"/>
          </w:tcPr>
          <w:p w14:paraId="7CDC9BB2" w14:textId="77777777" w:rsidR="005866DF" w:rsidRPr="00BE6CB8" w:rsidRDefault="005866DF" w:rsidP="008669A9">
            <w:pPr>
              <w:jc w:val="both"/>
              <w:rPr>
                <w:rFonts w:ascii="Arial" w:hAnsi="Arial" w:cs="Arial"/>
                <w:color w:val="FF0000"/>
              </w:rPr>
            </w:pPr>
          </w:p>
        </w:tc>
        <w:tc>
          <w:tcPr>
            <w:tcW w:w="3401" w:type="dxa"/>
            <w:shd w:val="clear" w:color="auto" w:fill="auto"/>
          </w:tcPr>
          <w:p w14:paraId="364DEDB5" w14:textId="77777777" w:rsidR="005866DF" w:rsidRPr="00BE6CB8" w:rsidRDefault="005866DF" w:rsidP="00426F3D">
            <w:pPr>
              <w:jc w:val="both"/>
              <w:rPr>
                <w:rFonts w:ascii="Arial" w:hAnsi="Arial" w:cs="Arial"/>
                <w:color w:val="FF0000"/>
              </w:rPr>
            </w:pPr>
          </w:p>
        </w:tc>
      </w:tr>
      <w:tr w:rsidR="005866DF" w:rsidRPr="00733643" w14:paraId="0ED86808" w14:textId="77777777" w:rsidTr="00FF7645">
        <w:tc>
          <w:tcPr>
            <w:tcW w:w="1560" w:type="dxa"/>
          </w:tcPr>
          <w:p w14:paraId="23251C99" w14:textId="3D0000D2" w:rsidR="005866DF" w:rsidRDefault="005866DF" w:rsidP="00426F3D">
            <w:pPr>
              <w:rPr>
                <w:rFonts w:ascii="Verdana" w:hAnsi="Verdana"/>
                <w:sz w:val="20"/>
                <w:szCs w:val="20"/>
              </w:rPr>
            </w:pPr>
            <w:r>
              <w:rPr>
                <w:rFonts w:ascii="Verdana" w:hAnsi="Verdana"/>
                <w:sz w:val="20"/>
                <w:szCs w:val="20"/>
              </w:rPr>
              <w:t>Standing items</w:t>
            </w:r>
          </w:p>
        </w:tc>
        <w:tc>
          <w:tcPr>
            <w:tcW w:w="9214" w:type="dxa"/>
            <w:shd w:val="clear" w:color="auto" w:fill="auto"/>
          </w:tcPr>
          <w:p w14:paraId="51F4B7BA" w14:textId="301C9C4D" w:rsidR="005866DF" w:rsidRDefault="005866DF" w:rsidP="009C07B2">
            <w:pPr>
              <w:rPr>
                <w:rFonts w:ascii="Verdana" w:hAnsi="Verdana"/>
                <w:sz w:val="20"/>
                <w:szCs w:val="20"/>
              </w:rPr>
            </w:pPr>
            <w:r>
              <w:rPr>
                <w:rFonts w:ascii="Verdana" w:hAnsi="Verdana"/>
                <w:sz w:val="20"/>
                <w:szCs w:val="20"/>
              </w:rPr>
              <w:t>Tenant satisfaction measures</w:t>
            </w:r>
            <w:r w:rsidR="008C1B79">
              <w:rPr>
                <w:rFonts w:ascii="Verdana" w:hAnsi="Verdana"/>
                <w:sz w:val="20"/>
                <w:szCs w:val="20"/>
              </w:rPr>
              <w:t xml:space="preserve"> – BB keep on agenda. EH this doesn’t fit within her remit – remits vary across the group. Keep as standing item. </w:t>
            </w:r>
            <w:r w:rsidR="00736029">
              <w:rPr>
                <w:rFonts w:ascii="Verdana" w:hAnsi="Verdana"/>
                <w:sz w:val="20"/>
                <w:szCs w:val="20"/>
              </w:rPr>
              <w:t xml:space="preserve">EH how do people plan to share their results internally, perhaps with panels, on the website, etc.? BB at Dover the Members want a report and there will be a version for tenants to go to the scrutiny panel. </w:t>
            </w:r>
          </w:p>
          <w:p w14:paraId="5C40FCB1" w14:textId="77777777" w:rsidR="005866DF" w:rsidRDefault="005866DF" w:rsidP="009C07B2">
            <w:pPr>
              <w:rPr>
                <w:rFonts w:ascii="Verdana" w:hAnsi="Verdana"/>
                <w:sz w:val="20"/>
                <w:szCs w:val="20"/>
              </w:rPr>
            </w:pPr>
          </w:p>
          <w:p w14:paraId="7605D7D3" w14:textId="0DDA5D9B" w:rsidR="005866DF" w:rsidRDefault="00E54762" w:rsidP="009C07B2">
            <w:pPr>
              <w:rPr>
                <w:rFonts w:ascii="Verdana" w:hAnsi="Verdana"/>
                <w:sz w:val="20"/>
                <w:szCs w:val="20"/>
              </w:rPr>
            </w:pPr>
            <w:r>
              <w:rPr>
                <w:rFonts w:ascii="Verdana" w:hAnsi="Verdana"/>
                <w:sz w:val="20"/>
                <w:szCs w:val="20"/>
              </w:rPr>
              <w:t xml:space="preserve">BB </w:t>
            </w:r>
            <w:r w:rsidR="005866DF">
              <w:rPr>
                <w:rFonts w:ascii="Verdana" w:hAnsi="Verdana"/>
                <w:sz w:val="20"/>
                <w:szCs w:val="20"/>
              </w:rPr>
              <w:t>mention</w:t>
            </w:r>
            <w:r>
              <w:rPr>
                <w:rFonts w:ascii="Verdana" w:hAnsi="Verdana"/>
                <w:sz w:val="20"/>
                <w:szCs w:val="20"/>
              </w:rPr>
              <w:t>ed</w:t>
            </w:r>
            <w:r w:rsidR="005866DF">
              <w:rPr>
                <w:rFonts w:ascii="Verdana" w:hAnsi="Verdana"/>
                <w:sz w:val="20"/>
                <w:szCs w:val="20"/>
              </w:rPr>
              <w:t xml:space="preserve"> Tenancy Management Fire safety campaign</w:t>
            </w:r>
            <w:r>
              <w:rPr>
                <w:rFonts w:ascii="Verdana" w:hAnsi="Verdana"/>
                <w:sz w:val="20"/>
                <w:szCs w:val="20"/>
              </w:rPr>
              <w:t xml:space="preserve"> and will cover next time</w:t>
            </w:r>
            <w:r w:rsidR="00736029">
              <w:rPr>
                <w:rFonts w:ascii="Verdana" w:hAnsi="Verdana"/>
                <w:sz w:val="20"/>
                <w:szCs w:val="20"/>
              </w:rPr>
              <w:t>.</w:t>
            </w:r>
          </w:p>
          <w:p w14:paraId="6777923A" w14:textId="77777777" w:rsidR="00E54762" w:rsidRDefault="00E54762" w:rsidP="009C07B2">
            <w:pPr>
              <w:rPr>
                <w:rFonts w:ascii="Verdana" w:hAnsi="Verdana"/>
                <w:sz w:val="20"/>
                <w:szCs w:val="20"/>
              </w:rPr>
            </w:pPr>
          </w:p>
          <w:p w14:paraId="2D3BCF58" w14:textId="77777777" w:rsidR="005866DF" w:rsidRDefault="005866DF" w:rsidP="00E54762">
            <w:pPr>
              <w:rPr>
                <w:rFonts w:ascii="Verdana" w:hAnsi="Verdana"/>
                <w:sz w:val="20"/>
                <w:szCs w:val="20"/>
              </w:rPr>
            </w:pPr>
            <w:r>
              <w:rPr>
                <w:rFonts w:ascii="Verdana" w:hAnsi="Verdana"/>
                <w:sz w:val="20"/>
                <w:szCs w:val="20"/>
              </w:rPr>
              <w:t>Fire safety regulations came into force 23</w:t>
            </w:r>
            <w:r w:rsidRPr="005866DF">
              <w:rPr>
                <w:rFonts w:ascii="Verdana" w:hAnsi="Verdana"/>
                <w:sz w:val="20"/>
                <w:szCs w:val="20"/>
                <w:vertAlign w:val="superscript"/>
              </w:rPr>
              <w:t>rd</w:t>
            </w:r>
            <w:r>
              <w:rPr>
                <w:rFonts w:ascii="Verdana" w:hAnsi="Verdana"/>
                <w:sz w:val="20"/>
                <w:szCs w:val="20"/>
              </w:rPr>
              <w:t xml:space="preserve"> Jan </w:t>
            </w:r>
            <w:r w:rsidR="00E54762">
              <w:rPr>
                <w:rFonts w:ascii="Verdana" w:hAnsi="Verdana"/>
                <w:sz w:val="20"/>
                <w:szCs w:val="20"/>
              </w:rPr>
              <w:t xml:space="preserve">– not covered this time. </w:t>
            </w:r>
          </w:p>
          <w:p w14:paraId="61C6EBC7" w14:textId="2D839D71" w:rsidR="00736029" w:rsidRDefault="00736029" w:rsidP="00E54762">
            <w:pPr>
              <w:rPr>
                <w:rFonts w:ascii="Verdana" w:hAnsi="Verdana"/>
                <w:sz w:val="20"/>
                <w:szCs w:val="20"/>
              </w:rPr>
            </w:pPr>
          </w:p>
        </w:tc>
        <w:tc>
          <w:tcPr>
            <w:tcW w:w="851" w:type="dxa"/>
            <w:shd w:val="clear" w:color="auto" w:fill="auto"/>
          </w:tcPr>
          <w:p w14:paraId="27501519" w14:textId="77777777" w:rsidR="005866DF" w:rsidRPr="00BE6CB8" w:rsidRDefault="005866DF" w:rsidP="008669A9">
            <w:pPr>
              <w:jc w:val="both"/>
              <w:rPr>
                <w:rFonts w:ascii="Arial" w:hAnsi="Arial" w:cs="Arial"/>
                <w:color w:val="FF0000"/>
              </w:rPr>
            </w:pPr>
          </w:p>
        </w:tc>
        <w:tc>
          <w:tcPr>
            <w:tcW w:w="3401" w:type="dxa"/>
            <w:shd w:val="clear" w:color="auto" w:fill="auto"/>
          </w:tcPr>
          <w:p w14:paraId="464637D3" w14:textId="77777777" w:rsidR="005866DF" w:rsidRPr="00BE6CB8" w:rsidRDefault="005866DF" w:rsidP="00426F3D">
            <w:pPr>
              <w:jc w:val="both"/>
              <w:rPr>
                <w:rFonts w:ascii="Arial" w:hAnsi="Arial" w:cs="Arial"/>
                <w:color w:val="FF0000"/>
              </w:rPr>
            </w:pPr>
          </w:p>
        </w:tc>
      </w:tr>
      <w:tr w:rsidR="001058CE" w:rsidRPr="00733643" w14:paraId="5FDCEB19" w14:textId="77777777" w:rsidTr="00FF7645">
        <w:tc>
          <w:tcPr>
            <w:tcW w:w="1560" w:type="dxa"/>
          </w:tcPr>
          <w:p w14:paraId="25D4CBB3" w14:textId="35B0196C" w:rsidR="001058CE" w:rsidRDefault="001058CE" w:rsidP="009E49FB">
            <w:pPr>
              <w:rPr>
                <w:rFonts w:ascii="Arial" w:hAnsi="Arial" w:cs="Arial"/>
              </w:rPr>
            </w:pPr>
            <w:r>
              <w:rPr>
                <w:rFonts w:ascii="Arial" w:hAnsi="Arial" w:cs="Arial"/>
              </w:rPr>
              <w:t>AOB</w:t>
            </w:r>
          </w:p>
        </w:tc>
        <w:tc>
          <w:tcPr>
            <w:tcW w:w="9214" w:type="dxa"/>
            <w:shd w:val="clear" w:color="auto" w:fill="auto"/>
          </w:tcPr>
          <w:p w14:paraId="5F99978F" w14:textId="63D20A12" w:rsidR="00F5564A" w:rsidRDefault="00F5564A" w:rsidP="00736029">
            <w:pPr>
              <w:rPr>
                <w:rFonts w:ascii="Arial" w:hAnsi="Arial" w:cs="Arial"/>
              </w:rPr>
            </w:pPr>
            <w:r w:rsidRPr="008C1B79">
              <w:rPr>
                <w:rStyle w:val="Hyperlink"/>
                <w:rFonts w:ascii="Arial" w:hAnsi="Arial" w:cs="Arial"/>
                <w:color w:val="auto"/>
                <w:u w:val="none"/>
              </w:rPr>
              <w:t xml:space="preserve">ST the ‘silent voice’ would be an interesting item for future meetings. </w:t>
            </w:r>
            <w:r w:rsidR="00736029">
              <w:rPr>
                <w:rStyle w:val="Hyperlink"/>
                <w:rFonts w:ascii="Arial" w:hAnsi="Arial" w:cs="Arial"/>
                <w:color w:val="auto"/>
                <w:u w:val="none"/>
              </w:rPr>
              <w:t>EH</w:t>
            </w:r>
            <w:r w:rsidR="007F57C9">
              <w:rPr>
                <w:rStyle w:val="Hyperlink"/>
                <w:rFonts w:ascii="Arial" w:hAnsi="Arial" w:cs="Arial"/>
                <w:color w:val="auto"/>
                <w:u w:val="none"/>
              </w:rPr>
              <w:t xml:space="preserve"> </w:t>
            </w:r>
            <w:r w:rsidR="008C1B79">
              <w:rPr>
                <w:rStyle w:val="Hyperlink"/>
                <w:rFonts w:ascii="Arial" w:hAnsi="Arial" w:cs="Arial"/>
                <w:color w:val="auto"/>
                <w:u w:val="none"/>
              </w:rPr>
              <w:t xml:space="preserve">scrutiny panel did a review on silent voice. </w:t>
            </w:r>
            <w:r>
              <w:rPr>
                <w:rFonts w:ascii="Arial" w:hAnsi="Arial" w:cs="Arial"/>
              </w:rPr>
              <w:t xml:space="preserve">Door knocking is easier when there is a dispersed estate and easier where you have several tenants in one area. </w:t>
            </w:r>
            <w:r w:rsidR="00736029">
              <w:rPr>
                <w:rFonts w:ascii="Arial" w:hAnsi="Arial" w:cs="Arial"/>
              </w:rPr>
              <w:t>This could be used at the beginning of an item on the silent voice for June.</w:t>
            </w:r>
          </w:p>
          <w:p w14:paraId="13B37C4E" w14:textId="77777777" w:rsidR="00F5564A" w:rsidRDefault="00F5564A" w:rsidP="00041734">
            <w:pPr>
              <w:jc w:val="both"/>
              <w:rPr>
                <w:rFonts w:ascii="Arial" w:hAnsi="Arial" w:cs="Arial"/>
              </w:rPr>
            </w:pPr>
          </w:p>
          <w:p w14:paraId="43E07759" w14:textId="56EEA1F0" w:rsidR="00F5564A" w:rsidRDefault="00F5564A" w:rsidP="00041734">
            <w:pPr>
              <w:jc w:val="both"/>
              <w:rPr>
                <w:rFonts w:ascii="Arial" w:hAnsi="Arial" w:cs="Arial"/>
              </w:rPr>
            </w:pPr>
            <w:r>
              <w:rPr>
                <w:rFonts w:ascii="Arial" w:hAnsi="Arial" w:cs="Arial"/>
              </w:rPr>
              <w:t>GDPR</w:t>
            </w:r>
            <w:r w:rsidR="008C1B79">
              <w:rPr>
                <w:rFonts w:ascii="Arial" w:hAnsi="Arial" w:cs="Arial"/>
              </w:rPr>
              <w:t xml:space="preserve"> – what view is your organisation taking of using data tenants have provided for a regulatory purpose. Do GDPR colleague</w:t>
            </w:r>
            <w:r w:rsidR="00736029">
              <w:rPr>
                <w:rFonts w:ascii="Arial" w:hAnsi="Arial" w:cs="Arial"/>
              </w:rPr>
              <w:t>s</w:t>
            </w:r>
            <w:r w:rsidR="008C1B79">
              <w:rPr>
                <w:rFonts w:ascii="Arial" w:hAnsi="Arial" w:cs="Arial"/>
              </w:rPr>
              <w:t xml:space="preserve"> meet and discuss? </w:t>
            </w:r>
          </w:p>
          <w:p w14:paraId="6529673F" w14:textId="77777777" w:rsidR="00F5564A" w:rsidRDefault="00F5564A" w:rsidP="00041734">
            <w:pPr>
              <w:jc w:val="both"/>
              <w:rPr>
                <w:rFonts w:ascii="Arial" w:hAnsi="Arial" w:cs="Arial"/>
              </w:rPr>
            </w:pPr>
          </w:p>
          <w:p w14:paraId="1DFA85D6" w14:textId="5DDCBC27" w:rsidR="00F5564A" w:rsidRDefault="00F5564A" w:rsidP="00041734">
            <w:pPr>
              <w:jc w:val="both"/>
              <w:rPr>
                <w:rFonts w:ascii="Arial" w:hAnsi="Arial" w:cs="Arial"/>
              </w:rPr>
            </w:pPr>
            <w:r>
              <w:rPr>
                <w:rFonts w:ascii="Arial" w:hAnsi="Arial" w:cs="Arial"/>
              </w:rPr>
              <w:t>HACT – is anyone goin</w:t>
            </w:r>
            <w:r w:rsidR="00736029">
              <w:rPr>
                <w:rFonts w:ascii="Arial" w:hAnsi="Arial" w:cs="Arial"/>
              </w:rPr>
              <w:t>g to use for customer profiling?</w:t>
            </w:r>
            <w:r>
              <w:rPr>
                <w:rFonts w:ascii="Arial" w:hAnsi="Arial" w:cs="Arial"/>
              </w:rPr>
              <w:t xml:space="preserve"> </w:t>
            </w:r>
          </w:p>
          <w:p w14:paraId="45635BDC" w14:textId="77777777" w:rsidR="00F5564A" w:rsidRPr="00215230" w:rsidRDefault="00F5564A" w:rsidP="00041734">
            <w:pPr>
              <w:jc w:val="both"/>
              <w:rPr>
                <w:rFonts w:ascii="Arial" w:hAnsi="Arial" w:cs="Arial"/>
              </w:rPr>
            </w:pPr>
          </w:p>
          <w:p w14:paraId="6F9761AC" w14:textId="3193FE31" w:rsidR="00CE1AF7" w:rsidRPr="00DD02F7" w:rsidRDefault="005866DF" w:rsidP="00041734">
            <w:pPr>
              <w:jc w:val="both"/>
              <w:rPr>
                <w:rFonts w:ascii="Arial" w:hAnsi="Arial" w:cs="Arial"/>
              </w:rPr>
            </w:pPr>
            <w:r>
              <w:rPr>
                <w:rFonts w:ascii="Arial" w:hAnsi="Arial" w:cs="Arial"/>
              </w:rPr>
              <w:t xml:space="preserve">Dates for 2023; </w:t>
            </w:r>
            <w:r w:rsidR="00041734" w:rsidRPr="00215230">
              <w:rPr>
                <w:rFonts w:ascii="Arial" w:hAnsi="Arial" w:cs="Arial"/>
              </w:rPr>
              <w:t xml:space="preserve"> 22</w:t>
            </w:r>
            <w:r w:rsidR="00041734" w:rsidRPr="00215230">
              <w:rPr>
                <w:rFonts w:ascii="Arial" w:hAnsi="Arial" w:cs="Arial"/>
                <w:vertAlign w:val="superscript"/>
              </w:rPr>
              <w:t>nd</w:t>
            </w:r>
            <w:r w:rsidR="00041734" w:rsidRPr="00215230">
              <w:rPr>
                <w:rFonts w:ascii="Arial" w:hAnsi="Arial" w:cs="Arial"/>
              </w:rPr>
              <w:t xml:space="preserve"> June; 8</w:t>
            </w:r>
            <w:r w:rsidR="00041734" w:rsidRPr="00215230">
              <w:rPr>
                <w:rFonts w:ascii="Arial" w:hAnsi="Arial" w:cs="Arial"/>
                <w:vertAlign w:val="superscript"/>
              </w:rPr>
              <w:t>th</w:t>
            </w:r>
            <w:r w:rsidR="00041734" w:rsidRPr="00215230">
              <w:rPr>
                <w:rFonts w:ascii="Arial" w:hAnsi="Arial" w:cs="Arial"/>
              </w:rPr>
              <w:t xml:space="preserve"> November</w:t>
            </w:r>
          </w:p>
        </w:tc>
        <w:tc>
          <w:tcPr>
            <w:tcW w:w="851" w:type="dxa"/>
            <w:shd w:val="clear" w:color="auto" w:fill="auto"/>
          </w:tcPr>
          <w:p w14:paraId="2D7E74B2" w14:textId="5FE1A163" w:rsidR="001058CE" w:rsidRDefault="00E54762" w:rsidP="00454E00">
            <w:pPr>
              <w:rPr>
                <w:rFonts w:ascii="Arial" w:hAnsi="Arial" w:cs="Arial"/>
                <w:color w:val="FF0000"/>
              </w:rPr>
            </w:pPr>
            <w:r>
              <w:rPr>
                <w:rFonts w:ascii="Arial" w:hAnsi="Arial" w:cs="Arial"/>
                <w:color w:val="FF0000"/>
              </w:rPr>
              <w:t>HM</w:t>
            </w:r>
          </w:p>
          <w:p w14:paraId="5DAA9251" w14:textId="77777777" w:rsidR="00CA4CDF" w:rsidRDefault="00CA4CDF" w:rsidP="00454E00">
            <w:pPr>
              <w:rPr>
                <w:rFonts w:ascii="Arial" w:hAnsi="Arial" w:cs="Arial"/>
                <w:color w:val="FF0000"/>
              </w:rPr>
            </w:pPr>
          </w:p>
          <w:p w14:paraId="1D8B06E9" w14:textId="604B0346" w:rsidR="00CA4CDF" w:rsidRPr="00BE6CB8" w:rsidRDefault="00CA4CDF" w:rsidP="00454E00">
            <w:pPr>
              <w:rPr>
                <w:rFonts w:ascii="Arial" w:hAnsi="Arial" w:cs="Arial"/>
                <w:color w:val="FF0000"/>
              </w:rPr>
            </w:pPr>
          </w:p>
        </w:tc>
        <w:tc>
          <w:tcPr>
            <w:tcW w:w="3401" w:type="dxa"/>
            <w:shd w:val="clear" w:color="auto" w:fill="auto"/>
          </w:tcPr>
          <w:p w14:paraId="4096EE0F" w14:textId="205A8478" w:rsidR="001058CE" w:rsidRDefault="00E54762" w:rsidP="003D3980">
            <w:pPr>
              <w:rPr>
                <w:rFonts w:ascii="Arial" w:hAnsi="Arial" w:cs="Arial"/>
                <w:color w:val="FF0000"/>
              </w:rPr>
            </w:pPr>
            <w:r>
              <w:rPr>
                <w:rFonts w:ascii="Arial" w:hAnsi="Arial" w:cs="Arial"/>
                <w:color w:val="FF0000"/>
              </w:rPr>
              <w:t xml:space="preserve">Invite </w:t>
            </w:r>
            <w:r w:rsidR="00736029">
              <w:rPr>
                <w:rFonts w:ascii="Arial" w:hAnsi="Arial" w:cs="Arial"/>
                <w:color w:val="FF0000"/>
              </w:rPr>
              <w:t>EH</w:t>
            </w:r>
            <w:r>
              <w:rPr>
                <w:rFonts w:ascii="Arial" w:hAnsi="Arial" w:cs="Arial"/>
                <w:color w:val="FF0000"/>
              </w:rPr>
              <w:t xml:space="preserve"> to bring their organisations findings from scrutiny panel</w:t>
            </w:r>
          </w:p>
          <w:p w14:paraId="7BC56361" w14:textId="77777777" w:rsidR="00CA4CDF" w:rsidRDefault="00CA4CDF" w:rsidP="003D3980">
            <w:pPr>
              <w:rPr>
                <w:rFonts w:ascii="Arial" w:hAnsi="Arial" w:cs="Arial"/>
                <w:color w:val="FF0000"/>
              </w:rPr>
            </w:pPr>
          </w:p>
          <w:p w14:paraId="7994E332" w14:textId="2C784C59" w:rsidR="00CA4CDF" w:rsidRPr="00BE6CB8" w:rsidRDefault="00CA4CDF" w:rsidP="003D3980">
            <w:pPr>
              <w:rPr>
                <w:rFonts w:ascii="Arial" w:hAnsi="Arial" w:cs="Arial"/>
                <w:color w:val="FF0000"/>
              </w:rPr>
            </w:pPr>
          </w:p>
        </w:tc>
      </w:tr>
    </w:tbl>
    <w:p w14:paraId="0FB78278" w14:textId="77777777" w:rsidR="00F418B5" w:rsidRPr="00733643" w:rsidRDefault="00F418B5" w:rsidP="00E21560">
      <w:pPr>
        <w:rPr>
          <w:rFonts w:cstheme="minorHAnsi"/>
          <w:b/>
        </w:rPr>
      </w:pPr>
    </w:p>
    <w:sectPr w:rsidR="00F418B5" w:rsidRPr="00733643" w:rsidSect="0016325A">
      <w:footerReference w:type="defaul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46D35" w:rsidRDefault="00B46D35" w:rsidP="001D0582">
      <w:pPr>
        <w:spacing w:after="0" w:line="240" w:lineRule="auto"/>
      </w:pPr>
      <w:r>
        <w:separator/>
      </w:r>
    </w:p>
  </w:endnote>
  <w:endnote w:type="continuationSeparator" w:id="0">
    <w:p w14:paraId="62EBF3C5" w14:textId="77777777" w:rsidR="00B46D35" w:rsidRDefault="00B46D3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2ADB24AE" w:rsidR="00B46D35" w:rsidRDefault="00B46D35">
        <w:pPr>
          <w:pStyle w:val="Footer"/>
          <w:jc w:val="center"/>
        </w:pPr>
        <w:r>
          <w:fldChar w:fldCharType="begin"/>
        </w:r>
        <w:r>
          <w:instrText xml:space="preserve"> PAGE   \* MERGEFORMAT </w:instrText>
        </w:r>
        <w:r>
          <w:fldChar w:fldCharType="separate"/>
        </w:r>
        <w:r w:rsidR="007B6A3C">
          <w:rPr>
            <w:noProof/>
          </w:rPr>
          <w:t>3</w:t>
        </w:r>
        <w:r>
          <w:rPr>
            <w:noProof/>
          </w:rPr>
          <w:fldChar w:fldCharType="end"/>
        </w:r>
      </w:p>
    </w:sdtContent>
  </w:sdt>
  <w:p w14:paraId="110FFD37" w14:textId="77777777" w:rsidR="00B46D35" w:rsidRDefault="00B4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46D35" w:rsidRDefault="00B46D35" w:rsidP="001D0582">
      <w:pPr>
        <w:spacing w:after="0" w:line="240" w:lineRule="auto"/>
      </w:pPr>
      <w:r>
        <w:separator/>
      </w:r>
    </w:p>
  </w:footnote>
  <w:footnote w:type="continuationSeparator" w:id="0">
    <w:p w14:paraId="5997CC1D" w14:textId="77777777" w:rsidR="00B46D35" w:rsidRDefault="00B46D35"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06D01"/>
    <w:multiLevelType w:val="hybridMultilevel"/>
    <w:tmpl w:val="1E94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1C37"/>
    <w:rsid w:val="00012955"/>
    <w:rsid w:val="00020283"/>
    <w:rsid w:val="00020716"/>
    <w:rsid w:val="00021BCC"/>
    <w:rsid w:val="000279B1"/>
    <w:rsid w:val="00031DE3"/>
    <w:rsid w:val="00031DE6"/>
    <w:rsid w:val="00031EC0"/>
    <w:rsid w:val="000329F6"/>
    <w:rsid w:val="0003350E"/>
    <w:rsid w:val="00037E13"/>
    <w:rsid w:val="00040551"/>
    <w:rsid w:val="00041734"/>
    <w:rsid w:val="00044417"/>
    <w:rsid w:val="000456EC"/>
    <w:rsid w:val="00051D05"/>
    <w:rsid w:val="00052289"/>
    <w:rsid w:val="000564F4"/>
    <w:rsid w:val="000566D7"/>
    <w:rsid w:val="00060A45"/>
    <w:rsid w:val="00061235"/>
    <w:rsid w:val="00061BD1"/>
    <w:rsid w:val="000624FA"/>
    <w:rsid w:val="00062F79"/>
    <w:rsid w:val="00064A20"/>
    <w:rsid w:val="00066C36"/>
    <w:rsid w:val="00071C68"/>
    <w:rsid w:val="000735BA"/>
    <w:rsid w:val="00075D2B"/>
    <w:rsid w:val="000778DD"/>
    <w:rsid w:val="00080CC5"/>
    <w:rsid w:val="0008129C"/>
    <w:rsid w:val="00081C12"/>
    <w:rsid w:val="00085473"/>
    <w:rsid w:val="00086EC7"/>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2287"/>
    <w:rsid w:val="000E57C5"/>
    <w:rsid w:val="000E6197"/>
    <w:rsid w:val="000F4EEA"/>
    <w:rsid w:val="000F6F35"/>
    <w:rsid w:val="0010119D"/>
    <w:rsid w:val="00103E4A"/>
    <w:rsid w:val="00104544"/>
    <w:rsid w:val="00105208"/>
    <w:rsid w:val="001058CE"/>
    <w:rsid w:val="00106D8C"/>
    <w:rsid w:val="0011025C"/>
    <w:rsid w:val="00110C77"/>
    <w:rsid w:val="00111B2B"/>
    <w:rsid w:val="0011261D"/>
    <w:rsid w:val="00112C6A"/>
    <w:rsid w:val="00115F2B"/>
    <w:rsid w:val="00122697"/>
    <w:rsid w:val="00124F1C"/>
    <w:rsid w:val="00125D4C"/>
    <w:rsid w:val="001262F3"/>
    <w:rsid w:val="0012715A"/>
    <w:rsid w:val="00130227"/>
    <w:rsid w:val="00130429"/>
    <w:rsid w:val="00130B92"/>
    <w:rsid w:val="001325F9"/>
    <w:rsid w:val="00136005"/>
    <w:rsid w:val="00136AB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1DF6"/>
    <w:rsid w:val="001A2367"/>
    <w:rsid w:val="001B10AF"/>
    <w:rsid w:val="001B142B"/>
    <w:rsid w:val="001B4C9F"/>
    <w:rsid w:val="001B74E2"/>
    <w:rsid w:val="001B7F2E"/>
    <w:rsid w:val="001C0F9A"/>
    <w:rsid w:val="001C1D02"/>
    <w:rsid w:val="001C322B"/>
    <w:rsid w:val="001C48C5"/>
    <w:rsid w:val="001C50C4"/>
    <w:rsid w:val="001C6788"/>
    <w:rsid w:val="001D0582"/>
    <w:rsid w:val="001D237B"/>
    <w:rsid w:val="001D5A29"/>
    <w:rsid w:val="001D78C0"/>
    <w:rsid w:val="001E05E9"/>
    <w:rsid w:val="001E1A44"/>
    <w:rsid w:val="001E4B9E"/>
    <w:rsid w:val="001E7873"/>
    <w:rsid w:val="001F00E7"/>
    <w:rsid w:val="001F15A2"/>
    <w:rsid w:val="001F1855"/>
    <w:rsid w:val="001F399C"/>
    <w:rsid w:val="001F406A"/>
    <w:rsid w:val="001F687A"/>
    <w:rsid w:val="00200B68"/>
    <w:rsid w:val="002036A2"/>
    <w:rsid w:val="002039E9"/>
    <w:rsid w:val="00203FA9"/>
    <w:rsid w:val="002055A6"/>
    <w:rsid w:val="00205AB1"/>
    <w:rsid w:val="0021081A"/>
    <w:rsid w:val="00213709"/>
    <w:rsid w:val="002147E0"/>
    <w:rsid w:val="00215230"/>
    <w:rsid w:val="0022435F"/>
    <w:rsid w:val="00225B30"/>
    <w:rsid w:val="002313B5"/>
    <w:rsid w:val="00231434"/>
    <w:rsid w:val="002329C3"/>
    <w:rsid w:val="002334DE"/>
    <w:rsid w:val="00235BE7"/>
    <w:rsid w:val="00240065"/>
    <w:rsid w:val="00243F41"/>
    <w:rsid w:val="00251DE6"/>
    <w:rsid w:val="00252846"/>
    <w:rsid w:val="00252987"/>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2ECE"/>
    <w:rsid w:val="00293C7B"/>
    <w:rsid w:val="00294734"/>
    <w:rsid w:val="0029660B"/>
    <w:rsid w:val="002A04A7"/>
    <w:rsid w:val="002A366D"/>
    <w:rsid w:val="002A374B"/>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3B3E"/>
    <w:rsid w:val="003144E8"/>
    <w:rsid w:val="00315121"/>
    <w:rsid w:val="00317326"/>
    <w:rsid w:val="00317834"/>
    <w:rsid w:val="003205E8"/>
    <w:rsid w:val="00321BA4"/>
    <w:rsid w:val="00323916"/>
    <w:rsid w:val="00323A19"/>
    <w:rsid w:val="003251FA"/>
    <w:rsid w:val="0033294D"/>
    <w:rsid w:val="003354F5"/>
    <w:rsid w:val="0034074E"/>
    <w:rsid w:val="00343371"/>
    <w:rsid w:val="0034348E"/>
    <w:rsid w:val="00345FBB"/>
    <w:rsid w:val="0034724C"/>
    <w:rsid w:val="00347D3D"/>
    <w:rsid w:val="00347FF5"/>
    <w:rsid w:val="003502C4"/>
    <w:rsid w:val="0035276A"/>
    <w:rsid w:val="00353AF7"/>
    <w:rsid w:val="003561E6"/>
    <w:rsid w:val="00361F73"/>
    <w:rsid w:val="003651B3"/>
    <w:rsid w:val="00365443"/>
    <w:rsid w:val="0037204C"/>
    <w:rsid w:val="003767FE"/>
    <w:rsid w:val="0038010B"/>
    <w:rsid w:val="003805C2"/>
    <w:rsid w:val="003841D0"/>
    <w:rsid w:val="003843CC"/>
    <w:rsid w:val="00387E78"/>
    <w:rsid w:val="003900EE"/>
    <w:rsid w:val="00390F0A"/>
    <w:rsid w:val="00391561"/>
    <w:rsid w:val="003935E9"/>
    <w:rsid w:val="00393BA4"/>
    <w:rsid w:val="0039592E"/>
    <w:rsid w:val="00395DB1"/>
    <w:rsid w:val="003A12E5"/>
    <w:rsid w:val="003A72C3"/>
    <w:rsid w:val="003B0473"/>
    <w:rsid w:val="003B67F4"/>
    <w:rsid w:val="003B6981"/>
    <w:rsid w:val="003C17C2"/>
    <w:rsid w:val="003C2892"/>
    <w:rsid w:val="003C3BFF"/>
    <w:rsid w:val="003C4E1E"/>
    <w:rsid w:val="003C5FDA"/>
    <w:rsid w:val="003D2F6C"/>
    <w:rsid w:val="003D3980"/>
    <w:rsid w:val="003D5115"/>
    <w:rsid w:val="003D7D3A"/>
    <w:rsid w:val="003E065E"/>
    <w:rsid w:val="003E3984"/>
    <w:rsid w:val="003F5CB0"/>
    <w:rsid w:val="004000CA"/>
    <w:rsid w:val="00401453"/>
    <w:rsid w:val="00406594"/>
    <w:rsid w:val="00407092"/>
    <w:rsid w:val="00413580"/>
    <w:rsid w:val="004140BD"/>
    <w:rsid w:val="00417A80"/>
    <w:rsid w:val="00423176"/>
    <w:rsid w:val="004241B5"/>
    <w:rsid w:val="0042628B"/>
    <w:rsid w:val="0042683E"/>
    <w:rsid w:val="00426A73"/>
    <w:rsid w:val="00426F3D"/>
    <w:rsid w:val="00427AC7"/>
    <w:rsid w:val="00427CA9"/>
    <w:rsid w:val="00427D3E"/>
    <w:rsid w:val="0043172B"/>
    <w:rsid w:val="00432F07"/>
    <w:rsid w:val="00433611"/>
    <w:rsid w:val="00436C56"/>
    <w:rsid w:val="004403A0"/>
    <w:rsid w:val="004414EE"/>
    <w:rsid w:val="00443A5F"/>
    <w:rsid w:val="00443C16"/>
    <w:rsid w:val="00443F82"/>
    <w:rsid w:val="0044432C"/>
    <w:rsid w:val="00444473"/>
    <w:rsid w:val="00445779"/>
    <w:rsid w:val="00445815"/>
    <w:rsid w:val="004467BA"/>
    <w:rsid w:val="00451546"/>
    <w:rsid w:val="00451761"/>
    <w:rsid w:val="00451A7A"/>
    <w:rsid w:val="00452245"/>
    <w:rsid w:val="004524B8"/>
    <w:rsid w:val="00452987"/>
    <w:rsid w:val="00453E3F"/>
    <w:rsid w:val="00454E00"/>
    <w:rsid w:val="004558CD"/>
    <w:rsid w:val="00462B1D"/>
    <w:rsid w:val="00471DD9"/>
    <w:rsid w:val="00476604"/>
    <w:rsid w:val="00476E2D"/>
    <w:rsid w:val="00477AFD"/>
    <w:rsid w:val="00482069"/>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38A8"/>
    <w:rsid w:val="004B6795"/>
    <w:rsid w:val="004B6EE7"/>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0742"/>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1AB0"/>
    <w:rsid w:val="00565E65"/>
    <w:rsid w:val="005668FB"/>
    <w:rsid w:val="00570CCD"/>
    <w:rsid w:val="00572CEB"/>
    <w:rsid w:val="005755F2"/>
    <w:rsid w:val="00576705"/>
    <w:rsid w:val="00576D19"/>
    <w:rsid w:val="00582AE3"/>
    <w:rsid w:val="00582EA5"/>
    <w:rsid w:val="005849FF"/>
    <w:rsid w:val="0058619F"/>
    <w:rsid w:val="005866D1"/>
    <w:rsid w:val="005866DF"/>
    <w:rsid w:val="00590DE0"/>
    <w:rsid w:val="005917CC"/>
    <w:rsid w:val="00592AC2"/>
    <w:rsid w:val="00596291"/>
    <w:rsid w:val="00596AC7"/>
    <w:rsid w:val="005A05D2"/>
    <w:rsid w:val="005A288C"/>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0B44"/>
    <w:rsid w:val="00601117"/>
    <w:rsid w:val="006029C3"/>
    <w:rsid w:val="0060494E"/>
    <w:rsid w:val="006059D2"/>
    <w:rsid w:val="0060724F"/>
    <w:rsid w:val="00607F00"/>
    <w:rsid w:val="00610D6E"/>
    <w:rsid w:val="0061242E"/>
    <w:rsid w:val="00614883"/>
    <w:rsid w:val="0061520B"/>
    <w:rsid w:val="006167D1"/>
    <w:rsid w:val="00620205"/>
    <w:rsid w:val="006202F2"/>
    <w:rsid w:val="006267AD"/>
    <w:rsid w:val="006268AA"/>
    <w:rsid w:val="00631572"/>
    <w:rsid w:val="00632AE4"/>
    <w:rsid w:val="00633F20"/>
    <w:rsid w:val="00641215"/>
    <w:rsid w:val="00641D7C"/>
    <w:rsid w:val="00644EA6"/>
    <w:rsid w:val="0064548E"/>
    <w:rsid w:val="00645723"/>
    <w:rsid w:val="00647CA0"/>
    <w:rsid w:val="00647DCD"/>
    <w:rsid w:val="00651D7A"/>
    <w:rsid w:val="006556BA"/>
    <w:rsid w:val="006573EE"/>
    <w:rsid w:val="00663CCF"/>
    <w:rsid w:val="00665893"/>
    <w:rsid w:val="006668AE"/>
    <w:rsid w:val="0067090E"/>
    <w:rsid w:val="0067369A"/>
    <w:rsid w:val="00674E7B"/>
    <w:rsid w:val="00677426"/>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B6CD6"/>
    <w:rsid w:val="006C1CDD"/>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1D39"/>
    <w:rsid w:val="00712973"/>
    <w:rsid w:val="00714B07"/>
    <w:rsid w:val="007156DF"/>
    <w:rsid w:val="00717518"/>
    <w:rsid w:val="0071764F"/>
    <w:rsid w:val="00717AEF"/>
    <w:rsid w:val="007217A6"/>
    <w:rsid w:val="00726406"/>
    <w:rsid w:val="007330A4"/>
    <w:rsid w:val="00733643"/>
    <w:rsid w:val="00734603"/>
    <w:rsid w:val="00734D32"/>
    <w:rsid w:val="00734D65"/>
    <w:rsid w:val="00735129"/>
    <w:rsid w:val="00736029"/>
    <w:rsid w:val="00736BBC"/>
    <w:rsid w:val="00736D0D"/>
    <w:rsid w:val="00737FBB"/>
    <w:rsid w:val="00741E23"/>
    <w:rsid w:val="0074213B"/>
    <w:rsid w:val="0074410C"/>
    <w:rsid w:val="00745BAC"/>
    <w:rsid w:val="007466C4"/>
    <w:rsid w:val="00750F98"/>
    <w:rsid w:val="00751108"/>
    <w:rsid w:val="00753F14"/>
    <w:rsid w:val="007541FB"/>
    <w:rsid w:val="00754D2D"/>
    <w:rsid w:val="00755D98"/>
    <w:rsid w:val="0075752D"/>
    <w:rsid w:val="007634E0"/>
    <w:rsid w:val="007652BA"/>
    <w:rsid w:val="007679D1"/>
    <w:rsid w:val="00770C46"/>
    <w:rsid w:val="0077139C"/>
    <w:rsid w:val="0077311A"/>
    <w:rsid w:val="00773282"/>
    <w:rsid w:val="00773CE1"/>
    <w:rsid w:val="00774FDE"/>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B6A3C"/>
    <w:rsid w:val="007B6D33"/>
    <w:rsid w:val="007C2A71"/>
    <w:rsid w:val="007C47C8"/>
    <w:rsid w:val="007C6822"/>
    <w:rsid w:val="007D11B7"/>
    <w:rsid w:val="007D12F2"/>
    <w:rsid w:val="007D2FC2"/>
    <w:rsid w:val="007D3984"/>
    <w:rsid w:val="007D4AD6"/>
    <w:rsid w:val="007D68B3"/>
    <w:rsid w:val="007E10D1"/>
    <w:rsid w:val="007E51BF"/>
    <w:rsid w:val="007F0D66"/>
    <w:rsid w:val="007F161E"/>
    <w:rsid w:val="007F28B1"/>
    <w:rsid w:val="007F345E"/>
    <w:rsid w:val="007F57C9"/>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53E96"/>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49DF"/>
    <w:rsid w:val="00886D1B"/>
    <w:rsid w:val="00887A39"/>
    <w:rsid w:val="00887E4E"/>
    <w:rsid w:val="0089332E"/>
    <w:rsid w:val="0089337E"/>
    <w:rsid w:val="00895424"/>
    <w:rsid w:val="008A1EEC"/>
    <w:rsid w:val="008A472D"/>
    <w:rsid w:val="008A4FAD"/>
    <w:rsid w:val="008A6F65"/>
    <w:rsid w:val="008B2794"/>
    <w:rsid w:val="008B2BAE"/>
    <w:rsid w:val="008B438C"/>
    <w:rsid w:val="008B4E25"/>
    <w:rsid w:val="008B7426"/>
    <w:rsid w:val="008C0BF7"/>
    <w:rsid w:val="008C1B79"/>
    <w:rsid w:val="008C31B9"/>
    <w:rsid w:val="008C704F"/>
    <w:rsid w:val="008D2124"/>
    <w:rsid w:val="008D33AE"/>
    <w:rsid w:val="008D4BE9"/>
    <w:rsid w:val="008D59A1"/>
    <w:rsid w:val="008D7427"/>
    <w:rsid w:val="008D7AE8"/>
    <w:rsid w:val="008E711F"/>
    <w:rsid w:val="008E7E63"/>
    <w:rsid w:val="008F1C98"/>
    <w:rsid w:val="008F2A5E"/>
    <w:rsid w:val="008F3ACD"/>
    <w:rsid w:val="008F4007"/>
    <w:rsid w:val="008F58E7"/>
    <w:rsid w:val="008F621A"/>
    <w:rsid w:val="008F7807"/>
    <w:rsid w:val="008F7F4C"/>
    <w:rsid w:val="0090027D"/>
    <w:rsid w:val="009010A3"/>
    <w:rsid w:val="00902E39"/>
    <w:rsid w:val="00905C95"/>
    <w:rsid w:val="00907685"/>
    <w:rsid w:val="00911690"/>
    <w:rsid w:val="00915066"/>
    <w:rsid w:val="00916B76"/>
    <w:rsid w:val="009179A4"/>
    <w:rsid w:val="00921F5E"/>
    <w:rsid w:val="009231EE"/>
    <w:rsid w:val="0092624C"/>
    <w:rsid w:val="0093305B"/>
    <w:rsid w:val="00935404"/>
    <w:rsid w:val="00935A5F"/>
    <w:rsid w:val="009371B1"/>
    <w:rsid w:val="00937E6C"/>
    <w:rsid w:val="009420AC"/>
    <w:rsid w:val="009433A2"/>
    <w:rsid w:val="0094414E"/>
    <w:rsid w:val="009548D8"/>
    <w:rsid w:val="00954AE9"/>
    <w:rsid w:val="00960571"/>
    <w:rsid w:val="00961B05"/>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A203F"/>
    <w:rsid w:val="009A32A9"/>
    <w:rsid w:val="009B03DB"/>
    <w:rsid w:val="009B4331"/>
    <w:rsid w:val="009B60B4"/>
    <w:rsid w:val="009B701B"/>
    <w:rsid w:val="009B74AB"/>
    <w:rsid w:val="009C07B2"/>
    <w:rsid w:val="009C0F79"/>
    <w:rsid w:val="009C2F99"/>
    <w:rsid w:val="009C2FFC"/>
    <w:rsid w:val="009C4262"/>
    <w:rsid w:val="009C548C"/>
    <w:rsid w:val="009C5ABD"/>
    <w:rsid w:val="009D05E3"/>
    <w:rsid w:val="009D22D0"/>
    <w:rsid w:val="009D30EB"/>
    <w:rsid w:val="009D34B2"/>
    <w:rsid w:val="009D3F0E"/>
    <w:rsid w:val="009D494E"/>
    <w:rsid w:val="009D4A4C"/>
    <w:rsid w:val="009D4DD9"/>
    <w:rsid w:val="009D5816"/>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25DCF"/>
    <w:rsid w:val="00A3083F"/>
    <w:rsid w:val="00A31FFE"/>
    <w:rsid w:val="00A3360E"/>
    <w:rsid w:val="00A41B69"/>
    <w:rsid w:val="00A444E4"/>
    <w:rsid w:val="00A452BE"/>
    <w:rsid w:val="00A46CEE"/>
    <w:rsid w:val="00A52535"/>
    <w:rsid w:val="00A52DBB"/>
    <w:rsid w:val="00A5743A"/>
    <w:rsid w:val="00A5766E"/>
    <w:rsid w:val="00A62229"/>
    <w:rsid w:val="00A64210"/>
    <w:rsid w:val="00A64732"/>
    <w:rsid w:val="00A64752"/>
    <w:rsid w:val="00A67D6B"/>
    <w:rsid w:val="00A74FDB"/>
    <w:rsid w:val="00A75068"/>
    <w:rsid w:val="00A75210"/>
    <w:rsid w:val="00A77142"/>
    <w:rsid w:val="00A77391"/>
    <w:rsid w:val="00A77F5E"/>
    <w:rsid w:val="00A87563"/>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141"/>
    <w:rsid w:val="00AE5827"/>
    <w:rsid w:val="00AE7410"/>
    <w:rsid w:val="00AF537A"/>
    <w:rsid w:val="00AF5388"/>
    <w:rsid w:val="00B01AF2"/>
    <w:rsid w:val="00B037EB"/>
    <w:rsid w:val="00B05B4C"/>
    <w:rsid w:val="00B10207"/>
    <w:rsid w:val="00B12065"/>
    <w:rsid w:val="00B1540F"/>
    <w:rsid w:val="00B17CEA"/>
    <w:rsid w:val="00B21776"/>
    <w:rsid w:val="00B22E92"/>
    <w:rsid w:val="00B24E64"/>
    <w:rsid w:val="00B25021"/>
    <w:rsid w:val="00B25E02"/>
    <w:rsid w:val="00B26D32"/>
    <w:rsid w:val="00B3068A"/>
    <w:rsid w:val="00B3345C"/>
    <w:rsid w:val="00B342EE"/>
    <w:rsid w:val="00B34916"/>
    <w:rsid w:val="00B40E00"/>
    <w:rsid w:val="00B42456"/>
    <w:rsid w:val="00B42CEA"/>
    <w:rsid w:val="00B44067"/>
    <w:rsid w:val="00B44664"/>
    <w:rsid w:val="00B452FC"/>
    <w:rsid w:val="00B46D35"/>
    <w:rsid w:val="00B47710"/>
    <w:rsid w:val="00B51336"/>
    <w:rsid w:val="00B519E2"/>
    <w:rsid w:val="00B51AC8"/>
    <w:rsid w:val="00B55164"/>
    <w:rsid w:val="00B553B4"/>
    <w:rsid w:val="00B56A5B"/>
    <w:rsid w:val="00B614D9"/>
    <w:rsid w:val="00B62FED"/>
    <w:rsid w:val="00B632E2"/>
    <w:rsid w:val="00B64FB4"/>
    <w:rsid w:val="00B65D0D"/>
    <w:rsid w:val="00B71326"/>
    <w:rsid w:val="00B72145"/>
    <w:rsid w:val="00B75B9A"/>
    <w:rsid w:val="00B7703D"/>
    <w:rsid w:val="00B77576"/>
    <w:rsid w:val="00B809BC"/>
    <w:rsid w:val="00B80DBE"/>
    <w:rsid w:val="00B82BB1"/>
    <w:rsid w:val="00B82FA9"/>
    <w:rsid w:val="00B83325"/>
    <w:rsid w:val="00B83A16"/>
    <w:rsid w:val="00B8529C"/>
    <w:rsid w:val="00B86C9E"/>
    <w:rsid w:val="00B87158"/>
    <w:rsid w:val="00B8788B"/>
    <w:rsid w:val="00B9005D"/>
    <w:rsid w:val="00B9105F"/>
    <w:rsid w:val="00B92B1B"/>
    <w:rsid w:val="00B931B4"/>
    <w:rsid w:val="00B94C69"/>
    <w:rsid w:val="00BA12AC"/>
    <w:rsid w:val="00BA235C"/>
    <w:rsid w:val="00BA3231"/>
    <w:rsid w:val="00BA3D16"/>
    <w:rsid w:val="00BA46D6"/>
    <w:rsid w:val="00BA7C08"/>
    <w:rsid w:val="00BB0F15"/>
    <w:rsid w:val="00BB1648"/>
    <w:rsid w:val="00BB27BC"/>
    <w:rsid w:val="00BB3A3B"/>
    <w:rsid w:val="00BB3C27"/>
    <w:rsid w:val="00BB652C"/>
    <w:rsid w:val="00BB7E25"/>
    <w:rsid w:val="00BC4E81"/>
    <w:rsid w:val="00BC7803"/>
    <w:rsid w:val="00BD14A6"/>
    <w:rsid w:val="00BD3127"/>
    <w:rsid w:val="00BD315C"/>
    <w:rsid w:val="00BE1A47"/>
    <w:rsid w:val="00BE1A78"/>
    <w:rsid w:val="00BE5D7D"/>
    <w:rsid w:val="00BE6CB8"/>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9DB"/>
    <w:rsid w:val="00C22AE3"/>
    <w:rsid w:val="00C26706"/>
    <w:rsid w:val="00C274BB"/>
    <w:rsid w:val="00C35551"/>
    <w:rsid w:val="00C42029"/>
    <w:rsid w:val="00C42CFA"/>
    <w:rsid w:val="00C4590A"/>
    <w:rsid w:val="00C46B03"/>
    <w:rsid w:val="00C473CC"/>
    <w:rsid w:val="00C51436"/>
    <w:rsid w:val="00C536B5"/>
    <w:rsid w:val="00C544BC"/>
    <w:rsid w:val="00C550CD"/>
    <w:rsid w:val="00C571A1"/>
    <w:rsid w:val="00C606DB"/>
    <w:rsid w:val="00C60D48"/>
    <w:rsid w:val="00C66676"/>
    <w:rsid w:val="00C70A53"/>
    <w:rsid w:val="00C70D27"/>
    <w:rsid w:val="00C74662"/>
    <w:rsid w:val="00C75573"/>
    <w:rsid w:val="00C7657F"/>
    <w:rsid w:val="00C775CC"/>
    <w:rsid w:val="00C778CC"/>
    <w:rsid w:val="00C854AD"/>
    <w:rsid w:val="00C86BD6"/>
    <w:rsid w:val="00C873FB"/>
    <w:rsid w:val="00C87A6C"/>
    <w:rsid w:val="00C90A7B"/>
    <w:rsid w:val="00C91A4B"/>
    <w:rsid w:val="00C93C35"/>
    <w:rsid w:val="00C9401D"/>
    <w:rsid w:val="00C94895"/>
    <w:rsid w:val="00C97E4B"/>
    <w:rsid w:val="00CA0F94"/>
    <w:rsid w:val="00CA27E0"/>
    <w:rsid w:val="00CA3430"/>
    <w:rsid w:val="00CA4CDF"/>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AF7"/>
    <w:rsid w:val="00CE335C"/>
    <w:rsid w:val="00CE394E"/>
    <w:rsid w:val="00CE54E6"/>
    <w:rsid w:val="00CF071E"/>
    <w:rsid w:val="00CF0830"/>
    <w:rsid w:val="00CF109C"/>
    <w:rsid w:val="00CF14BF"/>
    <w:rsid w:val="00CF1557"/>
    <w:rsid w:val="00CF1FBA"/>
    <w:rsid w:val="00CF2167"/>
    <w:rsid w:val="00CF227A"/>
    <w:rsid w:val="00CF49BF"/>
    <w:rsid w:val="00CF5694"/>
    <w:rsid w:val="00CF620D"/>
    <w:rsid w:val="00CF693D"/>
    <w:rsid w:val="00CF7190"/>
    <w:rsid w:val="00D03209"/>
    <w:rsid w:val="00D03CE7"/>
    <w:rsid w:val="00D05491"/>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5278"/>
    <w:rsid w:val="00DC71AE"/>
    <w:rsid w:val="00DD02F7"/>
    <w:rsid w:val="00DD031C"/>
    <w:rsid w:val="00DD2A12"/>
    <w:rsid w:val="00DD3C36"/>
    <w:rsid w:val="00DD4308"/>
    <w:rsid w:val="00DD4BE4"/>
    <w:rsid w:val="00DD6361"/>
    <w:rsid w:val="00DD775D"/>
    <w:rsid w:val="00DD7F1C"/>
    <w:rsid w:val="00DE3126"/>
    <w:rsid w:val="00DE3A94"/>
    <w:rsid w:val="00DE6C5A"/>
    <w:rsid w:val="00DF015F"/>
    <w:rsid w:val="00DF2FAC"/>
    <w:rsid w:val="00DF36BE"/>
    <w:rsid w:val="00DF47CB"/>
    <w:rsid w:val="00DF5A67"/>
    <w:rsid w:val="00E02FF5"/>
    <w:rsid w:val="00E06C13"/>
    <w:rsid w:val="00E128D7"/>
    <w:rsid w:val="00E132A6"/>
    <w:rsid w:val="00E143E8"/>
    <w:rsid w:val="00E15B10"/>
    <w:rsid w:val="00E178CE"/>
    <w:rsid w:val="00E17A49"/>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762"/>
    <w:rsid w:val="00E54B9E"/>
    <w:rsid w:val="00E60CF5"/>
    <w:rsid w:val="00E61F28"/>
    <w:rsid w:val="00E627CC"/>
    <w:rsid w:val="00E62BA2"/>
    <w:rsid w:val="00E663E8"/>
    <w:rsid w:val="00E66FC1"/>
    <w:rsid w:val="00E70AD9"/>
    <w:rsid w:val="00E805A7"/>
    <w:rsid w:val="00E81DB4"/>
    <w:rsid w:val="00E839CE"/>
    <w:rsid w:val="00E85B7A"/>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EF1B51"/>
    <w:rsid w:val="00EF1F8C"/>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64A"/>
    <w:rsid w:val="00F557F7"/>
    <w:rsid w:val="00F57E13"/>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60BC"/>
    <w:rsid w:val="00F96F70"/>
    <w:rsid w:val="00F97466"/>
    <w:rsid w:val="00FA2BF4"/>
    <w:rsid w:val="00FA3F4C"/>
    <w:rsid w:val="00FA4977"/>
    <w:rsid w:val="00FA5FAC"/>
    <w:rsid w:val="00FB113B"/>
    <w:rsid w:val="00FB1732"/>
    <w:rsid w:val="00FB1FBE"/>
    <w:rsid w:val="00FB3AB9"/>
    <w:rsid w:val="00FB5370"/>
    <w:rsid w:val="00FC4C7B"/>
    <w:rsid w:val="00FC77C1"/>
    <w:rsid w:val="00FD4447"/>
    <w:rsid w:val="00FD50AB"/>
    <w:rsid w:val="00FD7045"/>
    <w:rsid w:val="00FE082F"/>
    <w:rsid w:val="00FE118F"/>
    <w:rsid w:val="00FE3D55"/>
    <w:rsid w:val="00FE4392"/>
    <w:rsid w:val="00FE602C"/>
    <w:rsid w:val="00FF2ECD"/>
    <w:rsid w:val="00FF5D96"/>
    <w:rsid w:val="00FF7645"/>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6268AA"/>
    <w:rPr>
      <w:color w:val="800080" w:themeColor="followedHyperlink"/>
      <w:u w:val="single"/>
    </w:rPr>
  </w:style>
  <w:style w:type="paragraph" w:styleId="NormalWeb">
    <w:name w:val="Normal (Web)"/>
    <w:basedOn w:val="Normal"/>
    <w:uiPriority w:val="99"/>
    <w:semiHidden/>
    <w:unhideWhenUsed/>
    <w:rsid w:val="00902E3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87213907">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0">
          <w:marLeft w:val="0"/>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474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visualisations/customprofiles/dra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de81c19-0895-4efc-b747-8c9e5bcc3cf2"/>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151FFFA-2DDB-41BF-875B-29DB92E7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17</cp:revision>
  <cp:lastPrinted>2020-01-29T14:29:00Z</cp:lastPrinted>
  <dcterms:created xsi:type="dcterms:W3CDTF">2023-01-17T10:57:00Z</dcterms:created>
  <dcterms:modified xsi:type="dcterms:W3CDTF">2023-05-11T10:00:00Z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