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CDCB78" w14:textId="31989ABB" w:rsidR="00FC3EA1" w:rsidRPr="00042B4E" w:rsidRDefault="00DE67A9" w:rsidP="00FC3EA1">
      <w:pPr>
        <w:rPr>
          <w:rFonts w:asciiTheme="majorHAnsi" w:hAnsiTheme="majorHAnsi" w:cstheme="majorHAnsi"/>
        </w:rPr>
      </w:pPr>
      <w:bookmarkStart w:id="0" w:name="_GoBack"/>
      <w:bookmarkEnd w:id="0"/>
      <w:r w:rsidRPr="00042B4E">
        <w:rPr>
          <w:rFonts w:asciiTheme="majorHAnsi" w:hAnsiTheme="majorHAnsi" w:cstheme="majorHAnsi"/>
        </w:rPr>
        <w:t>RACE</w:t>
      </w:r>
      <w:r w:rsidR="00355A9A" w:rsidRPr="00042B4E">
        <w:rPr>
          <w:rFonts w:asciiTheme="majorHAnsi" w:hAnsiTheme="majorHAnsi" w:cstheme="majorHAnsi"/>
        </w:rPr>
        <w:t xml:space="preserve"> </w:t>
      </w:r>
      <w:r w:rsidR="00042B4E" w:rsidRPr="00042B4E">
        <w:rPr>
          <w:rFonts w:asciiTheme="majorHAnsi" w:hAnsiTheme="majorHAnsi" w:cstheme="majorHAnsi"/>
        </w:rPr>
        <w:t xml:space="preserve">– Planned actions to deliver the </w:t>
      </w:r>
      <w:hyperlink r:id="rId5" w:history="1">
        <w:r w:rsidR="00042B4E" w:rsidRPr="007C04D2">
          <w:rPr>
            <w:rStyle w:val="Hyperlink"/>
            <w:rFonts w:asciiTheme="majorHAnsi" w:hAnsiTheme="majorHAnsi" w:cstheme="majorHAnsi"/>
          </w:rPr>
          <w:t>Kent and Medway Housing Strategy 2023 - 25</w:t>
        </w:r>
      </w:hyperlink>
    </w:p>
    <w:tbl>
      <w:tblPr>
        <w:tblStyle w:val="TableGrid"/>
        <w:tblW w:w="0" w:type="auto"/>
        <w:tblLook w:val="04A0" w:firstRow="1" w:lastRow="0" w:firstColumn="1" w:lastColumn="0" w:noHBand="0" w:noVBand="1"/>
      </w:tblPr>
      <w:tblGrid>
        <w:gridCol w:w="702"/>
        <w:gridCol w:w="215"/>
        <w:gridCol w:w="3091"/>
        <w:gridCol w:w="127"/>
        <w:gridCol w:w="1226"/>
        <w:gridCol w:w="126"/>
        <w:gridCol w:w="3529"/>
      </w:tblGrid>
      <w:tr w:rsidR="00BA4B08" w14:paraId="3B299422" w14:textId="77777777" w:rsidTr="00BA4B08">
        <w:tc>
          <w:tcPr>
            <w:tcW w:w="9016" w:type="dxa"/>
            <w:gridSpan w:val="7"/>
            <w:shd w:val="clear" w:color="auto" w:fill="9CC2E5" w:themeFill="accent1" w:themeFillTint="99"/>
          </w:tcPr>
          <w:p w14:paraId="4C037197" w14:textId="77777777" w:rsidR="00BA4B08" w:rsidRDefault="00BA4B08"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p>
        </w:tc>
      </w:tr>
      <w:tr w:rsidR="00FC3EA1" w14:paraId="01C0AF44" w14:textId="77777777" w:rsidTr="003B7572">
        <w:tc>
          <w:tcPr>
            <w:tcW w:w="702" w:type="dxa"/>
          </w:tcPr>
          <w:p w14:paraId="4524B3DE"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306" w:type="dxa"/>
            <w:gridSpan w:val="2"/>
          </w:tcPr>
          <w:p w14:paraId="2C152B7C" w14:textId="77777777" w:rsidR="00FC3EA1" w:rsidRDefault="00FC3EA1" w:rsidP="00FC3EA1">
            <w:pPr>
              <w:rPr>
                <w:rFonts w:ascii="Calibri" w:eastAsia="Times New Roman" w:hAnsi="Calibri" w:cs="Calibri"/>
                <w:color w:val="000000"/>
                <w:lang w:eastAsia="en-GB"/>
              </w:rPr>
            </w:pPr>
          </w:p>
        </w:tc>
        <w:tc>
          <w:tcPr>
            <w:tcW w:w="1353" w:type="dxa"/>
            <w:gridSpan w:val="2"/>
          </w:tcPr>
          <w:p w14:paraId="4331F3BC" w14:textId="77777777"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655" w:type="dxa"/>
            <w:gridSpan w:val="2"/>
          </w:tcPr>
          <w:p w14:paraId="6E605C45" w14:textId="1ED21CB1" w:rsidR="00FC3EA1" w:rsidRDefault="00042B4E" w:rsidP="00FC3EA1">
            <w:pPr>
              <w:rPr>
                <w:rFonts w:ascii="Calibri" w:eastAsia="Times New Roman" w:hAnsi="Calibri" w:cs="Calibri"/>
                <w:color w:val="000000"/>
                <w:lang w:eastAsia="en-GB"/>
              </w:rPr>
            </w:pPr>
            <w:r>
              <w:rPr>
                <w:rFonts w:ascii="Calibri" w:eastAsia="Times New Roman" w:hAnsi="Calibri" w:cs="Calibri"/>
                <w:color w:val="000000"/>
                <w:lang w:eastAsia="en-GB"/>
              </w:rPr>
              <w:t>Planned actions</w:t>
            </w:r>
          </w:p>
        </w:tc>
      </w:tr>
      <w:tr w:rsidR="00FC3EA1" w14:paraId="34C664D0" w14:textId="77777777" w:rsidTr="003637E9">
        <w:tc>
          <w:tcPr>
            <w:tcW w:w="9016" w:type="dxa"/>
            <w:gridSpan w:val="7"/>
            <w:shd w:val="clear" w:color="auto" w:fill="9CC2E5" w:themeFill="accent1" w:themeFillTint="99"/>
          </w:tcPr>
          <w:p w14:paraId="58108244" w14:textId="77777777" w:rsidR="00FC3EA1" w:rsidRDefault="00FC3EA1" w:rsidP="00FC3EA1">
            <w:pPr>
              <w:rPr>
                <w:b/>
              </w:rPr>
            </w:pPr>
            <w:r w:rsidRPr="00FC3EA1">
              <w:rPr>
                <w:b/>
              </w:rPr>
              <w:t>Theme Health and wellbeing</w:t>
            </w:r>
          </w:p>
          <w:p w14:paraId="0C625E40" w14:textId="77777777" w:rsidR="00FC3EA1" w:rsidRDefault="00FC3EA1" w:rsidP="00FC3EA1">
            <w:pPr>
              <w:rPr>
                <w:rFonts w:ascii="Calibri" w:eastAsia="Times New Roman" w:hAnsi="Calibri" w:cs="Calibri"/>
                <w:color w:val="000000"/>
                <w:lang w:eastAsia="en-GB"/>
              </w:rPr>
            </w:pPr>
          </w:p>
        </w:tc>
      </w:tr>
      <w:tr w:rsidR="00FC3EA1" w14:paraId="6589D1D9" w14:textId="77777777" w:rsidTr="003B7572">
        <w:tc>
          <w:tcPr>
            <w:tcW w:w="702" w:type="dxa"/>
          </w:tcPr>
          <w:p w14:paraId="3A1655CE" w14:textId="77777777"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HW2</w:t>
            </w:r>
          </w:p>
        </w:tc>
        <w:tc>
          <w:tcPr>
            <w:tcW w:w="3306" w:type="dxa"/>
            <w:gridSpan w:val="2"/>
          </w:tcPr>
          <w:p w14:paraId="05E69C4D" w14:textId="77777777" w:rsidR="003637E9" w:rsidRDefault="003637E9" w:rsidP="003637E9">
            <w:pPr>
              <w:rPr>
                <w:rFonts w:ascii="Calibri" w:hAnsi="Calibri" w:cs="Calibri"/>
                <w:color w:val="000000"/>
              </w:rPr>
            </w:pPr>
            <w:r>
              <w:rPr>
                <w:rFonts w:ascii="Calibri" w:hAnsi="Calibri" w:cs="Calibri"/>
                <w:color w:val="000000"/>
              </w:rPr>
              <w:t>Where appropriate, work at a local level with planning and developer colleagues to ensure the right type of high quality housing within sustainable communities is developed across Kent and Medway to meet identified local housing need</w:t>
            </w:r>
          </w:p>
          <w:p w14:paraId="7B06EEFD" w14:textId="77777777" w:rsidR="00FC3EA1" w:rsidRPr="00FC3EA1" w:rsidRDefault="00FC3EA1" w:rsidP="00FC3EA1">
            <w:pPr>
              <w:rPr>
                <w:rFonts w:ascii="Calibri" w:hAnsi="Calibri" w:cs="Calibri"/>
                <w:color w:val="000000"/>
              </w:rPr>
            </w:pPr>
          </w:p>
        </w:tc>
        <w:tc>
          <w:tcPr>
            <w:tcW w:w="1353" w:type="dxa"/>
            <w:gridSpan w:val="2"/>
          </w:tcPr>
          <w:p w14:paraId="540B68E1" w14:textId="77777777" w:rsidR="00FC3EA1" w:rsidRDefault="003637E9" w:rsidP="00FC3EA1">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75BE54B0" w14:textId="53CD6C9A" w:rsidR="007C04D2" w:rsidRDefault="009D00BF" w:rsidP="007C04D2">
            <w:pPr>
              <w:rPr>
                <w:rFonts w:ascii="Calibri" w:eastAsia="Times New Roman" w:hAnsi="Calibri" w:cs="Calibri"/>
                <w:color w:val="000000"/>
                <w:lang w:eastAsia="en-GB"/>
              </w:rPr>
            </w:pPr>
            <w:r>
              <w:rPr>
                <w:rFonts w:ascii="Calibri" w:eastAsia="Times New Roman" w:hAnsi="Calibri" w:cs="Calibri"/>
                <w:color w:val="000000"/>
                <w:lang w:eastAsia="en-GB"/>
              </w:rPr>
              <w:t xml:space="preserve">We have a schedule of local housing needs surveys to undertake which inform the number and type of homes required in specific, mainly rural locations. </w:t>
            </w:r>
            <w:r w:rsidR="00173DF4">
              <w:rPr>
                <w:rFonts w:ascii="Calibri" w:eastAsia="Times New Roman" w:hAnsi="Calibri" w:cs="Calibri"/>
                <w:color w:val="000000"/>
                <w:lang w:eastAsia="en-GB"/>
              </w:rPr>
              <w:t>Results are used by developer colleagues and planners</w:t>
            </w:r>
            <w:r w:rsidR="00794D50">
              <w:rPr>
                <w:rFonts w:ascii="Calibri" w:eastAsia="Times New Roman" w:hAnsi="Calibri" w:cs="Calibri"/>
                <w:color w:val="000000"/>
                <w:lang w:eastAsia="en-GB"/>
              </w:rPr>
              <w:t xml:space="preserve"> to ensure need</w:t>
            </w:r>
            <w:r w:rsidR="00403D63">
              <w:rPr>
                <w:rFonts w:ascii="Calibri" w:eastAsia="Times New Roman" w:hAnsi="Calibri" w:cs="Calibri"/>
                <w:color w:val="000000"/>
                <w:lang w:eastAsia="en-GB"/>
              </w:rPr>
              <w:t xml:space="preserve"> exists and</w:t>
            </w:r>
            <w:r w:rsidR="00794D50">
              <w:rPr>
                <w:rFonts w:ascii="Calibri" w:eastAsia="Times New Roman" w:hAnsi="Calibri" w:cs="Calibri"/>
                <w:color w:val="000000"/>
                <w:lang w:eastAsia="en-GB"/>
              </w:rPr>
              <w:t xml:space="preserve"> is met. </w:t>
            </w:r>
          </w:p>
          <w:p w14:paraId="737E65F6" w14:textId="77777777" w:rsidR="007C04D2" w:rsidRDefault="007C04D2" w:rsidP="007C04D2">
            <w:pPr>
              <w:rPr>
                <w:rFonts w:ascii="Calibri" w:eastAsia="Times New Roman" w:hAnsi="Calibri" w:cs="Calibri"/>
                <w:color w:val="000000"/>
                <w:lang w:eastAsia="en-GB"/>
              </w:rPr>
            </w:pPr>
          </w:p>
          <w:p w14:paraId="54C35B13" w14:textId="21C3E6EA" w:rsidR="007C04D2" w:rsidRPr="007C04D2" w:rsidRDefault="007C04D2" w:rsidP="007C04D2">
            <w:pPr>
              <w:jc w:val="center"/>
              <w:rPr>
                <w:rFonts w:ascii="Calibri" w:eastAsia="Times New Roman" w:hAnsi="Calibri" w:cs="Calibri"/>
                <w:lang w:eastAsia="en-GB"/>
              </w:rPr>
            </w:pPr>
          </w:p>
        </w:tc>
      </w:tr>
      <w:tr w:rsidR="009D1D4B" w14:paraId="5838EB86" w14:textId="77777777" w:rsidTr="003637E9">
        <w:tc>
          <w:tcPr>
            <w:tcW w:w="9016" w:type="dxa"/>
            <w:gridSpan w:val="7"/>
            <w:shd w:val="clear" w:color="auto" w:fill="9CC2E5" w:themeFill="accent1" w:themeFillTint="99"/>
          </w:tcPr>
          <w:p w14:paraId="71D4B501" w14:textId="77777777" w:rsidR="009D1D4B" w:rsidRPr="003637E9" w:rsidRDefault="009D1D4B" w:rsidP="00FC3EA1">
            <w:pPr>
              <w:rPr>
                <w:rFonts w:ascii="Calibri" w:eastAsia="Times New Roman" w:hAnsi="Calibri" w:cs="Calibri"/>
                <w:b/>
                <w:color w:val="000000"/>
                <w:lang w:eastAsia="en-GB"/>
              </w:rPr>
            </w:pPr>
            <w:r w:rsidRPr="003637E9">
              <w:rPr>
                <w:rFonts w:ascii="Calibri" w:eastAsia="Times New Roman" w:hAnsi="Calibri" w:cs="Calibri"/>
                <w:b/>
                <w:color w:val="000000"/>
                <w:lang w:eastAsia="en-GB"/>
              </w:rPr>
              <w:t>Working together for safer homes</w:t>
            </w:r>
          </w:p>
          <w:p w14:paraId="0830EE76" w14:textId="77777777" w:rsidR="003637E9" w:rsidRPr="003637E9" w:rsidRDefault="003637E9" w:rsidP="00FC3EA1">
            <w:pPr>
              <w:rPr>
                <w:rFonts w:ascii="Calibri" w:eastAsia="Times New Roman" w:hAnsi="Calibri" w:cs="Calibri"/>
                <w:b/>
                <w:color w:val="000000"/>
                <w:lang w:eastAsia="en-GB"/>
              </w:rPr>
            </w:pPr>
          </w:p>
        </w:tc>
      </w:tr>
      <w:tr w:rsidR="00FA24E4" w14:paraId="139FD062" w14:textId="77777777" w:rsidTr="003B7572">
        <w:tc>
          <w:tcPr>
            <w:tcW w:w="702" w:type="dxa"/>
          </w:tcPr>
          <w:p w14:paraId="1AB05889"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306" w:type="dxa"/>
            <w:gridSpan w:val="2"/>
          </w:tcPr>
          <w:p w14:paraId="7A4145F9" w14:textId="77777777" w:rsidR="00FA24E4" w:rsidRDefault="00FA24E4" w:rsidP="00FA24E4">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3526693A" w14:textId="77777777" w:rsidR="00FA24E4" w:rsidRPr="009D1D4B" w:rsidRDefault="00FA24E4" w:rsidP="00FA24E4">
            <w:pPr>
              <w:rPr>
                <w:rFonts w:ascii="Calibri" w:hAnsi="Calibri" w:cs="Calibri"/>
                <w:color w:val="000000"/>
              </w:rPr>
            </w:pPr>
          </w:p>
        </w:tc>
        <w:tc>
          <w:tcPr>
            <w:tcW w:w="1353" w:type="dxa"/>
            <w:gridSpan w:val="2"/>
          </w:tcPr>
          <w:p w14:paraId="1D9FB502" w14:textId="77777777" w:rsidR="00FA24E4" w:rsidRDefault="00FA24E4" w:rsidP="00FA24E4">
            <w:pPr>
              <w:rPr>
                <w:rFonts w:ascii="Calibri" w:eastAsia="Times New Roman" w:hAnsi="Calibri" w:cs="Calibri"/>
                <w:color w:val="000000"/>
                <w:lang w:eastAsia="en-GB"/>
              </w:rPr>
            </w:pPr>
          </w:p>
        </w:tc>
        <w:tc>
          <w:tcPr>
            <w:tcW w:w="3655" w:type="dxa"/>
            <w:gridSpan w:val="2"/>
          </w:tcPr>
          <w:p w14:paraId="12EFC686" w14:textId="77777777" w:rsidR="00FA24E4" w:rsidRDefault="00FA24E4" w:rsidP="00FA24E4">
            <w:pPr>
              <w:rPr>
                <w:rFonts w:ascii="Calibri" w:eastAsia="Times New Roman" w:hAnsi="Calibri" w:cs="Calibri"/>
                <w:color w:val="000000"/>
                <w:lang w:eastAsia="en-GB"/>
              </w:rPr>
            </w:pPr>
          </w:p>
        </w:tc>
      </w:tr>
      <w:tr w:rsidR="00FA24E4" w14:paraId="729054C1" w14:textId="77777777" w:rsidTr="003637E9">
        <w:tc>
          <w:tcPr>
            <w:tcW w:w="9016" w:type="dxa"/>
            <w:gridSpan w:val="7"/>
            <w:shd w:val="clear" w:color="auto" w:fill="9CC2E5" w:themeFill="accent1" w:themeFillTint="99"/>
          </w:tcPr>
          <w:p w14:paraId="614FB924" w14:textId="77777777" w:rsidR="00FA24E4" w:rsidRPr="003637E9" w:rsidRDefault="00FA24E4" w:rsidP="00FA24E4">
            <w:pPr>
              <w:tabs>
                <w:tab w:val="left" w:pos="2430"/>
              </w:tabs>
              <w:rPr>
                <w:rFonts w:ascii="Calibri" w:eastAsia="Times New Roman" w:hAnsi="Calibri" w:cs="Calibri"/>
                <w:b/>
                <w:color w:val="000000"/>
                <w:lang w:eastAsia="en-GB"/>
              </w:rPr>
            </w:pPr>
            <w:r w:rsidRPr="003637E9">
              <w:rPr>
                <w:rFonts w:ascii="Calibri" w:eastAsia="Times New Roman" w:hAnsi="Calibri" w:cs="Calibri"/>
                <w:b/>
                <w:color w:val="000000"/>
                <w:lang w:eastAsia="en-GB"/>
              </w:rPr>
              <w:t xml:space="preserve">Infrastructure First </w:t>
            </w:r>
          </w:p>
          <w:p w14:paraId="4A7E83BA" w14:textId="77777777" w:rsidR="00FA24E4" w:rsidRDefault="00FA24E4" w:rsidP="00FA24E4">
            <w:pPr>
              <w:tabs>
                <w:tab w:val="left" w:pos="2430"/>
              </w:tabs>
              <w:rPr>
                <w:rFonts w:ascii="Calibri" w:eastAsia="Times New Roman" w:hAnsi="Calibri" w:cs="Calibri"/>
                <w:color w:val="000000"/>
                <w:lang w:eastAsia="en-GB"/>
              </w:rPr>
            </w:pPr>
          </w:p>
        </w:tc>
      </w:tr>
      <w:tr w:rsidR="00FA24E4" w14:paraId="1C558192" w14:textId="77777777" w:rsidTr="003B7572">
        <w:tc>
          <w:tcPr>
            <w:tcW w:w="702" w:type="dxa"/>
          </w:tcPr>
          <w:p w14:paraId="3CAB885E"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IF4</w:t>
            </w:r>
          </w:p>
        </w:tc>
        <w:tc>
          <w:tcPr>
            <w:tcW w:w="3306" w:type="dxa"/>
            <w:gridSpan w:val="2"/>
          </w:tcPr>
          <w:p w14:paraId="1B9B58AA" w14:textId="31A0AC4A" w:rsidR="00FA24E4" w:rsidRDefault="00FA24E4" w:rsidP="00FA24E4">
            <w:pPr>
              <w:rPr>
                <w:rFonts w:ascii="Calibri" w:hAnsi="Calibri" w:cs="Calibri"/>
                <w:color w:val="000000"/>
              </w:rPr>
            </w:pPr>
            <w:r>
              <w:rPr>
                <w:rFonts w:ascii="Calibri" w:hAnsi="Calibri" w:cs="Calibri"/>
                <w:color w:val="000000"/>
              </w:rPr>
              <w:t>Consider and understand all implications of permitted development, across all partnership organisations involved in this process of enabling deliver</w:t>
            </w:r>
            <w:r w:rsidR="00DE67A9">
              <w:rPr>
                <w:rFonts w:ascii="Calibri" w:hAnsi="Calibri" w:cs="Calibri"/>
                <w:color w:val="000000"/>
              </w:rPr>
              <w:t>y</w:t>
            </w:r>
            <w:r w:rsidR="00355A9A">
              <w:rPr>
                <w:rFonts w:ascii="Calibri" w:hAnsi="Calibri" w:cs="Calibri"/>
                <w:color w:val="000000"/>
              </w:rPr>
              <w:t xml:space="preserve"> </w:t>
            </w:r>
            <w:r>
              <w:rPr>
                <w:rFonts w:ascii="Calibri" w:hAnsi="Calibri" w:cs="Calibri"/>
                <w:color w:val="000000"/>
              </w:rPr>
              <w:t>of new homes</w:t>
            </w:r>
          </w:p>
          <w:p w14:paraId="31A5356B" w14:textId="77777777" w:rsidR="00FA24E4" w:rsidRDefault="00FA24E4" w:rsidP="00FA24E4">
            <w:pPr>
              <w:rPr>
                <w:rFonts w:ascii="Calibri" w:hAnsi="Calibri" w:cs="Calibri"/>
                <w:color w:val="000000"/>
              </w:rPr>
            </w:pPr>
          </w:p>
        </w:tc>
        <w:tc>
          <w:tcPr>
            <w:tcW w:w="1353" w:type="dxa"/>
            <w:gridSpan w:val="2"/>
          </w:tcPr>
          <w:p w14:paraId="29FF2489"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3C296D5E" w14:textId="77777777" w:rsidR="00FA24E4" w:rsidRDefault="00FA24E4" w:rsidP="00F609C4">
            <w:pPr>
              <w:rPr>
                <w:rFonts w:ascii="Calibri" w:eastAsia="Times New Roman" w:hAnsi="Calibri" w:cs="Calibri"/>
                <w:color w:val="000000"/>
                <w:lang w:eastAsia="en-GB"/>
              </w:rPr>
            </w:pPr>
          </w:p>
        </w:tc>
      </w:tr>
      <w:tr w:rsidR="00FA24E4" w14:paraId="5E0A664C" w14:textId="77777777" w:rsidTr="003B7572">
        <w:tc>
          <w:tcPr>
            <w:tcW w:w="702" w:type="dxa"/>
          </w:tcPr>
          <w:p w14:paraId="0EAD7DA6"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IF6</w:t>
            </w:r>
          </w:p>
        </w:tc>
        <w:tc>
          <w:tcPr>
            <w:tcW w:w="3306" w:type="dxa"/>
            <w:gridSpan w:val="2"/>
          </w:tcPr>
          <w:p w14:paraId="30B9EF72" w14:textId="77777777" w:rsidR="00FA24E4" w:rsidRDefault="00FA24E4" w:rsidP="00FA24E4">
            <w:pPr>
              <w:rPr>
                <w:rFonts w:ascii="Calibri" w:hAnsi="Calibri" w:cs="Calibri"/>
                <w:color w:val="000000"/>
              </w:rPr>
            </w:pPr>
            <w:r>
              <w:rPr>
                <w:rFonts w:ascii="Calibri" w:hAnsi="Calibri" w:cs="Calibri"/>
                <w:color w:val="000000"/>
              </w:rPr>
              <w:t>Support and work collectively across the KHG membership, partner agencies and professional groups including Kent Planning Officers Group to enable a single conversation with Government, to enable timely and appropriate access to funding to realise housing and infrastructure delivery ambitions</w:t>
            </w:r>
          </w:p>
          <w:p w14:paraId="6823AD59" w14:textId="77777777" w:rsidR="00FA24E4" w:rsidRDefault="00FA24E4" w:rsidP="00FA24E4">
            <w:pPr>
              <w:ind w:firstLine="720"/>
              <w:rPr>
                <w:rFonts w:ascii="Calibri" w:hAnsi="Calibri" w:cs="Calibri"/>
                <w:color w:val="000000"/>
              </w:rPr>
            </w:pPr>
          </w:p>
        </w:tc>
        <w:tc>
          <w:tcPr>
            <w:tcW w:w="1353" w:type="dxa"/>
            <w:gridSpan w:val="2"/>
          </w:tcPr>
          <w:p w14:paraId="3BBE0D5E"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0513A76B" w14:textId="77777777" w:rsidR="00FA24E4" w:rsidRDefault="00FA24E4" w:rsidP="00F609C4">
            <w:pPr>
              <w:rPr>
                <w:rFonts w:ascii="Calibri" w:eastAsia="Times New Roman" w:hAnsi="Calibri" w:cs="Calibri"/>
                <w:color w:val="000000"/>
                <w:lang w:eastAsia="en-GB"/>
              </w:rPr>
            </w:pPr>
          </w:p>
        </w:tc>
      </w:tr>
      <w:tr w:rsidR="00FA24E4" w14:paraId="794D657F" w14:textId="77777777" w:rsidTr="003637E9">
        <w:tc>
          <w:tcPr>
            <w:tcW w:w="9016" w:type="dxa"/>
            <w:gridSpan w:val="7"/>
            <w:shd w:val="clear" w:color="auto" w:fill="9CC2E5" w:themeFill="accent1" w:themeFillTint="99"/>
          </w:tcPr>
          <w:p w14:paraId="500354D0" w14:textId="77777777" w:rsidR="00FA24E4" w:rsidRDefault="00FA24E4" w:rsidP="00F21F5D">
            <w:pPr>
              <w:keepNext/>
              <w:keepLines/>
              <w:rPr>
                <w:rFonts w:ascii="Calibri" w:eastAsia="Times New Roman" w:hAnsi="Calibri" w:cs="Calibri"/>
                <w:b/>
                <w:color w:val="000000"/>
                <w:lang w:eastAsia="en-GB"/>
              </w:rPr>
            </w:pPr>
            <w:r w:rsidRPr="003637E9">
              <w:rPr>
                <w:rFonts w:ascii="Calibri" w:eastAsia="Times New Roman" w:hAnsi="Calibri" w:cs="Calibri"/>
                <w:b/>
                <w:color w:val="000000"/>
                <w:lang w:eastAsia="en-GB"/>
              </w:rPr>
              <w:lastRenderedPageBreak/>
              <w:t>Accelerating Housing Delivery</w:t>
            </w:r>
          </w:p>
          <w:p w14:paraId="2AD99C49" w14:textId="77777777" w:rsidR="00FA24E4" w:rsidRPr="003637E9" w:rsidRDefault="00FA24E4" w:rsidP="00F21F5D">
            <w:pPr>
              <w:keepNext/>
              <w:keepLines/>
              <w:rPr>
                <w:rFonts w:ascii="Calibri" w:eastAsia="Times New Roman" w:hAnsi="Calibri" w:cs="Calibri"/>
                <w:b/>
                <w:color w:val="000000"/>
                <w:lang w:eastAsia="en-GB"/>
              </w:rPr>
            </w:pPr>
          </w:p>
        </w:tc>
      </w:tr>
      <w:tr w:rsidR="00FA24E4" w14:paraId="1BBE4BD9" w14:textId="77777777" w:rsidTr="003B7572">
        <w:tc>
          <w:tcPr>
            <w:tcW w:w="702" w:type="dxa"/>
          </w:tcPr>
          <w:p w14:paraId="293BB632" w14:textId="77777777" w:rsidR="00FA24E4" w:rsidRDefault="00FA24E4" w:rsidP="00F21F5D">
            <w:pPr>
              <w:keepNext/>
              <w:keepLines/>
              <w:rPr>
                <w:rFonts w:ascii="Calibri" w:eastAsia="Times New Roman" w:hAnsi="Calibri" w:cs="Calibri"/>
                <w:color w:val="000000"/>
                <w:lang w:eastAsia="en-GB"/>
              </w:rPr>
            </w:pPr>
            <w:r>
              <w:rPr>
                <w:rFonts w:ascii="Calibri" w:eastAsia="Times New Roman" w:hAnsi="Calibri" w:cs="Calibri"/>
                <w:color w:val="000000"/>
                <w:lang w:eastAsia="en-GB"/>
              </w:rPr>
              <w:t>HD2</w:t>
            </w:r>
          </w:p>
        </w:tc>
        <w:tc>
          <w:tcPr>
            <w:tcW w:w="3306" w:type="dxa"/>
            <w:gridSpan w:val="2"/>
          </w:tcPr>
          <w:p w14:paraId="72C955C8" w14:textId="77777777" w:rsidR="00FA24E4" w:rsidRDefault="00FA24E4" w:rsidP="00F21F5D">
            <w:pPr>
              <w:keepNext/>
              <w:keepLines/>
              <w:rPr>
                <w:rFonts w:ascii="Calibri" w:hAnsi="Calibri" w:cs="Calibri"/>
                <w:color w:val="000000"/>
              </w:rPr>
            </w:pPr>
            <w:r>
              <w:rPr>
                <w:rFonts w:ascii="Calibri" w:hAnsi="Calibri" w:cs="Calibri"/>
                <w:color w:val="000000"/>
              </w:rPr>
              <w:t>Facilitate partnership working across Kent housing planning and development groups to explore how partnership working and approach can accelerate delivery of housing</w:t>
            </w:r>
          </w:p>
          <w:p w14:paraId="30ECCDA6" w14:textId="77777777" w:rsidR="00FA24E4" w:rsidRDefault="00FA24E4" w:rsidP="00F21F5D">
            <w:pPr>
              <w:keepNext/>
              <w:keepLines/>
              <w:rPr>
                <w:rFonts w:ascii="Calibri" w:hAnsi="Calibri" w:cs="Calibri"/>
                <w:color w:val="000000"/>
              </w:rPr>
            </w:pPr>
          </w:p>
        </w:tc>
        <w:tc>
          <w:tcPr>
            <w:tcW w:w="1353" w:type="dxa"/>
            <w:gridSpan w:val="2"/>
          </w:tcPr>
          <w:p w14:paraId="079A13AD" w14:textId="77777777" w:rsidR="00FA24E4" w:rsidRDefault="00FA24E4" w:rsidP="00F21F5D">
            <w:pPr>
              <w:keepNext/>
              <w:keepLines/>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3CF19A6E" w14:textId="392FB428" w:rsidR="00FA24E4" w:rsidRDefault="009D00BF" w:rsidP="009D00BF">
            <w:pPr>
              <w:keepNext/>
              <w:keepLines/>
              <w:rPr>
                <w:rFonts w:ascii="Calibri" w:eastAsia="Times New Roman" w:hAnsi="Calibri" w:cs="Calibri"/>
                <w:color w:val="000000"/>
                <w:lang w:eastAsia="en-GB"/>
              </w:rPr>
            </w:pPr>
            <w:r>
              <w:rPr>
                <w:rFonts w:ascii="Calibri" w:eastAsia="Times New Roman" w:hAnsi="Calibri" w:cs="Calibri"/>
                <w:color w:val="000000"/>
                <w:lang w:eastAsia="en-GB"/>
              </w:rPr>
              <w:t>We</w:t>
            </w:r>
            <w:r w:rsidR="00A12CCF">
              <w:rPr>
                <w:rFonts w:ascii="Calibri" w:eastAsia="Times New Roman" w:hAnsi="Calibri" w:cs="Calibri"/>
                <w:color w:val="000000"/>
                <w:lang w:eastAsia="en-GB"/>
              </w:rPr>
              <w:t xml:space="preserve"> constantly</w:t>
            </w:r>
            <w:r>
              <w:rPr>
                <w:rFonts w:ascii="Calibri" w:eastAsia="Times New Roman" w:hAnsi="Calibri" w:cs="Calibri"/>
                <w:color w:val="000000"/>
                <w:lang w:eastAsia="en-GB"/>
              </w:rPr>
              <w:t xml:space="preserve"> work in partnership with local communities, Local Authorities and developers to facilitate the development of affordable housing in rural area</w:t>
            </w:r>
            <w:r w:rsidR="00672AF5">
              <w:rPr>
                <w:rFonts w:ascii="Calibri" w:eastAsia="Times New Roman" w:hAnsi="Calibri" w:cs="Calibri"/>
                <w:color w:val="000000"/>
                <w:lang w:eastAsia="en-GB"/>
              </w:rPr>
              <w:t>s</w:t>
            </w:r>
            <w:r>
              <w:rPr>
                <w:rFonts w:ascii="Calibri" w:eastAsia="Times New Roman" w:hAnsi="Calibri" w:cs="Calibri"/>
                <w:color w:val="000000"/>
                <w:lang w:eastAsia="en-GB"/>
              </w:rPr>
              <w:t xml:space="preserve">. </w:t>
            </w:r>
          </w:p>
        </w:tc>
      </w:tr>
      <w:tr w:rsidR="00FA24E4" w14:paraId="0D32DDB4" w14:textId="77777777" w:rsidTr="003B7572">
        <w:tc>
          <w:tcPr>
            <w:tcW w:w="702" w:type="dxa"/>
          </w:tcPr>
          <w:p w14:paraId="6E708E29"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HD3</w:t>
            </w:r>
          </w:p>
        </w:tc>
        <w:tc>
          <w:tcPr>
            <w:tcW w:w="3306" w:type="dxa"/>
            <w:gridSpan w:val="2"/>
          </w:tcPr>
          <w:p w14:paraId="6F0A9BED" w14:textId="77777777" w:rsidR="00FA24E4" w:rsidRDefault="00FA24E4" w:rsidP="00FA24E4">
            <w:pPr>
              <w:rPr>
                <w:rFonts w:ascii="Calibri" w:hAnsi="Calibri" w:cs="Calibri"/>
                <w:color w:val="000000"/>
              </w:rPr>
            </w:pPr>
            <w:r>
              <w:rPr>
                <w:rFonts w:ascii="Calibri" w:hAnsi="Calibri" w:cs="Calibri"/>
                <w:color w:val="000000"/>
              </w:rPr>
              <w:t>Ensure that protocol documents that reduce barriers to delivery are fit for purpose and relevant</w:t>
            </w:r>
          </w:p>
          <w:p w14:paraId="050CB5A2" w14:textId="77777777" w:rsidR="00FA24E4" w:rsidRDefault="00FA24E4" w:rsidP="00FA24E4">
            <w:pPr>
              <w:rPr>
                <w:rFonts w:ascii="Calibri" w:hAnsi="Calibri" w:cs="Calibri"/>
                <w:color w:val="000000"/>
              </w:rPr>
            </w:pPr>
          </w:p>
        </w:tc>
        <w:tc>
          <w:tcPr>
            <w:tcW w:w="1353" w:type="dxa"/>
            <w:gridSpan w:val="2"/>
          </w:tcPr>
          <w:p w14:paraId="53A0B5EE"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5770607F" w14:textId="2BC7DEC8" w:rsidR="00FA24E4" w:rsidRDefault="009D00BF" w:rsidP="009D00BF">
            <w:pPr>
              <w:rPr>
                <w:rFonts w:ascii="Calibri" w:eastAsia="Times New Roman" w:hAnsi="Calibri" w:cs="Calibri"/>
                <w:color w:val="000000"/>
                <w:lang w:eastAsia="en-GB"/>
              </w:rPr>
            </w:pPr>
            <w:r>
              <w:rPr>
                <w:rFonts w:ascii="Calibri" w:eastAsia="Times New Roman" w:hAnsi="Calibri" w:cs="Calibri"/>
                <w:color w:val="000000"/>
                <w:lang w:eastAsia="en-GB"/>
              </w:rPr>
              <w:t xml:space="preserve">The rural housing protocol ‘Guide to developing homes in rural areas’ was updated in June 2022. </w:t>
            </w:r>
          </w:p>
        </w:tc>
      </w:tr>
      <w:tr w:rsidR="00FA24E4" w14:paraId="198F2304" w14:textId="77777777" w:rsidTr="003B7572">
        <w:tc>
          <w:tcPr>
            <w:tcW w:w="702" w:type="dxa"/>
          </w:tcPr>
          <w:p w14:paraId="736FF5A4"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HD4</w:t>
            </w:r>
          </w:p>
        </w:tc>
        <w:tc>
          <w:tcPr>
            <w:tcW w:w="3306" w:type="dxa"/>
            <w:gridSpan w:val="2"/>
          </w:tcPr>
          <w:p w14:paraId="292F77B6" w14:textId="77777777" w:rsidR="00FA24E4" w:rsidRDefault="00FA24E4" w:rsidP="00FA24E4">
            <w:pPr>
              <w:rPr>
                <w:rFonts w:ascii="Calibri" w:hAnsi="Calibri" w:cs="Calibri"/>
                <w:color w:val="000000"/>
              </w:rPr>
            </w:pPr>
            <w:r>
              <w:rPr>
                <w:rFonts w:ascii="Calibri" w:hAnsi="Calibri" w:cs="Calibri"/>
                <w:color w:val="000000"/>
              </w:rPr>
              <w:t>Explore how countywide approaches to across housing planning and development can support delivery against local plans and meet identified housing need</w:t>
            </w:r>
          </w:p>
          <w:p w14:paraId="1D104095" w14:textId="77777777" w:rsidR="00FA24E4" w:rsidRDefault="00FA24E4" w:rsidP="00FA24E4">
            <w:pPr>
              <w:rPr>
                <w:rFonts w:ascii="Calibri" w:hAnsi="Calibri" w:cs="Calibri"/>
                <w:color w:val="000000"/>
              </w:rPr>
            </w:pPr>
          </w:p>
        </w:tc>
        <w:tc>
          <w:tcPr>
            <w:tcW w:w="1353" w:type="dxa"/>
            <w:gridSpan w:val="2"/>
          </w:tcPr>
          <w:p w14:paraId="138A6834"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3FCC3EB9" w14:textId="563EB654" w:rsidR="00B313CF" w:rsidRDefault="00B313CF" w:rsidP="00B313CF">
            <w:pPr>
              <w:rPr>
                <w:rFonts w:ascii="Calibri" w:eastAsia="Times New Roman" w:hAnsi="Calibri" w:cs="Calibri"/>
                <w:color w:val="000000"/>
                <w:lang w:eastAsia="en-GB"/>
              </w:rPr>
            </w:pPr>
            <w:r>
              <w:rPr>
                <w:rFonts w:ascii="Calibri" w:eastAsia="Times New Roman" w:hAnsi="Calibri" w:cs="Calibri"/>
                <w:color w:val="000000"/>
                <w:lang w:eastAsia="en-GB"/>
              </w:rPr>
              <w:t>We try to ensure countywide approaches through the RACE steering group</w:t>
            </w:r>
            <w:r w:rsidR="00B2145C">
              <w:rPr>
                <w:rFonts w:ascii="Calibri" w:eastAsia="Times New Roman" w:hAnsi="Calibri" w:cs="Calibri"/>
                <w:color w:val="000000"/>
                <w:lang w:eastAsia="en-GB"/>
              </w:rPr>
              <w:t xml:space="preserve"> of LA and RP partners. </w:t>
            </w:r>
          </w:p>
        </w:tc>
      </w:tr>
      <w:tr w:rsidR="00FA24E4" w14:paraId="742A0EF5" w14:textId="77777777" w:rsidTr="003B7572">
        <w:tc>
          <w:tcPr>
            <w:tcW w:w="702" w:type="dxa"/>
          </w:tcPr>
          <w:p w14:paraId="233F01D5"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HD5</w:t>
            </w:r>
          </w:p>
        </w:tc>
        <w:tc>
          <w:tcPr>
            <w:tcW w:w="3306" w:type="dxa"/>
            <w:gridSpan w:val="2"/>
          </w:tcPr>
          <w:p w14:paraId="433616C1" w14:textId="77777777" w:rsidR="00FA24E4" w:rsidRDefault="00FA24E4" w:rsidP="00FA24E4">
            <w:pPr>
              <w:rPr>
                <w:rFonts w:ascii="Calibri" w:hAnsi="Calibri" w:cs="Calibri"/>
                <w:color w:val="000000"/>
              </w:rPr>
            </w:pPr>
            <w:r>
              <w:rPr>
                <w:rFonts w:ascii="Calibri" w:hAnsi="Calibri" w:cs="Calibri"/>
                <w:color w:val="000000"/>
              </w:rPr>
              <w:t>Share and learn from best practice, providing a platform and networking opportunities across housing planning and development sectors in Kent, Medway and neighbouring county areas, including peer support opportunities</w:t>
            </w:r>
          </w:p>
          <w:p w14:paraId="0D13C3CE" w14:textId="77777777" w:rsidR="00FA24E4" w:rsidRDefault="00FA24E4" w:rsidP="00FA24E4">
            <w:pPr>
              <w:rPr>
                <w:rFonts w:ascii="Calibri" w:hAnsi="Calibri" w:cs="Calibri"/>
                <w:color w:val="000000"/>
              </w:rPr>
            </w:pPr>
          </w:p>
        </w:tc>
        <w:tc>
          <w:tcPr>
            <w:tcW w:w="1353" w:type="dxa"/>
            <w:gridSpan w:val="2"/>
          </w:tcPr>
          <w:p w14:paraId="4A4B7992"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4C83B7AC" w14:textId="35320386" w:rsidR="00FA24E4" w:rsidRDefault="00FA24E4" w:rsidP="0081765B">
            <w:pPr>
              <w:rPr>
                <w:rFonts w:ascii="Calibri" w:eastAsia="Times New Roman" w:hAnsi="Calibri" w:cs="Calibri"/>
                <w:color w:val="000000"/>
                <w:lang w:eastAsia="en-GB"/>
              </w:rPr>
            </w:pPr>
          </w:p>
        </w:tc>
      </w:tr>
      <w:tr w:rsidR="00FA24E4" w14:paraId="0DC8F01A" w14:textId="77777777" w:rsidTr="003B7572">
        <w:tc>
          <w:tcPr>
            <w:tcW w:w="702" w:type="dxa"/>
          </w:tcPr>
          <w:p w14:paraId="6F425A7D"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HD8</w:t>
            </w:r>
          </w:p>
        </w:tc>
        <w:tc>
          <w:tcPr>
            <w:tcW w:w="3306" w:type="dxa"/>
            <w:gridSpan w:val="2"/>
          </w:tcPr>
          <w:p w14:paraId="5F964E24" w14:textId="77777777" w:rsidR="00FA24E4" w:rsidRDefault="00FA24E4" w:rsidP="00FA24E4">
            <w:pPr>
              <w:tabs>
                <w:tab w:val="left" w:pos="1000"/>
              </w:tabs>
              <w:rPr>
                <w:rFonts w:ascii="Calibri" w:hAnsi="Calibri" w:cs="Calibri"/>
                <w:color w:val="000000"/>
              </w:rPr>
            </w:pPr>
            <w:r>
              <w:rPr>
                <w:rFonts w:ascii="Calibri" w:hAnsi="Calibri" w:cs="Calibri"/>
                <w:color w:val="000000"/>
              </w:rPr>
              <w:t>Support, promote and influence the delivery of housing in rural communities, exploring all funding resource and by sharing best practice and learning</w:t>
            </w:r>
          </w:p>
          <w:p w14:paraId="2440A81A" w14:textId="77777777" w:rsidR="00FA24E4" w:rsidRDefault="00FA24E4" w:rsidP="00FA24E4">
            <w:pPr>
              <w:tabs>
                <w:tab w:val="left" w:pos="1000"/>
              </w:tabs>
              <w:rPr>
                <w:rFonts w:ascii="Calibri" w:hAnsi="Calibri" w:cs="Calibri"/>
                <w:color w:val="000000"/>
              </w:rPr>
            </w:pPr>
          </w:p>
        </w:tc>
        <w:tc>
          <w:tcPr>
            <w:tcW w:w="1353" w:type="dxa"/>
            <w:gridSpan w:val="2"/>
          </w:tcPr>
          <w:p w14:paraId="5F7DABEF"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7339DC64" w14:textId="3C583AA7" w:rsidR="00FA24E4" w:rsidRDefault="00474CDF" w:rsidP="005439E5">
            <w:pPr>
              <w:rPr>
                <w:rFonts w:ascii="Calibri" w:eastAsia="Times New Roman" w:hAnsi="Calibri" w:cs="Calibri"/>
                <w:color w:val="000000"/>
                <w:lang w:eastAsia="en-GB"/>
              </w:rPr>
            </w:pPr>
            <w:r>
              <w:rPr>
                <w:rFonts w:ascii="Calibri" w:eastAsia="Times New Roman" w:hAnsi="Calibri" w:cs="Calibri"/>
                <w:color w:val="000000"/>
                <w:lang w:eastAsia="en-GB"/>
              </w:rPr>
              <w:t xml:space="preserve">Our </w:t>
            </w:r>
            <w:r w:rsidR="005439E5">
              <w:rPr>
                <w:rFonts w:ascii="Calibri" w:eastAsia="Times New Roman" w:hAnsi="Calibri" w:cs="Calibri"/>
                <w:color w:val="000000"/>
                <w:lang w:eastAsia="en-GB"/>
              </w:rPr>
              <w:t xml:space="preserve">steering group </w:t>
            </w:r>
            <w:r w:rsidR="00736E22">
              <w:rPr>
                <w:rFonts w:ascii="Calibri" w:eastAsia="Times New Roman" w:hAnsi="Calibri" w:cs="Calibri"/>
                <w:color w:val="000000"/>
                <w:lang w:eastAsia="en-GB"/>
              </w:rPr>
              <w:t xml:space="preserve">of local authority and RP partners where learning and best practice is shared. </w:t>
            </w:r>
          </w:p>
        </w:tc>
      </w:tr>
      <w:tr w:rsidR="00FA24E4" w14:paraId="65F7AAE2" w14:textId="77777777" w:rsidTr="00042B4E">
        <w:trPr>
          <w:cantSplit/>
        </w:trPr>
        <w:tc>
          <w:tcPr>
            <w:tcW w:w="9016" w:type="dxa"/>
            <w:gridSpan w:val="7"/>
            <w:shd w:val="clear" w:color="auto" w:fill="9CC2E5" w:themeFill="accent1" w:themeFillTint="99"/>
          </w:tcPr>
          <w:p w14:paraId="70AFCE03" w14:textId="77777777" w:rsidR="00FA24E4" w:rsidRDefault="00FA24E4" w:rsidP="00FA24E4">
            <w:pPr>
              <w:rPr>
                <w:rFonts w:ascii="Calibri" w:eastAsia="Times New Roman" w:hAnsi="Calibri" w:cs="Calibri"/>
                <w:b/>
                <w:color w:val="000000"/>
                <w:lang w:eastAsia="en-GB"/>
              </w:rPr>
            </w:pPr>
            <w:r w:rsidRPr="003637E9">
              <w:rPr>
                <w:rFonts w:ascii="Calibri" w:eastAsia="Times New Roman" w:hAnsi="Calibri" w:cs="Calibri"/>
                <w:b/>
                <w:color w:val="000000"/>
                <w:lang w:eastAsia="en-GB"/>
              </w:rPr>
              <w:t>Affordability</w:t>
            </w:r>
          </w:p>
          <w:p w14:paraId="237F4E9D" w14:textId="77777777" w:rsidR="00FA24E4" w:rsidRPr="003637E9" w:rsidRDefault="00FA24E4" w:rsidP="00FA24E4">
            <w:pPr>
              <w:rPr>
                <w:rFonts w:ascii="Calibri" w:eastAsia="Times New Roman" w:hAnsi="Calibri" w:cs="Calibri"/>
                <w:b/>
                <w:color w:val="000000"/>
                <w:lang w:eastAsia="en-GB"/>
              </w:rPr>
            </w:pPr>
          </w:p>
        </w:tc>
      </w:tr>
      <w:tr w:rsidR="00FA24E4" w14:paraId="7B01CB67" w14:textId="77777777" w:rsidTr="003B7572">
        <w:tc>
          <w:tcPr>
            <w:tcW w:w="702" w:type="dxa"/>
          </w:tcPr>
          <w:p w14:paraId="696395BD"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A1</w:t>
            </w:r>
          </w:p>
        </w:tc>
        <w:tc>
          <w:tcPr>
            <w:tcW w:w="3306" w:type="dxa"/>
            <w:gridSpan w:val="2"/>
          </w:tcPr>
          <w:p w14:paraId="2C74543F" w14:textId="77777777" w:rsidR="00FA24E4" w:rsidRDefault="00FA24E4" w:rsidP="00FA24E4">
            <w:pPr>
              <w:rPr>
                <w:rFonts w:ascii="Calibri" w:hAnsi="Calibri" w:cs="Calibri"/>
                <w:color w:val="000000"/>
              </w:rPr>
            </w:pPr>
            <w:r>
              <w:rPr>
                <w:rFonts w:ascii="Calibri" w:hAnsi="Calibri" w:cs="Calibri"/>
                <w:color w:val="000000"/>
              </w:rPr>
              <w:t>Support, lobby and influence national policy reform and decision making to ensure that affordable housing is delivered across a range of tenures, and reflects the local housing market and associated costs</w:t>
            </w:r>
          </w:p>
          <w:p w14:paraId="05D0AD89" w14:textId="77777777" w:rsidR="00FA24E4" w:rsidRDefault="00FA24E4" w:rsidP="00FA24E4">
            <w:pPr>
              <w:tabs>
                <w:tab w:val="left" w:pos="1000"/>
              </w:tabs>
              <w:rPr>
                <w:rFonts w:ascii="Calibri" w:hAnsi="Calibri" w:cs="Calibri"/>
                <w:color w:val="000000"/>
              </w:rPr>
            </w:pPr>
          </w:p>
        </w:tc>
        <w:tc>
          <w:tcPr>
            <w:tcW w:w="1353" w:type="dxa"/>
            <w:gridSpan w:val="2"/>
          </w:tcPr>
          <w:p w14:paraId="319E2089" w14:textId="77777777" w:rsidR="00FA24E4" w:rsidRDefault="00FA24E4" w:rsidP="00FA24E4">
            <w:pPr>
              <w:rPr>
                <w:rFonts w:ascii="Calibri" w:eastAsia="Times New Roman" w:hAnsi="Calibri" w:cs="Calibri"/>
                <w:color w:val="000000"/>
                <w:lang w:eastAsia="en-GB"/>
              </w:rPr>
            </w:pPr>
            <w:r>
              <w:rPr>
                <w:rFonts w:ascii="Calibri" w:eastAsia="Times New Roman" w:hAnsi="Calibri" w:cs="Calibri"/>
                <w:color w:val="000000"/>
                <w:lang w:eastAsia="en-GB"/>
              </w:rPr>
              <w:t>For new homes</w:t>
            </w:r>
          </w:p>
        </w:tc>
        <w:tc>
          <w:tcPr>
            <w:tcW w:w="3655" w:type="dxa"/>
            <w:gridSpan w:val="2"/>
          </w:tcPr>
          <w:p w14:paraId="1A52F15A" w14:textId="55227A93" w:rsidR="00FA24E4" w:rsidRDefault="00FA24E4" w:rsidP="00045ACC">
            <w:pPr>
              <w:rPr>
                <w:rFonts w:ascii="Calibri" w:eastAsia="Times New Roman" w:hAnsi="Calibri" w:cs="Calibri"/>
                <w:color w:val="000000"/>
                <w:lang w:eastAsia="en-GB"/>
              </w:rPr>
            </w:pPr>
          </w:p>
        </w:tc>
      </w:tr>
      <w:tr w:rsidR="00DE67A9" w14:paraId="1F1DF460" w14:textId="77777777" w:rsidTr="003B7572">
        <w:tc>
          <w:tcPr>
            <w:tcW w:w="702" w:type="dxa"/>
          </w:tcPr>
          <w:p w14:paraId="18C4D075" w14:textId="77777777" w:rsidR="00DE67A9" w:rsidRDefault="00DE67A9" w:rsidP="00FA24E4">
            <w:pPr>
              <w:rPr>
                <w:rFonts w:ascii="Calibri" w:eastAsia="Times New Roman" w:hAnsi="Calibri" w:cs="Calibri"/>
                <w:color w:val="000000"/>
                <w:lang w:eastAsia="en-GB"/>
              </w:rPr>
            </w:pPr>
            <w:r>
              <w:rPr>
                <w:rFonts w:ascii="Calibri" w:eastAsia="Times New Roman" w:hAnsi="Calibri" w:cs="Calibri"/>
                <w:color w:val="000000"/>
                <w:lang w:eastAsia="en-GB"/>
              </w:rPr>
              <w:t>A7</w:t>
            </w:r>
          </w:p>
          <w:p w14:paraId="64F84BF8" w14:textId="77777777" w:rsidR="00F21F5D" w:rsidRPr="00F21F5D" w:rsidRDefault="00F21F5D" w:rsidP="00F21F5D">
            <w:pPr>
              <w:rPr>
                <w:rFonts w:ascii="Calibri" w:eastAsia="Times New Roman" w:hAnsi="Calibri" w:cs="Calibri"/>
                <w:lang w:eastAsia="en-GB"/>
              </w:rPr>
            </w:pPr>
          </w:p>
          <w:p w14:paraId="78F964A0" w14:textId="77777777" w:rsidR="00F21F5D" w:rsidRDefault="00F21F5D" w:rsidP="00F21F5D">
            <w:pPr>
              <w:rPr>
                <w:rFonts w:ascii="Calibri" w:eastAsia="Times New Roman" w:hAnsi="Calibri" w:cs="Calibri"/>
                <w:color w:val="000000"/>
                <w:lang w:eastAsia="en-GB"/>
              </w:rPr>
            </w:pPr>
          </w:p>
          <w:p w14:paraId="28E099F1" w14:textId="77777777" w:rsidR="00F21F5D" w:rsidRDefault="00F21F5D" w:rsidP="00F21F5D">
            <w:pPr>
              <w:rPr>
                <w:rFonts w:ascii="Calibri" w:eastAsia="Times New Roman" w:hAnsi="Calibri" w:cs="Calibri"/>
                <w:color w:val="000000"/>
                <w:lang w:eastAsia="en-GB"/>
              </w:rPr>
            </w:pPr>
          </w:p>
          <w:p w14:paraId="2281D39A" w14:textId="12963E4C" w:rsidR="00F21F5D" w:rsidRPr="00F21F5D" w:rsidRDefault="00F21F5D" w:rsidP="00F21F5D">
            <w:pPr>
              <w:rPr>
                <w:rFonts w:ascii="Calibri" w:eastAsia="Times New Roman" w:hAnsi="Calibri" w:cs="Calibri"/>
                <w:lang w:eastAsia="en-GB"/>
              </w:rPr>
            </w:pPr>
          </w:p>
        </w:tc>
        <w:tc>
          <w:tcPr>
            <w:tcW w:w="3306" w:type="dxa"/>
            <w:gridSpan w:val="2"/>
          </w:tcPr>
          <w:p w14:paraId="06E7A4E7" w14:textId="77777777" w:rsidR="00DE67A9" w:rsidRPr="00DE67A9" w:rsidRDefault="00DE67A9" w:rsidP="00DE67A9">
            <w:pPr>
              <w:rPr>
                <w:rFonts w:ascii="Calibri" w:hAnsi="Calibri" w:cs="Calibri"/>
                <w:color w:val="000000"/>
              </w:rPr>
            </w:pPr>
            <w:r w:rsidRPr="00DE67A9">
              <w:rPr>
                <w:rFonts w:ascii="Calibri" w:hAnsi="Calibri" w:cs="Calibri"/>
                <w:color w:val="000000"/>
              </w:rPr>
              <w:t xml:space="preserve">Understand and influence the development of </w:t>
            </w:r>
          </w:p>
          <w:p w14:paraId="7FADF93F" w14:textId="77777777" w:rsidR="00DE67A9" w:rsidRPr="00DE67A9" w:rsidRDefault="00DE67A9" w:rsidP="00DE67A9">
            <w:pPr>
              <w:rPr>
                <w:rFonts w:ascii="Calibri" w:hAnsi="Calibri" w:cs="Calibri"/>
                <w:color w:val="000000"/>
              </w:rPr>
            </w:pPr>
            <w:r w:rsidRPr="00DE67A9">
              <w:rPr>
                <w:rFonts w:ascii="Calibri" w:hAnsi="Calibri" w:cs="Calibri"/>
                <w:color w:val="000000"/>
              </w:rPr>
              <w:t xml:space="preserve">affordable housing that is flexible to meet changing </w:t>
            </w:r>
          </w:p>
          <w:p w14:paraId="503FE317" w14:textId="77777777" w:rsidR="00DE67A9" w:rsidRPr="00DE67A9" w:rsidRDefault="00DE67A9" w:rsidP="00DE67A9">
            <w:pPr>
              <w:rPr>
                <w:rFonts w:ascii="Calibri" w:hAnsi="Calibri" w:cs="Calibri"/>
                <w:color w:val="000000"/>
              </w:rPr>
            </w:pPr>
            <w:r w:rsidRPr="00DE67A9">
              <w:rPr>
                <w:rFonts w:ascii="Calibri" w:hAnsi="Calibri" w:cs="Calibri"/>
                <w:color w:val="000000"/>
              </w:rPr>
              <w:t xml:space="preserve">needs, including meeting the needs of those with </w:t>
            </w:r>
          </w:p>
          <w:p w14:paraId="00DA647F" w14:textId="77777777" w:rsidR="00DE67A9" w:rsidRDefault="00DE67A9" w:rsidP="00DE67A9">
            <w:pPr>
              <w:rPr>
                <w:rFonts w:ascii="Calibri" w:hAnsi="Calibri" w:cs="Calibri"/>
                <w:color w:val="000000"/>
              </w:rPr>
            </w:pPr>
            <w:r w:rsidRPr="00DE67A9">
              <w:rPr>
                <w:rFonts w:ascii="Calibri" w:hAnsi="Calibri" w:cs="Calibri"/>
                <w:color w:val="000000"/>
              </w:rPr>
              <w:t>physical disability</w:t>
            </w:r>
          </w:p>
          <w:p w14:paraId="699F8067" w14:textId="44580C3D" w:rsidR="00F21F5D" w:rsidRDefault="00F21F5D" w:rsidP="00DE67A9">
            <w:pPr>
              <w:rPr>
                <w:rFonts w:ascii="Calibri" w:hAnsi="Calibri" w:cs="Calibri"/>
                <w:color w:val="000000"/>
              </w:rPr>
            </w:pPr>
          </w:p>
        </w:tc>
        <w:tc>
          <w:tcPr>
            <w:tcW w:w="1353" w:type="dxa"/>
            <w:gridSpan w:val="2"/>
          </w:tcPr>
          <w:p w14:paraId="270DD7DF" w14:textId="77777777" w:rsidR="00DE67A9" w:rsidRDefault="00DE67A9" w:rsidP="00FA24E4">
            <w:pPr>
              <w:rPr>
                <w:rFonts w:ascii="Calibri" w:eastAsia="Times New Roman" w:hAnsi="Calibri" w:cs="Calibri"/>
                <w:color w:val="000000"/>
                <w:lang w:eastAsia="en-GB"/>
              </w:rPr>
            </w:pPr>
          </w:p>
        </w:tc>
        <w:tc>
          <w:tcPr>
            <w:tcW w:w="3655" w:type="dxa"/>
            <w:gridSpan w:val="2"/>
          </w:tcPr>
          <w:p w14:paraId="591F416E" w14:textId="71CC33E0" w:rsidR="00DE67A9" w:rsidRDefault="003E68EB" w:rsidP="003E68EB">
            <w:pPr>
              <w:rPr>
                <w:rFonts w:ascii="Calibri" w:eastAsia="Times New Roman" w:hAnsi="Calibri" w:cs="Calibri"/>
                <w:color w:val="000000"/>
                <w:lang w:eastAsia="en-GB"/>
              </w:rPr>
            </w:pPr>
            <w:r w:rsidRPr="00C54286">
              <w:rPr>
                <w:rFonts w:ascii="Calibri" w:eastAsia="Times New Roman" w:hAnsi="Calibri" w:cs="Calibri"/>
                <w:color w:val="000000"/>
                <w:lang w:eastAsia="en-GB"/>
              </w:rPr>
              <w:t xml:space="preserve">Our housing need surveys </w:t>
            </w:r>
            <w:r w:rsidR="00B8685D" w:rsidRPr="00C54286">
              <w:rPr>
                <w:rFonts w:ascii="Calibri" w:eastAsia="Times New Roman" w:hAnsi="Calibri" w:cs="Calibri"/>
                <w:color w:val="000000"/>
                <w:lang w:eastAsia="en-GB"/>
              </w:rPr>
              <w:t xml:space="preserve">identify affordable housing need including those </w:t>
            </w:r>
            <w:r w:rsidR="007F2076" w:rsidRPr="00C54286">
              <w:rPr>
                <w:rFonts w:ascii="Calibri" w:eastAsia="Times New Roman" w:hAnsi="Calibri" w:cs="Calibri"/>
                <w:color w:val="000000"/>
                <w:lang w:eastAsia="en-GB"/>
              </w:rPr>
              <w:t xml:space="preserve">of all ages </w:t>
            </w:r>
            <w:r w:rsidR="00B8685D" w:rsidRPr="00C54286">
              <w:rPr>
                <w:rFonts w:ascii="Calibri" w:eastAsia="Times New Roman" w:hAnsi="Calibri" w:cs="Calibri"/>
                <w:color w:val="000000"/>
                <w:lang w:eastAsia="en-GB"/>
              </w:rPr>
              <w:t>with a</w:t>
            </w:r>
            <w:r w:rsidR="007F2076" w:rsidRPr="00C54286">
              <w:rPr>
                <w:rFonts w:ascii="Calibri" w:eastAsia="Times New Roman" w:hAnsi="Calibri" w:cs="Calibri"/>
                <w:color w:val="000000"/>
                <w:lang w:eastAsia="en-GB"/>
              </w:rPr>
              <w:t xml:space="preserve"> physical</w:t>
            </w:r>
            <w:r w:rsidR="00B8685D" w:rsidRPr="00C54286">
              <w:rPr>
                <w:rFonts w:ascii="Calibri" w:eastAsia="Times New Roman" w:hAnsi="Calibri" w:cs="Calibri"/>
                <w:color w:val="000000"/>
                <w:lang w:eastAsia="en-GB"/>
              </w:rPr>
              <w:t xml:space="preserve"> disability</w:t>
            </w:r>
            <w:r w:rsidR="007F2076" w:rsidRPr="00C54286">
              <w:rPr>
                <w:rFonts w:ascii="Calibri" w:eastAsia="Times New Roman" w:hAnsi="Calibri" w:cs="Calibri"/>
                <w:color w:val="000000"/>
                <w:lang w:eastAsia="en-GB"/>
              </w:rPr>
              <w:t>.</w:t>
            </w:r>
          </w:p>
        </w:tc>
      </w:tr>
      <w:tr w:rsidR="003B7572" w14:paraId="724B3DEA" w14:textId="77777777" w:rsidTr="003B7572">
        <w:tc>
          <w:tcPr>
            <w:tcW w:w="917" w:type="dxa"/>
            <w:gridSpan w:val="2"/>
          </w:tcPr>
          <w:p w14:paraId="6917897C" w14:textId="77777777" w:rsidR="003B7572" w:rsidRDefault="003B7572" w:rsidP="005D6E09">
            <w:pPr>
              <w:rPr>
                <w:rFonts w:ascii="Calibri" w:eastAsia="Times New Roman" w:hAnsi="Calibri" w:cs="Calibri"/>
                <w:color w:val="000000"/>
                <w:lang w:eastAsia="en-GB"/>
              </w:rPr>
            </w:pPr>
            <w:r>
              <w:rPr>
                <w:rFonts w:ascii="Calibri" w:eastAsia="Times New Roman" w:hAnsi="Calibri" w:cs="Calibri"/>
                <w:color w:val="000000"/>
                <w:lang w:eastAsia="en-GB"/>
              </w:rPr>
              <w:lastRenderedPageBreak/>
              <w:t>Any other matters</w:t>
            </w:r>
          </w:p>
        </w:tc>
        <w:tc>
          <w:tcPr>
            <w:tcW w:w="3218" w:type="dxa"/>
            <w:gridSpan w:val="2"/>
          </w:tcPr>
          <w:p w14:paraId="47025035" w14:textId="77777777" w:rsidR="003B7572" w:rsidRPr="00DE67A9" w:rsidRDefault="003B7572" w:rsidP="005D6E09">
            <w:pPr>
              <w:rPr>
                <w:rFonts w:ascii="Calibri" w:hAnsi="Calibri" w:cs="Calibri"/>
                <w:color w:val="000000"/>
              </w:rPr>
            </w:pPr>
            <w:r>
              <w:rPr>
                <w:rFonts w:ascii="Calibri" w:hAnsi="Calibri" w:cs="Calibri"/>
                <w:color w:val="000000"/>
              </w:rPr>
              <w:t>Work undertaken since July report.</w:t>
            </w:r>
          </w:p>
        </w:tc>
        <w:tc>
          <w:tcPr>
            <w:tcW w:w="1352" w:type="dxa"/>
            <w:gridSpan w:val="2"/>
          </w:tcPr>
          <w:p w14:paraId="3ECBEC40" w14:textId="77777777" w:rsidR="003B7572" w:rsidRDefault="003B7572" w:rsidP="005D6E09">
            <w:pPr>
              <w:rPr>
                <w:rFonts w:ascii="Calibri" w:eastAsia="Times New Roman" w:hAnsi="Calibri" w:cs="Calibri"/>
                <w:color w:val="000000"/>
                <w:lang w:eastAsia="en-GB"/>
              </w:rPr>
            </w:pPr>
          </w:p>
        </w:tc>
        <w:tc>
          <w:tcPr>
            <w:tcW w:w="3529" w:type="dxa"/>
          </w:tcPr>
          <w:p w14:paraId="30333BC7" w14:textId="77777777" w:rsidR="003B7572"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Survey programme commenced Sep 23</w:t>
            </w:r>
          </w:p>
          <w:p w14:paraId="388903AE" w14:textId="77777777" w:rsidR="003B7572"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Older persons cohousing work underway.</w:t>
            </w:r>
          </w:p>
          <w:p w14:paraId="7B5F0180" w14:textId="77777777" w:rsidR="003B7572"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Website and social media work.</w:t>
            </w:r>
          </w:p>
          <w:p w14:paraId="06C97CCC" w14:textId="77777777" w:rsidR="003B7572"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Community led housing work plans underway.</w:t>
            </w:r>
          </w:p>
          <w:p w14:paraId="7AC543CC" w14:textId="77777777" w:rsidR="003B7572"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Defra funding for rural housing work being investigated.</w:t>
            </w:r>
          </w:p>
          <w:p w14:paraId="7CC6D0F5" w14:textId="77777777" w:rsidR="003B7572" w:rsidRPr="00BE061D" w:rsidRDefault="003B7572" w:rsidP="003B7572">
            <w:pPr>
              <w:pStyle w:val="ListParagraph"/>
              <w:numPr>
                <w:ilvl w:val="0"/>
                <w:numId w:val="1"/>
              </w:numPr>
              <w:rPr>
                <w:rFonts w:ascii="Calibri" w:eastAsia="Times New Roman" w:hAnsi="Calibri" w:cs="Calibri"/>
                <w:color w:val="000000"/>
                <w:lang w:eastAsia="en-GB"/>
              </w:rPr>
            </w:pPr>
            <w:r>
              <w:rPr>
                <w:rFonts w:ascii="Calibri" w:eastAsia="Times New Roman" w:hAnsi="Calibri" w:cs="Calibri"/>
                <w:color w:val="000000"/>
                <w:lang w:eastAsia="en-GB"/>
              </w:rPr>
              <w:t>First steering group meeting held.</w:t>
            </w:r>
          </w:p>
        </w:tc>
      </w:tr>
    </w:tbl>
    <w:p w14:paraId="3D3BFE66" w14:textId="77777777" w:rsidR="00FC3EA1" w:rsidRPr="00FC3EA1" w:rsidRDefault="00FC3EA1">
      <w:pPr>
        <w:rPr>
          <w:b/>
        </w:rPr>
      </w:pPr>
    </w:p>
    <w:sectPr w:rsidR="00FC3EA1" w:rsidRPr="00FC3EA1" w:rsidSect="00F21F5D">
      <w:pgSz w:w="11906" w:h="16838"/>
      <w:pgMar w:top="113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947A8"/>
    <w:multiLevelType w:val="hybridMultilevel"/>
    <w:tmpl w:val="66820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42B4E"/>
    <w:rsid w:val="00045ACC"/>
    <w:rsid w:val="0006578D"/>
    <w:rsid w:val="0009574D"/>
    <w:rsid w:val="000B7DE5"/>
    <w:rsid w:val="00154E81"/>
    <w:rsid w:val="00173DF4"/>
    <w:rsid w:val="00297548"/>
    <w:rsid w:val="003542AD"/>
    <w:rsid w:val="00355A9A"/>
    <w:rsid w:val="003637E9"/>
    <w:rsid w:val="003B7572"/>
    <w:rsid w:val="003E68EB"/>
    <w:rsid w:val="00403D63"/>
    <w:rsid w:val="00474CDF"/>
    <w:rsid w:val="00517B7C"/>
    <w:rsid w:val="005439E5"/>
    <w:rsid w:val="00570344"/>
    <w:rsid w:val="005769A8"/>
    <w:rsid w:val="006238CB"/>
    <w:rsid w:val="00672AF5"/>
    <w:rsid w:val="00736E22"/>
    <w:rsid w:val="00767F68"/>
    <w:rsid w:val="00794D50"/>
    <w:rsid w:val="007C04D2"/>
    <w:rsid w:val="007F2076"/>
    <w:rsid w:val="0081765B"/>
    <w:rsid w:val="009845D3"/>
    <w:rsid w:val="009D00BF"/>
    <w:rsid w:val="009D1D4B"/>
    <w:rsid w:val="00A12CCF"/>
    <w:rsid w:val="00A32AD2"/>
    <w:rsid w:val="00AB3F48"/>
    <w:rsid w:val="00B2145C"/>
    <w:rsid w:val="00B313CF"/>
    <w:rsid w:val="00B66F0D"/>
    <w:rsid w:val="00B84FB7"/>
    <w:rsid w:val="00B8685D"/>
    <w:rsid w:val="00BA4B08"/>
    <w:rsid w:val="00BD3A63"/>
    <w:rsid w:val="00C26730"/>
    <w:rsid w:val="00C54286"/>
    <w:rsid w:val="00D02BF9"/>
    <w:rsid w:val="00DE67A9"/>
    <w:rsid w:val="00E33E0A"/>
    <w:rsid w:val="00F21F5D"/>
    <w:rsid w:val="00F609C4"/>
    <w:rsid w:val="00FA24E4"/>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6837"/>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04D2"/>
    <w:rPr>
      <w:color w:val="0563C1" w:themeColor="hyperlink"/>
      <w:u w:val="single"/>
    </w:rPr>
  </w:style>
  <w:style w:type="character" w:customStyle="1" w:styleId="UnresolvedMention1">
    <w:name w:val="Unresolved Mention1"/>
    <w:basedOn w:val="DefaultParagraphFont"/>
    <w:uiPriority w:val="99"/>
    <w:semiHidden/>
    <w:unhideWhenUsed/>
    <w:rsid w:val="007C04D2"/>
    <w:rPr>
      <w:color w:val="605E5C"/>
      <w:shd w:val="clear" w:color="auto" w:fill="E1DFDD"/>
    </w:rPr>
  </w:style>
  <w:style w:type="paragraph" w:styleId="ListParagraph">
    <w:name w:val="List Paragraph"/>
    <w:basedOn w:val="Normal"/>
    <w:uiPriority w:val="34"/>
    <w:qFormat/>
    <w:rsid w:val="003B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2218171">
      <w:bodyDiv w:val="1"/>
      <w:marLeft w:val="0"/>
      <w:marRight w:val="0"/>
      <w:marTop w:val="0"/>
      <w:marBottom w:val="0"/>
      <w:divBdr>
        <w:top w:val="none" w:sz="0" w:space="0" w:color="auto"/>
        <w:left w:val="none" w:sz="0" w:space="0" w:color="auto"/>
        <w:bottom w:val="none" w:sz="0" w:space="0" w:color="auto"/>
        <w:right w:val="none" w:sz="0" w:space="0" w:color="auto"/>
      </w:divBdr>
    </w:div>
    <w:div w:id="1708065790">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enthousinggroup.org.uk/assets/uploads/large/FINAL-Kent-Medway-Housing-Strategy-2020-2025-29.7.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2023-09-28T10:09:00Z</dcterms:created>
  <dcterms:modified xsi:type="dcterms:W3CDTF">2023-09-28T10:09:00Z</dcterms:modified>
</cp:coreProperties>
</file>