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143B" w14:textId="164EE6EB" w:rsidR="00FC3EA1" w:rsidRPr="000B7DE5" w:rsidRDefault="005D44FE" w:rsidP="00FC3EA1">
      <w:bookmarkStart w:id="0" w:name="_GoBack"/>
      <w:bookmarkEnd w:id="0"/>
      <w:r>
        <w:t xml:space="preserve">KHG </w:t>
      </w:r>
      <w:r w:rsidR="0079361C">
        <w:t>Private Sector</w:t>
      </w:r>
      <w:r w:rsidR="007E2F0C">
        <w:t xml:space="preserve"> </w:t>
      </w:r>
      <w:r>
        <w:t>Housing sub-g</w:t>
      </w:r>
      <w:r w:rsidR="007E2F0C">
        <w:t>roup</w:t>
      </w:r>
      <w:r w:rsidR="00FC3E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5"/>
        <w:gridCol w:w="3284"/>
        <w:gridCol w:w="1353"/>
        <w:gridCol w:w="3580"/>
      </w:tblGrid>
      <w:tr w:rsidR="00156C03" w14:paraId="58598612" w14:textId="77777777" w:rsidTr="00156C03">
        <w:tc>
          <w:tcPr>
            <w:tcW w:w="9016" w:type="dxa"/>
            <w:gridSpan w:val="5"/>
            <w:shd w:val="clear" w:color="auto" w:fill="9CC2E5" w:themeFill="accent1" w:themeFillTint="99"/>
          </w:tcPr>
          <w:p w14:paraId="302A0DA0" w14:textId="24ACD9A7" w:rsidR="00156C03" w:rsidRDefault="00156C0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  <w:r w:rsidR="00C439C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20D4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May</w:t>
            </w:r>
            <w:r w:rsidR="00C439C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2023</w:t>
            </w:r>
          </w:p>
        </w:tc>
      </w:tr>
      <w:tr w:rsidR="00FC3EA1" w14:paraId="5C31382B" w14:textId="77777777" w:rsidTr="009D7931">
        <w:tc>
          <w:tcPr>
            <w:tcW w:w="799" w:type="dxa"/>
            <w:gridSpan w:val="2"/>
          </w:tcPr>
          <w:p w14:paraId="7D793D4C" w14:textId="77777777" w:rsidR="00FC3EA1" w:rsidRDefault="0038692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ef</w:t>
            </w:r>
          </w:p>
        </w:tc>
        <w:tc>
          <w:tcPr>
            <w:tcW w:w="3284" w:type="dxa"/>
          </w:tcPr>
          <w:p w14:paraId="2F3187DE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</w:tcPr>
          <w:p w14:paraId="1A3621D9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580" w:type="dxa"/>
          </w:tcPr>
          <w:p w14:paraId="29BD3F46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7F2F8144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6744BE5B" w14:textId="77777777" w:rsidR="00FC3EA1" w:rsidRDefault="00FC3EA1" w:rsidP="009D793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  <w:r w:rsidR="007E2F0C">
              <w:rPr>
                <w:b/>
              </w:rPr>
              <w:t xml:space="preserve"> – </w:t>
            </w:r>
          </w:p>
          <w:p w14:paraId="5347A91C" w14:textId="77777777" w:rsidR="007E2F0C" w:rsidRDefault="007E2F0C" w:rsidP="009D79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41D8B218" w14:textId="77777777" w:rsidTr="009D7931">
        <w:tc>
          <w:tcPr>
            <w:tcW w:w="799" w:type="dxa"/>
            <w:gridSpan w:val="2"/>
            <w:shd w:val="clear" w:color="auto" w:fill="auto"/>
          </w:tcPr>
          <w:p w14:paraId="5C7F15B2" w14:textId="77777777" w:rsidR="0079361C" w:rsidRDefault="0079361C" w:rsidP="009D7931">
            <w:r>
              <w:t>HW4</w:t>
            </w:r>
          </w:p>
        </w:tc>
        <w:tc>
          <w:tcPr>
            <w:tcW w:w="3284" w:type="dxa"/>
            <w:shd w:val="clear" w:color="auto" w:fill="auto"/>
          </w:tcPr>
          <w:p w14:paraId="12704195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Share, enhance and promote the successful Hospital Discharge Schemes to enable all residents of Kent and Medway to benefit from this service</w:t>
            </w:r>
          </w:p>
          <w:p w14:paraId="7790A487" w14:textId="77777777" w:rsidR="0079361C" w:rsidRDefault="0079361C" w:rsidP="005E4D17">
            <w:pPr>
              <w:tabs>
                <w:tab w:val="left" w:pos="212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304C01D" w14:textId="77777777" w:rsidR="0079361C" w:rsidRDefault="0079361C" w:rsidP="009D7931"/>
        </w:tc>
        <w:tc>
          <w:tcPr>
            <w:tcW w:w="3580" w:type="dxa"/>
            <w:shd w:val="clear" w:color="auto" w:fill="auto"/>
          </w:tcPr>
          <w:p w14:paraId="402AB7C4" w14:textId="1A6346DC" w:rsidR="0079361C" w:rsidRPr="009D7931" w:rsidRDefault="00EE489D" w:rsidP="003528BD">
            <w:r>
              <w:t xml:space="preserve">All schemes </w:t>
            </w:r>
            <w:r w:rsidR="00020D4E">
              <w:t>operating</w:t>
            </w:r>
            <w:r>
              <w:t xml:space="preserve"> successful</w:t>
            </w:r>
            <w:r w:rsidR="002A036E">
              <w:t>ly</w:t>
            </w:r>
            <w:r w:rsidR="003528BD">
              <w:t>. Better Care funding has been confirmed for the next two years so these schemes will</w:t>
            </w:r>
            <w:r w:rsidR="002A036E">
              <w:t xml:space="preserve"> continue </w:t>
            </w:r>
          </w:p>
        </w:tc>
      </w:tr>
      <w:tr w:rsidR="009D7931" w14:paraId="1433AAB2" w14:textId="77777777" w:rsidTr="009D7931">
        <w:tc>
          <w:tcPr>
            <w:tcW w:w="799" w:type="dxa"/>
            <w:gridSpan w:val="2"/>
            <w:shd w:val="clear" w:color="auto" w:fill="auto"/>
          </w:tcPr>
          <w:p w14:paraId="31351F08" w14:textId="77777777" w:rsidR="009D7931" w:rsidRPr="009D7931" w:rsidRDefault="0079361C" w:rsidP="009D7931">
            <w:r>
              <w:t>HW5</w:t>
            </w:r>
          </w:p>
        </w:tc>
        <w:tc>
          <w:tcPr>
            <w:tcW w:w="3284" w:type="dxa"/>
            <w:shd w:val="clear" w:color="auto" w:fill="auto"/>
          </w:tcPr>
          <w:p w14:paraId="5DF4475A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bookmarkStart w:id="1" w:name="_Hlk124500167"/>
            <w:r>
              <w:rPr>
                <w:rFonts w:ascii="Calibri" w:hAnsi="Calibri"/>
                <w:color w:val="000000"/>
              </w:rPr>
              <w:t>Promote and support the objectives of the Kent Fuel Poverty Strategy and the Kent Environment Strategy</w:t>
            </w:r>
          </w:p>
          <w:bookmarkEnd w:id="1"/>
          <w:p w14:paraId="7F62328A" w14:textId="77777777" w:rsidR="009D7931" w:rsidRPr="009D7931" w:rsidRDefault="009D7931" w:rsidP="005E4D17">
            <w:pPr>
              <w:tabs>
                <w:tab w:val="left" w:pos="2120"/>
              </w:tabs>
            </w:pPr>
          </w:p>
        </w:tc>
        <w:tc>
          <w:tcPr>
            <w:tcW w:w="1353" w:type="dxa"/>
            <w:shd w:val="clear" w:color="auto" w:fill="auto"/>
          </w:tcPr>
          <w:p w14:paraId="7539D915" w14:textId="77777777" w:rsidR="009D7931" w:rsidRPr="009D7931" w:rsidRDefault="009D7931" w:rsidP="009D7931"/>
        </w:tc>
        <w:tc>
          <w:tcPr>
            <w:tcW w:w="3580" w:type="dxa"/>
            <w:shd w:val="clear" w:color="auto" w:fill="auto"/>
          </w:tcPr>
          <w:p w14:paraId="37781112" w14:textId="53A816BC" w:rsidR="009D7931" w:rsidRPr="009D7931" w:rsidRDefault="00020D4E" w:rsidP="00020D4E">
            <w:bookmarkStart w:id="2" w:name="_Hlk124500201"/>
            <w:r>
              <w:t>The work across the group in applying for govt funding to deliver national schemes continues</w:t>
            </w:r>
            <w:bookmarkEnd w:id="2"/>
          </w:p>
        </w:tc>
      </w:tr>
      <w:tr w:rsidR="005E4D17" w14:paraId="0B03B452" w14:textId="77777777" w:rsidTr="009D7931">
        <w:tc>
          <w:tcPr>
            <w:tcW w:w="799" w:type="dxa"/>
            <w:gridSpan w:val="2"/>
            <w:shd w:val="clear" w:color="auto" w:fill="auto"/>
          </w:tcPr>
          <w:p w14:paraId="1D282943" w14:textId="77777777" w:rsidR="005E4D17" w:rsidRDefault="0079361C" w:rsidP="009D7931">
            <w:r>
              <w:t>HW9</w:t>
            </w:r>
          </w:p>
        </w:tc>
        <w:tc>
          <w:tcPr>
            <w:tcW w:w="3284" w:type="dxa"/>
            <w:shd w:val="clear" w:color="auto" w:fill="auto"/>
          </w:tcPr>
          <w:p w14:paraId="28C3A477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housing is resilient to the future changes in climate to give the best possible health outcomes and prevent overheating</w:t>
            </w:r>
          </w:p>
          <w:p w14:paraId="74893AC0" w14:textId="77777777" w:rsidR="005E4D17" w:rsidRDefault="005E4D17" w:rsidP="00793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4F9FC991" w14:textId="77777777" w:rsidR="005E4D17" w:rsidRDefault="00CB6D53" w:rsidP="009D7931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private homes</w:t>
            </w:r>
          </w:p>
        </w:tc>
        <w:tc>
          <w:tcPr>
            <w:tcW w:w="3580" w:type="dxa"/>
            <w:shd w:val="clear" w:color="auto" w:fill="auto"/>
          </w:tcPr>
          <w:p w14:paraId="52C9C8B0" w14:textId="77777777" w:rsidR="003528BD" w:rsidRDefault="003528BD" w:rsidP="009D7931">
            <w:r>
              <w:t xml:space="preserve">Phase 3 of Solar Together is now open for registrations. </w:t>
            </w:r>
          </w:p>
          <w:p w14:paraId="7A69B2CF" w14:textId="77777777" w:rsidR="003528BD" w:rsidRDefault="003528BD" w:rsidP="009D7931"/>
          <w:p w14:paraId="737A1A6D" w14:textId="77777777" w:rsidR="003528BD" w:rsidRDefault="003528BD" w:rsidP="00020D4E">
            <w:r>
              <w:t xml:space="preserve">The group is aware that the focus has been on making cold homes warm, and given climate change </w:t>
            </w:r>
            <w:r w:rsidR="00020D4E">
              <w:t xml:space="preserve">and </w:t>
            </w:r>
            <w:r>
              <w:t xml:space="preserve">the likelihood of further exceptionally hot periods, there is also a need to </w:t>
            </w:r>
            <w:r w:rsidR="00020D4E">
              <w:t xml:space="preserve">also </w:t>
            </w:r>
            <w:r>
              <w:t xml:space="preserve">consider how to prevent overheating in homes </w:t>
            </w:r>
          </w:p>
          <w:p w14:paraId="40049638" w14:textId="3358DF45" w:rsidR="00020D4E" w:rsidRPr="009D7931" w:rsidRDefault="00020D4E" w:rsidP="00020D4E"/>
        </w:tc>
      </w:tr>
      <w:tr w:rsidR="009D1D4B" w14:paraId="6CB4BB3A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28295654" w14:textId="77777777" w:rsidR="009D1D4B" w:rsidRPr="003637E9" w:rsidRDefault="002437C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9D1D4B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54E19241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9361C" w14:paraId="4301F5EE" w14:textId="77777777" w:rsidTr="009D7931">
        <w:tc>
          <w:tcPr>
            <w:tcW w:w="799" w:type="dxa"/>
            <w:gridSpan w:val="2"/>
          </w:tcPr>
          <w:p w14:paraId="6C7F8452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SH1</w:t>
            </w:r>
          </w:p>
        </w:tc>
        <w:tc>
          <w:tcPr>
            <w:tcW w:w="3284" w:type="dxa"/>
          </w:tcPr>
          <w:p w14:paraId="73043F7D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Anticipate, influence and shape implementation of new legislation and regulatory regime to improve the quality and safety of homes across the public and private sectors</w:t>
            </w:r>
          </w:p>
          <w:p w14:paraId="05048870" w14:textId="77777777" w:rsidR="0079361C" w:rsidRDefault="0079361C" w:rsidP="005E4D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19F2E511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private homes</w:t>
            </w:r>
          </w:p>
        </w:tc>
        <w:tc>
          <w:tcPr>
            <w:tcW w:w="3580" w:type="dxa"/>
          </w:tcPr>
          <w:p w14:paraId="3008781E" w14:textId="58E11232" w:rsidR="009D14C8" w:rsidRDefault="003528BD" w:rsidP="009707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and emerging legislation is monitored closely and</w:t>
            </w:r>
            <w:r w:rsidR="00020D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practice 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shared amongst the Group</w:t>
            </w:r>
          </w:p>
          <w:p w14:paraId="54B87233" w14:textId="00C6CBDB" w:rsidR="00E86CB9" w:rsidRDefault="00E86CB9" w:rsidP="009707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4AF66A18" w14:textId="77777777" w:rsidTr="009D7931">
        <w:tc>
          <w:tcPr>
            <w:tcW w:w="799" w:type="dxa"/>
            <w:gridSpan w:val="2"/>
          </w:tcPr>
          <w:p w14:paraId="3D44786A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SH2</w:t>
            </w:r>
          </w:p>
        </w:tc>
        <w:tc>
          <w:tcPr>
            <w:tcW w:w="3284" w:type="dxa"/>
          </w:tcPr>
          <w:p w14:paraId="06CC42E4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 w:rsidRPr="0079361C">
              <w:rPr>
                <w:rFonts w:ascii="Calibri" w:hAnsi="Calibri"/>
                <w:color w:val="000000"/>
              </w:rPr>
              <w:t>Develop an even closer relationship with Kent Fire &amp; Rescue around prioritising fire safety in all tenures, housing new and old, planning and infrastructure, prioritising any emerging legislation and regulation as a result of Grenfell</w:t>
            </w:r>
          </w:p>
        </w:tc>
        <w:tc>
          <w:tcPr>
            <w:tcW w:w="1353" w:type="dxa"/>
          </w:tcPr>
          <w:p w14:paraId="652EEA23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private homes</w:t>
            </w:r>
          </w:p>
        </w:tc>
        <w:tc>
          <w:tcPr>
            <w:tcW w:w="3580" w:type="dxa"/>
          </w:tcPr>
          <w:p w14:paraId="7100AB4E" w14:textId="4489F02E" w:rsidR="0079361C" w:rsidRDefault="009D14C8" w:rsidP="00146C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Strong partnerships developed across all authorities with KFRS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>, wh</w:t>
            </w:r>
            <w:r w:rsidR="00487227">
              <w:rPr>
                <w:rFonts w:ascii="Calibri" w:eastAsia="Times New Roman" w:hAnsi="Calibri" w:cs="Calibri"/>
                <w:color w:val="000000"/>
                <w:lang w:eastAsia="en-GB"/>
              </w:rPr>
              <w:t>ere a recent joint training day was arranged with the Kent CIEH Housing Technical Group. KFRS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D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>provid</w:t>
            </w:r>
            <w:r w:rsidR="005D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 several </w:t>
            </w:r>
            <w:r w:rsidR="00020D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training </w:t>
            </w:r>
            <w:r w:rsidR="005D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sessions </w:t>
            </w:r>
            <w:r w:rsidR="00B63000">
              <w:rPr>
                <w:rFonts w:ascii="Calibri" w:eastAsia="Times New Roman" w:hAnsi="Calibri" w:cs="Calibri"/>
                <w:color w:val="000000"/>
                <w:lang w:eastAsia="en-GB"/>
              </w:rPr>
              <w:t>regarding</w:t>
            </w:r>
            <w:r w:rsidR="005D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Fire Safety (England) Regulations 2022 now in force 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(next </w:t>
            </w:r>
            <w:r w:rsidR="005D532E">
              <w:rPr>
                <w:rFonts w:ascii="Calibri" w:eastAsia="Times New Roman" w:hAnsi="Calibri" w:cs="Calibri"/>
                <w:color w:val="000000"/>
                <w:lang w:eastAsia="en-GB"/>
              </w:rPr>
              <w:t>session</w:t>
            </w:r>
            <w:r w:rsidR="003528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June)</w:t>
            </w:r>
            <w:r w:rsidR="00D26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65756720" w14:textId="77777777" w:rsidR="00D26072" w:rsidRDefault="00D26072" w:rsidP="00146C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9D91239" w14:textId="77777777" w:rsidR="00D26072" w:rsidRDefault="00D26072" w:rsidP="00146C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Govt Tower casework team in regular contact with PSH and Planning to ensure resident safety in higher risk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buildings and to obtain updates on any properties identified with unsafe cladding</w:t>
            </w:r>
          </w:p>
          <w:p w14:paraId="53D91B3A" w14:textId="72BFF9A5" w:rsidR="00D26072" w:rsidRDefault="00D26072" w:rsidP="00146C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77B16FE0" w14:textId="77777777" w:rsidTr="009D7931">
        <w:tc>
          <w:tcPr>
            <w:tcW w:w="799" w:type="dxa"/>
            <w:gridSpan w:val="2"/>
          </w:tcPr>
          <w:p w14:paraId="6A50F561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SH3</w:t>
            </w:r>
          </w:p>
        </w:tc>
        <w:tc>
          <w:tcPr>
            <w:tcW w:w="3284" w:type="dxa"/>
          </w:tcPr>
          <w:p w14:paraId="3EE28233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Share and learn from best practice locally, regionally and nationally to implement positive change to how homes are maintained</w:t>
            </w:r>
          </w:p>
          <w:p w14:paraId="12A9B0F4" w14:textId="77777777" w:rsidR="0079361C" w:rsidRPr="0079361C" w:rsidRDefault="0079361C" w:rsidP="007936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3" w:type="dxa"/>
          </w:tcPr>
          <w:p w14:paraId="12F62CA0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private homes</w:t>
            </w:r>
          </w:p>
        </w:tc>
        <w:tc>
          <w:tcPr>
            <w:tcW w:w="3580" w:type="dxa"/>
          </w:tcPr>
          <w:p w14:paraId="3D4CD43D" w14:textId="7C00E758" w:rsidR="00B836A2" w:rsidRDefault="00B836A2" w:rsidP="003528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</w:t>
            </w:r>
            <w:r w:rsidRPr="00B836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CIEH </w:t>
            </w:r>
            <w:r w:rsidR="00020D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Housing </w:t>
            </w:r>
            <w:r w:rsidRPr="00B836A2">
              <w:rPr>
                <w:rFonts w:ascii="Calibri" w:eastAsia="Times New Roman" w:hAnsi="Calibri" w:cs="Calibri"/>
                <w:color w:val="000000"/>
                <w:lang w:eastAsia="en-GB"/>
              </w:rPr>
              <w:t>catch up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attended by officers in </w:t>
            </w:r>
            <w:r w:rsidR="00020D4E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2023</w:t>
            </w:r>
            <w:r w:rsidR="00020D4E">
              <w:rPr>
                <w:rFonts w:ascii="Calibri" w:eastAsia="Times New Roman" w:hAnsi="Calibri" w:cs="Calibri"/>
                <w:color w:val="000000"/>
                <w:lang w:eastAsia="en-GB"/>
              </w:rPr>
              <w:t>, with sessions and discussion on Asylum seeker accommodation, the Regulations to temporarily exempt properties from HMO licensing, Renters Reform Bill, and HHSRS reforms</w:t>
            </w:r>
          </w:p>
          <w:p w14:paraId="7C021A21" w14:textId="77777777" w:rsidR="0079361C" w:rsidRPr="0078594A" w:rsidRDefault="0079361C" w:rsidP="0078594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C3EA1" w14:paraId="6291BEDC" w14:textId="77777777" w:rsidTr="009D7931">
        <w:tc>
          <w:tcPr>
            <w:tcW w:w="799" w:type="dxa"/>
            <w:gridSpan w:val="2"/>
          </w:tcPr>
          <w:p w14:paraId="6D1DE95F" w14:textId="77777777" w:rsidR="00FC3EA1" w:rsidRDefault="005E4D17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SH4</w:t>
            </w:r>
          </w:p>
        </w:tc>
        <w:tc>
          <w:tcPr>
            <w:tcW w:w="3284" w:type="dxa"/>
          </w:tcPr>
          <w:p w14:paraId="2F8ECB3D" w14:textId="77777777" w:rsidR="005E4D17" w:rsidRDefault="005E4D17" w:rsidP="005E4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Strengthen the partnership working to include how Kent Housing Group respond collectively to local or national consultations that will impact upon the safety and well-being of Kent and Medway residents</w:t>
            </w:r>
          </w:p>
          <w:p w14:paraId="1417A207" w14:textId="77777777" w:rsidR="00FC3EA1" w:rsidRPr="009D1D4B" w:rsidRDefault="00FC3EA1" w:rsidP="009D1D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69AFA93A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0" w:type="dxa"/>
          </w:tcPr>
          <w:p w14:paraId="69FB239A" w14:textId="77091747" w:rsidR="00146CB9" w:rsidRDefault="00020D4E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Consultations monitored and decision taken on who is best placed to respond, taking into account </w:t>
            </w:r>
            <w:r w:rsidR="004872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CIEH </w:t>
            </w:r>
            <w:r w:rsidR="00487227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Technical Group’s role </w:t>
            </w:r>
          </w:p>
        </w:tc>
      </w:tr>
      <w:tr w:rsidR="0079361C" w14:paraId="0DD6607B" w14:textId="77777777" w:rsidTr="009D7931">
        <w:tc>
          <w:tcPr>
            <w:tcW w:w="799" w:type="dxa"/>
            <w:gridSpan w:val="2"/>
          </w:tcPr>
          <w:p w14:paraId="0C53D7B0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SH5</w:t>
            </w:r>
          </w:p>
        </w:tc>
        <w:tc>
          <w:tcPr>
            <w:tcW w:w="3284" w:type="dxa"/>
          </w:tcPr>
          <w:p w14:paraId="078645A5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and learn about how new technology or approach can positively impact upon the delivery of new homes and enhance the condition of existing stock</w:t>
            </w:r>
          </w:p>
          <w:p w14:paraId="452A8217" w14:textId="77777777" w:rsidR="0079361C" w:rsidRDefault="0079361C" w:rsidP="005E4D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0ACD7A36" w14:textId="77777777" w:rsidR="0079361C" w:rsidRDefault="0079361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existing private sector homes</w:t>
            </w:r>
          </w:p>
        </w:tc>
        <w:tc>
          <w:tcPr>
            <w:tcW w:w="3580" w:type="dxa"/>
          </w:tcPr>
          <w:p w14:paraId="008BCA23" w14:textId="4664554D" w:rsidR="00245DAA" w:rsidRDefault="00020D4E" w:rsidP="00020D4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="00245DAA" w:rsidRPr="00245DAA">
              <w:rPr>
                <w:rFonts w:ascii="Calibri" w:eastAsia="Times New Roman" w:hAnsi="Calibri" w:cs="Calibri"/>
                <w:color w:val="000000"/>
                <w:lang w:eastAsia="en-GB"/>
              </w:rPr>
              <w:t>potential to use</w:t>
            </w:r>
            <w:r w:rsidR="00146CB9" w:rsidRPr="00245D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new technology to improve energy efficiency within homes</w:t>
            </w:r>
            <w:r w:rsidR="00245DAA" w:rsidRPr="00245D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e.g. air and ground source heat pumps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kept under review by the Group, in association with nationally available funding </w:t>
            </w:r>
            <w:r w:rsidR="00245DAA" w:rsidRPr="00245D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B7DE5" w14:paraId="5C22C612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74401843" w14:textId="77777777" w:rsidR="000B7DE5" w:rsidRPr="003637E9" w:rsidRDefault="002437CB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B7DE5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Infrastructure First 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6D1834">
              <w:rPr>
                <w:b/>
              </w:rPr>
              <w:t>possibly no actions for this sub group</w:t>
            </w:r>
          </w:p>
          <w:p w14:paraId="59EFB5EA" w14:textId="77777777" w:rsidR="003637E9" w:rsidRDefault="003637E9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37E9" w14:paraId="0B4CC5CF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3D15883E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9D7931">
              <w:rPr>
                <w:b/>
              </w:rPr>
              <w:t>possibly no actions for this sub group</w:t>
            </w:r>
          </w:p>
          <w:p w14:paraId="7E1874FB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38692C" w14:paraId="028CE2E2" w14:textId="77777777" w:rsidTr="0038692C">
        <w:tc>
          <w:tcPr>
            <w:tcW w:w="799" w:type="dxa"/>
            <w:gridSpan w:val="2"/>
            <w:shd w:val="clear" w:color="auto" w:fill="auto"/>
          </w:tcPr>
          <w:p w14:paraId="1B4D5D29" w14:textId="77777777" w:rsidR="0038692C" w:rsidRPr="0038692C" w:rsidRDefault="0038692C" w:rsidP="003637E9"/>
        </w:tc>
        <w:tc>
          <w:tcPr>
            <w:tcW w:w="3284" w:type="dxa"/>
            <w:shd w:val="clear" w:color="auto" w:fill="auto"/>
          </w:tcPr>
          <w:p w14:paraId="01FBA1E6" w14:textId="77777777" w:rsidR="0038692C" w:rsidRPr="0038692C" w:rsidRDefault="0038692C" w:rsidP="003637E9"/>
        </w:tc>
        <w:tc>
          <w:tcPr>
            <w:tcW w:w="1353" w:type="dxa"/>
            <w:shd w:val="clear" w:color="auto" w:fill="auto"/>
          </w:tcPr>
          <w:p w14:paraId="2D7EAA48" w14:textId="77777777" w:rsidR="0038692C" w:rsidRPr="0038692C" w:rsidRDefault="0038692C" w:rsidP="003637E9"/>
        </w:tc>
        <w:tc>
          <w:tcPr>
            <w:tcW w:w="3580" w:type="dxa"/>
            <w:shd w:val="clear" w:color="auto" w:fill="auto"/>
          </w:tcPr>
          <w:p w14:paraId="6F5748B3" w14:textId="77777777" w:rsidR="0038692C" w:rsidRPr="0038692C" w:rsidRDefault="0038692C" w:rsidP="003637E9"/>
        </w:tc>
      </w:tr>
      <w:tr w:rsidR="003637E9" w14:paraId="098054B7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71E8A249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  <w:r w:rsidR="0038692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 </w:t>
            </w:r>
            <w:r w:rsidR="0038692C">
              <w:rPr>
                <w:b/>
              </w:rPr>
              <w:t>possibly no actions for this sub group</w:t>
            </w:r>
          </w:p>
          <w:p w14:paraId="04A6AE7B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E4D17" w14:paraId="655AFD4E" w14:textId="77777777" w:rsidTr="005E4D17">
        <w:tc>
          <w:tcPr>
            <w:tcW w:w="704" w:type="dxa"/>
            <w:shd w:val="clear" w:color="auto" w:fill="auto"/>
          </w:tcPr>
          <w:p w14:paraId="1B3EB485" w14:textId="77777777" w:rsidR="005E4D17" w:rsidRPr="005E4D17" w:rsidRDefault="0079361C" w:rsidP="003637E9">
            <w:r>
              <w:t>A3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4FA00318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Promote investment into the private rented sector, to raise the standard and profile of accommodation in this sector, ensuring it is an attractive for those in housing need</w:t>
            </w:r>
          </w:p>
          <w:p w14:paraId="48A39313" w14:textId="77777777" w:rsidR="005E4D17" w:rsidRPr="005E4D17" w:rsidRDefault="005E4D17" w:rsidP="0079361C"/>
        </w:tc>
        <w:tc>
          <w:tcPr>
            <w:tcW w:w="1353" w:type="dxa"/>
            <w:shd w:val="clear" w:color="auto" w:fill="auto"/>
          </w:tcPr>
          <w:p w14:paraId="464E1432" w14:textId="77777777" w:rsidR="005E4D17" w:rsidRPr="005E4D17" w:rsidRDefault="005E4D17" w:rsidP="003637E9"/>
        </w:tc>
        <w:tc>
          <w:tcPr>
            <w:tcW w:w="3580" w:type="dxa"/>
            <w:shd w:val="clear" w:color="auto" w:fill="auto"/>
          </w:tcPr>
          <w:p w14:paraId="3C69A944" w14:textId="77777777" w:rsidR="005E4D17" w:rsidRDefault="005E4D17" w:rsidP="003637E9"/>
          <w:p w14:paraId="3C8F6D25" w14:textId="77777777" w:rsidR="00146CB9" w:rsidRPr="005E4D17" w:rsidRDefault="00146CB9" w:rsidP="003637E9">
            <w:r>
              <w:t>Nothing to add</w:t>
            </w:r>
          </w:p>
        </w:tc>
      </w:tr>
      <w:tr w:rsidR="00156C03" w14:paraId="3214605F" w14:textId="77777777" w:rsidTr="00156C03">
        <w:tc>
          <w:tcPr>
            <w:tcW w:w="9016" w:type="dxa"/>
            <w:gridSpan w:val="5"/>
            <w:shd w:val="clear" w:color="auto" w:fill="auto"/>
          </w:tcPr>
          <w:p w14:paraId="6EB48382" w14:textId="77777777" w:rsidR="00156C03" w:rsidRDefault="00156C03" w:rsidP="00156C03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</w:t>
            </w:r>
            <w:r w:rsidR="005A499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including any cross sub-group working</w:t>
            </w: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;</w:t>
            </w:r>
          </w:p>
          <w:p w14:paraId="1E25FAD4" w14:textId="77777777" w:rsidR="006D1834" w:rsidRDefault="006D1834" w:rsidP="00156C03"/>
        </w:tc>
      </w:tr>
    </w:tbl>
    <w:p w14:paraId="52C1EFAE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B4C"/>
    <w:multiLevelType w:val="hybridMultilevel"/>
    <w:tmpl w:val="A3B02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0D4E"/>
    <w:rsid w:val="00024DD4"/>
    <w:rsid w:val="000B7DE5"/>
    <w:rsid w:val="00146CB9"/>
    <w:rsid w:val="00156C03"/>
    <w:rsid w:val="001E6142"/>
    <w:rsid w:val="002437CB"/>
    <w:rsid w:val="00245DAA"/>
    <w:rsid w:val="002A036E"/>
    <w:rsid w:val="002F6BD5"/>
    <w:rsid w:val="00304E34"/>
    <w:rsid w:val="003528BD"/>
    <w:rsid w:val="003637E9"/>
    <w:rsid w:val="003844E3"/>
    <w:rsid w:val="0038692C"/>
    <w:rsid w:val="003E2166"/>
    <w:rsid w:val="00487227"/>
    <w:rsid w:val="005A4994"/>
    <w:rsid w:val="005D44FE"/>
    <w:rsid w:val="005D532E"/>
    <w:rsid w:val="005E4D17"/>
    <w:rsid w:val="006D1834"/>
    <w:rsid w:val="006D6E0D"/>
    <w:rsid w:val="00733528"/>
    <w:rsid w:val="0078594A"/>
    <w:rsid w:val="0079361C"/>
    <w:rsid w:val="007E2F0C"/>
    <w:rsid w:val="0097073F"/>
    <w:rsid w:val="009845D3"/>
    <w:rsid w:val="009D14C8"/>
    <w:rsid w:val="009D1D4B"/>
    <w:rsid w:val="009D7931"/>
    <w:rsid w:val="00A816E3"/>
    <w:rsid w:val="00B63000"/>
    <w:rsid w:val="00B66F0D"/>
    <w:rsid w:val="00B836A2"/>
    <w:rsid w:val="00C2478B"/>
    <w:rsid w:val="00C439CD"/>
    <w:rsid w:val="00C85E6F"/>
    <w:rsid w:val="00CB6D53"/>
    <w:rsid w:val="00CE6CB2"/>
    <w:rsid w:val="00D26072"/>
    <w:rsid w:val="00D36847"/>
    <w:rsid w:val="00E86CB9"/>
    <w:rsid w:val="00EC13BE"/>
    <w:rsid w:val="00EE489D"/>
    <w:rsid w:val="00F5715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9B45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CB9"/>
    <w:pPr>
      <w:ind w:left="720"/>
      <w:contextualSpacing/>
    </w:pPr>
  </w:style>
  <w:style w:type="paragraph" w:styleId="Revision">
    <w:name w:val="Revision"/>
    <w:hidden/>
    <w:uiPriority w:val="99"/>
    <w:semiHidden/>
    <w:rsid w:val="005D53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2023-05-03T08:10:00Z</dcterms:created>
  <dcterms:modified xsi:type="dcterms:W3CDTF">2023-05-03T08:10:00Z</dcterms:modified>
</cp:coreProperties>
</file>