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2A13" w14:textId="77777777" w:rsidR="00FC3EA1" w:rsidRPr="000B7DE5" w:rsidRDefault="003B57A9" w:rsidP="00FC3EA1">
      <w:r>
        <w:t>Kent Home choice Operational</w:t>
      </w:r>
      <w:r w:rsidR="007E2F0C">
        <w:t xml:space="preserve"> Group</w:t>
      </w:r>
      <w:r w:rsidR="00FC3EA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5"/>
        <w:gridCol w:w="3284"/>
        <w:gridCol w:w="1353"/>
        <w:gridCol w:w="3580"/>
      </w:tblGrid>
      <w:tr w:rsidR="00156C03" w14:paraId="5EBAC85B" w14:textId="77777777" w:rsidTr="00156C03">
        <w:tc>
          <w:tcPr>
            <w:tcW w:w="9016" w:type="dxa"/>
            <w:gridSpan w:val="5"/>
            <w:shd w:val="clear" w:color="auto" w:fill="9CC2E5" w:themeFill="accent1" w:themeFillTint="99"/>
          </w:tcPr>
          <w:p w14:paraId="4904F86A" w14:textId="10CBFAFA" w:rsidR="00156C03" w:rsidRDefault="00156C0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F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 of update;</w:t>
            </w:r>
            <w:r w:rsidR="0074738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29 Sept</w:t>
            </w:r>
            <w:bookmarkStart w:id="0" w:name="_GoBack"/>
            <w:bookmarkEnd w:id="0"/>
            <w:r w:rsidR="0097553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2023</w:t>
            </w:r>
          </w:p>
        </w:tc>
      </w:tr>
      <w:tr w:rsidR="00FC3EA1" w14:paraId="71D8165E" w14:textId="77777777" w:rsidTr="009D7931">
        <w:tc>
          <w:tcPr>
            <w:tcW w:w="799" w:type="dxa"/>
            <w:gridSpan w:val="2"/>
          </w:tcPr>
          <w:p w14:paraId="3EA540B2" w14:textId="77777777" w:rsidR="00FC3EA1" w:rsidRDefault="0038692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FC3EA1">
              <w:rPr>
                <w:rFonts w:ascii="Calibri" w:eastAsia="Times New Roman" w:hAnsi="Calibri" w:cs="Calibri"/>
                <w:color w:val="000000"/>
                <w:lang w:eastAsia="en-GB"/>
              </w:rPr>
              <w:t>ef</w:t>
            </w:r>
          </w:p>
        </w:tc>
        <w:tc>
          <w:tcPr>
            <w:tcW w:w="3284" w:type="dxa"/>
          </w:tcPr>
          <w:p w14:paraId="64AFCD3F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3" w:type="dxa"/>
          </w:tcPr>
          <w:p w14:paraId="4761C8E5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Contribution</w:t>
            </w:r>
          </w:p>
        </w:tc>
        <w:tc>
          <w:tcPr>
            <w:tcW w:w="3580" w:type="dxa"/>
          </w:tcPr>
          <w:p w14:paraId="0D64DF52" w14:textId="77777777" w:rsidR="00FC3EA1" w:rsidRDefault="009845D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this period</w:t>
            </w:r>
          </w:p>
        </w:tc>
      </w:tr>
      <w:tr w:rsidR="00FC3EA1" w14:paraId="0499A89E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09DEFC3A" w14:textId="77777777" w:rsidR="00FC3EA1" w:rsidRDefault="00FC3EA1" w:rsidP="009D7931">
            <w:pPr>
              <w:rPr>
                <w:b/>
              </w:rPr>
            </w:pPr>
            <w:r w:rsidRPr="00FC3EA1">
              <w:rPr>
                <w:b/>
              </w:rPr>
              <w:t>Theme Health and wellbeing</w:t>
            </w:r>
            <w:r w:rsidR="007E2F0C">
              <w:rPr>
                <w:b/>
              </w:rPr>
              <w:t xml:space="preserve"> – none identified for this group</w:t>
            </w:r>
          </w:p>
          <w:p w14:paraId="4A7EFC16" w14:textId="77777777" w:rsidR="007E2F0C" w:rsidRDefault="007E2F0C" w:rsidP="009D79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28E1DDB5" w14:textId="77777777" w:rsidTr="009D7931">
        <w:tc>
          <w:tcPr>
            <w:tcW w:w="799" w:type="dxa"/>
            <w:gridSpan w:val="2"/>
            <w:shd w:val="clear" w:color="auto" w:fill="auto"/>
          </w:tcPr>
          <w:p w14:paraId="15E679F6" w14:textId="77777777" w:rsidR="0079361C" w:rsidRDefault="0079361C" w:rsidP="009D7931"/>
        </w:tc>
        <w:tc>
          <w:tcPr>
            <w:tcW w:w="3284" w:type="dxa"/>
            <w:shd w:val="clear" w:color="auto" w:fill="auto"/>
          </w:tcPr>
          <w:p w14:paraId="45E18D8F" w14:textId="77777777" w:rsidR="0079361C" w:rsidRDefault="0079361C" w:rsidP="005E4D17">
            <w:pPr>
              <w:tabs>
                <w:tab w:val="left" w:pos="212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790093D1" w14:textId="77777777" w:rsidR="0079361C" w:rsidRDefault="0079361C" w:rsidP="009D7931"/>
        </w:tc>
        <w:tc>
          <w:tcPr>
            <w:tcW w:w="3580" w:type="dxa"/>
            <w:shd w:val="clear" w:color="auto" w:fill="auto"/>
          </w:tcPr>
          <w:p w14:paraId="2633B635" w14:textId="77777777" w:rsidR="0079361C" w:rsidRPr="009D7931" w:rsidRDefault="0079361C" w:rsidP="009D7931"/>
        </w:tc>
      </w:tr>
      <w:tr w:rsidR="009D7931" w14:paraId="5FB88450" w14:textId="77777777" w:rsidTr="009D7931">
        <w:tc>
          <w:tcPr>
            <w:tcW w:w="799" w:type="dxa"/>
            <w:gridSpan w:val="2"/>
            <w:shd w:val="clear" w:color="auto" w:fill="auto"/>
          </w:tcPr>
          <w:p w14:paraId="7C03230B" w14:textId="77777777" w:rsidR="009D7931" w:rsidRPr="009D7931" w:rsidRDefault="00530106" w:rsidP="009D7931">
            <w:r>
              <w:t>HW7</w:t>
            </w:r>
          </w:p>
        </w:tc>
        <w:tc>
          <w:tcPr>
            <w:tcW w:w="3284" w:type="dxa"/>
            <w:shd w:val="clear" w:color="auto" w:fill="auto"/>
          </w:tcPr>
          <w:p w14:paraId="1F64695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 and influence countywide strategies that impact upon housing support and care provision for all vulnerable clients groups, children, young people, adults and the ageing population</w:t>
            </w:r>
          </w:p>
          <w:p w14:paraId="6A29EA52" w14:textId="77777777" w:rsidR="009D7931" w:rsidRPr="009D7931" w:rsidRDefault="009D7931" w:rsidP="005E4D17">
            <w:pPr>
              <w:tabs>
                <w:tab w:val="left" w:pos="2120"/>
              </w:tabs>
            </w:pPr>
          </w:p>
        </w:tc>
        <w:tc>
          <w:tcPr>
            <w:tcW w:w="1353" w:type="dxa"/>
            <w:shd w:val="clear" w:color="auto" w:fill="auto"/>
          </w:tcPr>
          <w:p w14:paraId="650F4313" w14:textId="77777777" w:rsidR="009D7931" w:rsidRPr="009D7931" w:rsidRDefault="00B60E9F" w:rsidP="009D7931">
            <w:r>
              <w:t xml:space="preserve">Relating to </w:t>
            </w:r>
            <w:r w:rsidR="001A0F49">
              <w:t>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158D1057" w14:textId="77777777" w:rsidR="009D7931" w:rsidRPr="009D7931" w:rsidRDefault="009D7931" w:rsidP="009D7931"/>
        </w:tc>
      </w:tr>
      <w:tr w:rsidR="005E4D17" w14:paraId="3EE70D3A" w14:textId="77777777" w:rsidTr="009D7931">
        <w:tc>
          <w:tcPr>
            <w:tcW w:w="799" w:type="dxa"/>
            <w:gridSpan w:val="2"/>
            <w:shd w:val="clear" w:color="auto" w:fill="auto"/>
          </w:tcPr>
          <w:p w14:paraId="44B8DF6F" w14:textId="77777777" w:rsidR="005E4D17" w:rsidRDefault="00530106" w:rsidP="009D7931">
            <w:r>
              <w:t>HW8</w:t>
            </w:r>
          </w:p>
        </w:tc>
        <w:tc>
          <w:tcPr>
            <w:tcW w:w="3284" w:type="dxa"/>
            <w:shd w:val="clear" w:color="auto" w:fill="auto"/>
          </w:tcPr>
          <w:p w14:paraId="03606E29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 established countywide approach and partnership working to reduce and prevent homelessness</w:t>
            </w:r>
          </w:p>
          <w:p w14:paraId="256EBD4A" w14:textId="77777777" w:rsidR="005E4D17" w:rsidRDefault="005E4D17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246081AC" w14:textId="77777777" w:rsidR="005E4D17" w:rsidRDefault="001A0F49" w:rsidP="009D7931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19FAD996" w14:textId="77777777" w:rsidR="005E4D17" w:rsidRDefault="0008130F" w:rsidP="009D7931">
            <w:r>
              <w:t xml:space="preserve">New partner </w:t>
            </w:r>
            <w:proofErr w:type="spellStart"/>
            <w:r>
              <w:t>Westree</w:t>
            </w:r>
            <w:proofErr w:type="spellEnd"/>
            <w:r>
              <w:t xml:space="preserve"> Road Housing has joined the Kent Homechoice partnership</w:t>
            </w:r>
            <w:r w:rsidR="008441A6">
              <w:t>.</w:t>
            </w:r>
          </w:p>
          <w:p w14:paraId="255B6965" w14:textId="09C50FBF" w:rsidR="008441A6" w:rsidRPr="009D7931" w:rsidRDefault="008441A6" w:rsidP="009D7931">
            <w:r>
              <w:t>Commenced work to support development of local nominations agreements and possibly a Kent wide SLA agreement between Councils and RPs.</w:t>
            </w:r>
          </w:p>
        </w:tc>
      </w:tr>
      <w:tr w:rsidR="009D1D4B" w14:paraId="28323C4F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40F33320" w14:textId="77777777" w:rsidR="009D1D4B" w:rsidRPr="003637E9" w:rsidRDefault="002437CB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9D1D4B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Working together for safer homes</w:t>
            </w:r>
          </w:p>
          <w:p w14:paraId="4CFD3049" w14:textId="77777777" w:rsidR="003637E9" w:rsidRPr="003637E9" w:rsidRDefault="003637E9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C3EA1" w14:paraId="0A0CFF40" w14:textId="77777777" w:rsidTr="009D7931">
        <w:tc>
          <w:tcPr>
            <w:tcW w:w="799" w:type="dxa"/>
            <w:gridSpan w:val="2"/>
          </w:tcPr>
          <w:p w14:paraId="2A4069BC" w14:textId="77777777" w:rsidR="00FC3EA1" w:rsidRDefault="00530106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SH6</w:t>
            </w:r>
          </w:p>
        </w:tc>
        <w:tc>
          <w:tcPr>
            <w:tcW w:w="3284" w:type="dxa"/>
          </w:tcPr>
          <w:p w14:paraId="04250C45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 and facilitate the sharing of information about services that can be offered to residents to support the countywide and individual health and wellbeing agendas</w:t>
            </w:r>
          </w:p>
          <w:p w14:paraId="1C5464AC" w14:textId="77777777" w:rsidR="00FC3EA1" w:rsidRPr="009D1D4B" w:rsidRDefault="00FC3EA1" w:rsidP="009D1D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6CA6D766" w14:textId="77777777" w:rsidR="00FC3EA1" w:rsidRDefault="001A0F49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Relating to current or aspiring social housing tenants and providers</w:t>
            </w:r>
          </w:p>
        </w:tc>
        <w:tc>
          <w:tcPr>
            <w:tcW w:w="3580" w:type="dxa"/>
          </w:tcPr>
          <w:p w14:paraId="57A257BE" w14:textId="1E98FB45" w:rsidR="00FC3EA1" w:rsidRDefault="003F5626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Promotion of Pre Tenancy Training Videos</w:t>
            </w:r>
          </w:p>
        </w:tc>
      </w:tr>
      <w:tr w:rsidR="000B7DE5" w14:paraId="089237F6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2FA8EAF4" w14:textId="77777777" w:rsidR="000B7DE5" w:rsidRPr="003637E9" w:rsidRDefault="002437CB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B7DE5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Infrastructure First 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</w:p>
          <w:p w14:paraId="7E4A6F06" w14:textId="77777777" w:rsidR="003637E9" w:rsidRDefault="003637E9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1CB2A04A" w14:textId="77777777" w:rsidTr="0079361C">
        <w:tc>
          <w:tcPr>
            <w:tcW w:w="799" w:type="dxa"/>
            <w:gridSpan w:val="2"/>
            <w:shd w:val="clear" w:color="auto" w:fill="auto"/>
          </w:tcPr>
          <w:p w14:paraId="6C7998BA" w14:textId="77777777" w:rsidR="0079361C" w:rsidRPr="0079361C" w:rsidRDefault="0079361C" w:rsidP="003637E9">
            <w:pPr>
              <w:tabs>
                <w:tab w:val="left" w:pos="2430"/>
              </w:tabs>
            </w:pPr>
            <w:r w:rsidRPr="0079361C">
              <w:t>IF3</w:t>
            </w:r>
          </w:p>
        </w:tc>
        <w:tc>
          <w:tcPr>
            <w:tcW w:w="3284" w:type="dxa"/>
            <w:shd w:val="clear" w:color="auto" w:fill="auto"/>
          </w:tcPr>
          <w:p w14:paraId="0FE518E6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Consider, respond and implement recommendations from Government reviews that promote a positive change in approach and outcome, e.g. </w:t>
            </w:r>
            <w:proofErr w:type="spellStart"/>
            <w:r>
              <w:rPr>
                <w:rFonts w:ascii="Calibri" w:hAnsi="Calibri"/>
                <w:color w:val="000000"/>
              </w:rPr>
              <w:t>Letwin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Review</w:t>
            </w:r>
          </w:p>
          <w:p w14:paraId="62F8F6CF" w14:textId="77777777" w:rsidR="0079361C" w:rsidRPr="0079361C" w:rsidRDefault="0079361C" w:rsidP="003637E9">
            <w:pPr>
              <w:tabs>
                <w:tab w:val="left" w:pos="2430"/>
              </w:tabs>
            </w:pPr>
          </w:p>
        </w:tc>
        <w:tc>
          <w:tcPr>
            <w:tcW w:w="1353" w:type="dxa"/>
            <w:shd w:val="clear" w:color="auto" w:fill="auto"/>
          </w:tcPr>
          <w:p w14:paraId="04215971" w14:textId="77777777" w:rsidR="0079361C" w:rsidRPr="0079361C" w:rsidRDefault="001A0F49" w:rsidP="003637E9">
            <w:pPr>
              <w:tabs>
                <w:tab w:val="left" w:pos="2430"/>
              </w:tabs>
            </w:pPr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0E70E94B" w14:textId="77777777" w:rsidR="0079361C" w:rsidRPr="0079361C" w:rsidRDefault="0079361C" w:rsidP="003637E9">
            <w:pPr>
              <w:tabs>
                <w:tab w:val="left" w:pos="2430"/>
              </w:tabs>
            </w:pPr>
          </w:p>
        </w:tc>
      </w:tr>
      <w:tr w:rsidR="003637E9" w14:paraId="4F25DCCE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0BBBF9A6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Accelerating Housing Delivery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  <w:r w:rsidR="009D7931">
              <w:rPr>
                <w:b/>
              </w:rPr>
              <w:t>p</w:t>
            </w:r>
            <w:r w:rsidR="007B27ED">
              <w:rPr>
                <w:b/>
              </w:rPr>
              <w:t xml:space="preserve">ossibly no actions for this </w:t>
            </w:r>
            <w:r w:rsidR="009D7931">
              <w:rPr>
                <w:b/>
              </w:rPr>
              <w:t>group</w:t>
            </w:r>
          </w:p>
          <w:p w14:paraId="456502B6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38692C" w14:paraId="76710127" w14:textId="77777777" w:rsidTr="0038692C">
        <w:tc>
          <w:tcPr>
            <w:tcW w:w="799" w:type="dxa"/>
            <w:gridSpan w:val="2"/>
            <w:shd w:val="clear" w:color="auto" w:fill="auto"/>
          </w:tcPr>
          <w:p w14:paraId="7A9498C2" w14:textId="77777777" w:rsidR="0038692C" w:rsidRPr="0038692C" w:rsidRDefault="0038692C" w:rsidP="003637E9"/>
        </w:tc>
        <w:tc>
          <w:tcPr>
            <w:tcW w:w="3284" w:type="dxa"/>
            <w:shd w:val="clear" w:color="auto" w:fill="auto"/>
          </w:tcPr>
          <w:p w14:paraId="31B54715" w14:textId="77777777" w:rsidR="0038692C" w:rsidRPr="0038692C" w:rsidRDefault="0038692C" w:rsidP="003637E9"/>
        </w:tc>
        <w:tc>
          <w:tcPr>
            <w:tcW w:w="1353" w:type="dxa"/>
            <w:shd w:val="clear" w:color="auto" w:fill="auto"/>
          </w:tcPr>
          <w:p w14:paraId="1274CD2B" w14:textId="77777777" w:rsidR="0038692C" w:rsidRPr="0038692C" w:rsidRDefault="0038692C" w:rsidP="003637E9"/>
        </w:tc>
        <w:tc>
          <w:tcPr>
            <w:tcW w:w="3580" w:type="dxa"/>
            <w:shd w:val="clear" w:color="auto" w:fill="auto"/>
          </w:tcPr>
          <w:p w14:paraId="25EFAA9D" w14:textId="77777777" w:rsidR="0038692C" w:rsidRPr="0038692C" w:rsidRDefault="0038692C" w:rsidP="003637E9"/>
        </w:tc>
      </w:tr>
      <w:tr w:rsidR="003637E9" w14:paraId="7C1CEEBA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6846373E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Affordability</w:t>
            </w:r>
            <w:r w:rsidR="007B27E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</w:t>
            </w:r>
          </w:p>
          <w:p w14:paraId="68C22BF3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5E4D17" w14:paraId="394115B0" w14:textId="77777777" w:rsidTr="005E4D17">
        <w:tc>
          <w:tcPr>
            <w:tcW w:w="704" w:type="dxa"/>
            <w:shd w:val="clear" w:color="auto" w:fill="auto"/>
          </w:tcPr>
          <w:p w14:paraId="7CFF5385" w14:textId="77777777" w:rsidR="005E4D17" w:rsidRPr="005E4D17" w:rsidRDefault="00530106" w:rsidP="003637E9">
            <w:r>
              <w:t>A2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6A34228E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what housing tenure and type/products are appropriate to meet diverse housing need, and how support can be provided to successfully sustain a tenancy</w:t>
            </w:r>
          </w:p>
          <w:p w14:paraId="6D1E8A8F" w14:textId="77777777" w:rsidR="005E4D17" w:rsidRPr="005E4D17" w:rsidRDefault="005E4D17" w:rsidP="00530106"/>
        </w:tc>
        <w:tc>
          <w:tcPr>
            <w:tcW w:w="1353" w:type="dxa"/>
            <w:shd w:val="clear" w:color="auto" w:fill="auto"/>
          </w:tcPr>
          <w:p w14:paraId="47B67C25" w14:textId="77777777" w:rsidR="005E4D17" w:rsidRPr="005E4D17" w:rsidRDefault="001A0F49" w:rsidP="003637E9">
            <w:r>
              <w:lastRenderedPageBreak/>
              <w:t xml:space="preserve">Relating to current or aspiring social housing </w:t>
            </w:r>
            <w:r>
              <w:lastRenderedPageBreak/>
              <w:t>tenants and providers</w:t>
            </w:r>
          </w:p>
        </w:tc>
        <w:tc>
          <w:tcPr>
            <w:tcW w:w="3580" w:type="dxa"/>
            <w:shd w:val="clear" w:color="auto" w:fill="auto"/>
          </w:tcPr>
          <w:p w14:paraId="3EC57C5F" w14:textId="3F018CDD" w:rsidR="005E4D17" w:rsidRPr="005E4D17" w:rsidRDefault="008111E0" w:rsidP="003637E9">
            <w:r>
              <w:lastRenderedPageBreak/>
              <w:t>Kent Homechoice website updated with new affordable home ownership schemes</w:t>
            </w:r>
          </w:p>
        </w:tc>
      </w:tr>
      <w:tr w:rsidR="00530106" w14:paraId="6D6E12D2" w14:textId="77777777" w:rsidTr="005E4D17">
        <w:tc>
          <w:tcPr>
            <w:tcW w:w="704" w:type="dxa"/>
            <w:shd w:val="clear" w:color="auto" w:fill="auto"/>
          </w:tcPr>
          <w:p w14:paraId="10E9DE3A" w14:textId="77777777" w:rsidR="00530106" w:rsidRDefault="00530106" w:rsidP="003637E9">
            <w:r>
              <w:t>A6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76FF1003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 the County Council to determine and shape the market about future provision of accommodation care and support for social care client groups</w:t>
            </w:r>
          </w:p>
          <w:p w14:paraId="3216451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1B6562E4" w14:textId="77777777" w:rsidR="00530106" w:rsidRPr="005E4D17" w:rsidRDefault="001A0F49" w:rsidP="003637E9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1B8F8F02" w14:textId="2C927BC7" w:rsidR="00530106" w:rsidRPr="005E4D17" w:rsidRDefault="004A548A" w:rsidP="003637E9">
            <w:r>
              <w:t xml:space="preserve">New system will be able to provide improved information to support the </w:t>
            </w:r>
            <w:r w:rsidR="004777B5">
              <w:t>County Council when requested</w:t>
            </w:r>
          </w:p>
        </w:tc>
      </w:tr>
      <w:tr w:rsidR="00530106" w14:paraId="5F62C981" w14:textId="77777777" w:rsidTr="005E4D17">
        <w:tc>
          <w:tcPr>
            <w:tcW w:w="704" w:type="dxa"/>
            <w:shd w:val="clear" w:color="auto" w:fill="auto"/>
          </w:tcPr>
          <w:p w14:paraId="32D4ECFD" w14:textId="77777777" w:rsidR="00530106" w:rsidRDefault="00530106" w:rsidP="003637E9">
            <w:r>
              <w:t>A7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2D947290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 and influence the development of affordable housing that is flexible to meet changing needs, including meeting the needs of those with physical disability</w:t>
            </w:r>
          </w:p>
          <w:p w14:paraId="32FBD12F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0194CDDF" w14:textId="77777777" w:rsidR="00530106" w:rsidRPr="005E4D17" w:rsidRDefault="001A0F49" w:rsidP="003637E9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44AA96AA" w14:textId="77777777" w:rsidR="00530106" w:rsidRPr="005E4D17" w:rsidRDefault="00530106" w:rsidP="003637E9"/>
        </w:tc>
      </w:tr>
      <w:tr w:rsidR="00530106" w14:paraId="76385C98" w14:textId="77777777" w:rsidTr="005E4D17">
        <w:tc>
          <w:tcPr>
            <w:tcW w:w="704" w:type="dxa"/>
            <w:shd w:val="clear" w:color="auto" w:fill="auto"/>
          </w:tcPr>
          <w:p w14:paraId="6BD945AF" w14:textId="77777777" w:rsidR="00530106" w:rsidRDefault="00530106" w:rsidP="003637E9">
            <w:r>
              <w:t>A8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0953330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Challenge the stigma associated with regards to social or affordable housing</w:t>
            </w:r>
          </w:p>
          <w:p w14:paraId="57D94F1C" w14:textId="77777777" w:rsidR="00530106" w:rsidRDefault="00530106" w:rsidP="0053010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46BCCE85" w14:textId="77777777" w:rsidR="00530106" w:rsidRPr="005E4D17" w:rsidRDefault="00530106" w:rsidP="003637E9"/>
        </w:tc>
        <w:tc>
          <w:tcPr>
            <w:tcW w:w="3580" w:type="dxa"/>
            <w:shd w:val="clear" w:color="auto" w:fill="auto"/>
          </w:tcPr>
          <w:p w14:paraId="544BACFE" w14:textId="77777777" w:rsidR="00530106" w:rsidRPr="005E4D17" w:rsidRDefault="00530106" w:rsidP="003637E9"/>
        </w:tc>
      </w:tr>
      <w:tr w:rsidR="00530106" w14:paraId="2DFF6509" w14:textId="77777777" w:rsidTr="005E4D17">
        <w:tc>
          <w:tcPr>
            <w:tcW w:w="704" w:type="dxa"/>
            <w:shd w:val="clear" w:color="auto" w:fill="auto"/>
          </w:tcPr>
          <w:p w14:paraId="6B4528A1" w14:textId="77777777" w:rsidR="00530106" w:rsidRDefault="00530106" w:rsidP="003637E9">
            <w:r>
              <w:t>A9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57349A9A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Continued commitment and support for Kent Homechoice, working to ensure choice and transparency with regards to access to affordable and social housing across Kent and Medway</w:t>
            </w:r>
          </w:p>
          <w:p w14:paraId="181BF85D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0413C947" w14:textId="77777777" w:rsidR="00530106" w:rsidRPr="005E4D17" w:rsidRDefault="00530106" w:rsidP="003637E9"/>
        </w:tc>
        <w:tc>
          <w:tcPr>
            <w:tcW w:w="3580" w:type="dxa"/>
            <w:shd w:val="clear" w:color="auto" w:fill="auto"/>
          </w:tcPr>
          <w:p w14:paraId="7DC5AECE" w14:textId="5C9CB210" w:rsidR="00CA6A81" w:rsidRDefault="00CC30F4" w:rsidP="00CA6A81">
            <w:r>
              <w:t xml:space="preserve">The implementation of the new system </w:t>
            </w:r>
            <w:r w:rsidR="0038095D">
              <w:t xml:space="preserve">has provided greater transparency to the customer </w:t>
            </w:r>
            <w:r w:rsidR="00CF2BF4">
              <w:t>in terms of accessing available homes.</w:t>
            </w:r>
          </w:p>
          <w:p w14:paraId="061D52D5" w14:textId="77777777" w:rsidR="00530106" w:rsidRPr="005E4D17" w:rsidRDefault="00530106" w:rsidP="003637E9"/>
        </w:tc>
      </w:tr>
      <w:tr w:rsidR="00156C03" w14:paraId="0E257767" w14:textId="77777777" w:rsidTr="00156C03">
        <w:tc>
          <w:tcPr>
            <w:tcW w:w="9016" w:type="dxa"/>
            <w:gridSpan w:val="5"/>
            <w:shd w:val="clear" w:color="auto" w:fill="auto"/>
          </w:tcPr>
          <w:p w14:paraId="69FBCEBE" w14:textId="77777777" w:rsidR="00156C03" w:rsidRDefault="00156C03" w:rsidP="00156C03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85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update;</w:t>
            </w:r>
          </w:p>
          <w:p w14:paraId="3E6FF0F8" w14:textId="77777777" w:rsidR="001D14CC" w:rsidRDefault="001D14CC" w:rsidP="001D14CC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update;</w:t>
            </w:r>
          </w:p>
          <w:p w14:paraId="4C1DDA6E" w14:textId="1495DAFF" w:rsidR="009677C8" w:rsidRDefault="009677C8" w:rsidP="001D14CC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19403F98" w14:textId="47793EF1" w:rsidR="009403FD" w:rsidRDefault="00FB1A08" w:rsidP="001D14CC">
            <w:r>
              <w:t>The new system went live on 1</w:t>
            </w:r>
            <w:r w:rsidRPr="00FB1A08">
              <w:rPr>
                <w:vertAlign w:val="superscript"/>
              </w:rPr>
              <w:t>st</w:t>
            </w:r>
            <w:r>
              <w:t xml:space="preserve"> July 2023</w:t>
            </w:r>
            <w:r w:rsidR="00F6573A">
              <w:t xml:space="preserve">. Initial transitional issues have been </w:t>
            </w:r>
            <w:r w:rsidR="00AA4D50">
              <w:t>resolved and are continuing to be reviewed. Partners have worked together to produce a list of outst</w:t>
            </w:r>
            <w:r w:rsidR="003D5879">
              <w:t xml:space="preserve">anding issues which </w:t>
            </w:r>
            <w:proofErr w:type="spellStart"/>
            <w:r w:rsidR="003D5879">
              <w:t>Huume</w:t>
            </w:r>
            <w:proofErr w:type="spellEnd"/>
            <w:r w:rsidR="003D5879">
              <w:t xml:space="preserve"> are fixing or adding to their development road map where this is possible.</w:t>
            </w:r>
          </w:p>
          <w:p w14:paraId="42A9E6EA" w14:textId="77777777" w:rsidR="00F274A4" w:rsidRDefault="00F274A4" w:rsidP="001D14CC"/>
          <w:p w14:paraId="75DBAD27" w14:textId="728F828B" w:rsidR="00F274A4" w:rsidRDefault="00F274A4" w:rsidP="001D14CC">
            <w:r>
              <w:t xml:space="preserve">The Closed case system for closed HPA </w:t>
            </w:r>
            <w:r w:rsidR="00923286">
              <w:t xml:space="preserve">cases is operational </w:t>
            </w:r>
          </w:p>
          <w:p w14:paraId="3E9353B3" w14:textId="77777777" w:rsidR="00F732E0" w:rsidRDefault="00F732E0" w:rsidP="001D14CC"/>
          <w:p w14:paraId="1E07405B" w14:textId="38F3D03E" w:rsidR="0055755E" w:rsidRPr="00CA76A2" w:rsidRDefault="00F732E0" w:rsidP="001D14CC">
            <w:pPr>
              <w:rPr>
                <w:b/>
                <w:bCs/>
                <w:u w:val="single"/>
              </w:rPr>
            </w:pPr>
            <w:r w:rsidRPr="00CA76A2">
              <w:rPr>
                <w:b/>
                <w:bCs/>
                <w:u w:val="single"/>
              </w:rPr>
              <w:t>Historic Data</w:t>
            </w:r>
          </w:p>
          <w:p w14:paraId="20E42355" w14:textId="77777777" w:rsidR="00F732E0" w:rsidRDefault="00F732E0" w:rsidP="001D14CC"/>
          <w:p w14:paraId="67F9488F" w14:textId="1058D762" w:rsidR="00CB7E5F" w:rsidRDefault="00CB7E5F" w:rsidP="001D14CC">
            <w:r>
              <w:t>A contract has been put in place with Encompass who are a LATC of Sutton Council who will provide Kent (not Medway or Gravesham) with a historic housing data viewer system.</w:t>
            </w:r>
          </w:p>
          <w:p w14:paraId="33BC671E" w14:textId="5FE73EF2" w:rsidR="00CB7E5F" w:rsidRDefault="00CB7E5F" w:rsidP="001D14CC"/>
          <w:p w14:paraId="7C902E5E" w14:textId="14245B98" w:rsidR="00CF19AD" w:rsidRDefault="00CF19AD" w:rsidP="001D14CC">
            <w:r>
              <w:t>They have been provided with a copy of the data and work has begun on this.</w:t>
            </w:r>
          </w:p>
          <w:p w14:paraId="12E2B319" w14:textId="48BCC306" w:rsidR="00FC73DA" w:rsidRDefault="00FC73DA" w:rsidP="001D14CC"/>
          <w:p w14:paraId="6D9059CE" w14:textId="1B518AE1" w:rsidR="00CF19AD" w:rsidRPr="00E457A5" w:rsidRDefault="00334DC6" w:rsidP="001D14CC">
            <w:pPr>
              <w:rPr>
                <w:b/>
                <w:bCs/>
                <w:u w:val="single"/>
              </w:rPr>
            </w:pPr>
            <w:r w:rsidRPr="00E457A5">
              <w:rPr>
                <w:b/>
                <w:bCs/>
                <w:u w:val="single"/>
              </w:rPr>
              <w:t>Lettings</w:t>
            </w:r>
          </w:p>
          <w:p w14:paraId="7D1CAD3B" w14:textId="77777777" w:rsidR="00334DC6" w:rsidRDefault="00334DC6" w:rsidP="001D14CC"/>
          <w:p w14:paraId="2B7760BD" w14:textId="0D8DA92E" w:rsidR="00334DC6" w:rsidRDefault="00334DC6" w:rsidP="001D14CC">
            <w:r>
              <w:t xml:space="preserve">There appear to be some challenges in managing </w:t>
            </w:r>
            <w:r w:rsidR="00622089">
              <w:t xml:space="preserve">lettings across Kent. Some of these issues have been resolved by reconfiguring dashboards to ensure that the correct information shows. However </w:t>
            </w:r>
            <w:r w:rsidR="00EE70F5">
              <w:t xml:space="preserve">we have in excess of 200 properties </w:t>
            </w:r>
            <w:r w:rsidR="0059299D">
              <w:t xml:space="preserve">waiting to be </w:t>
            </w:r>
            <w:r w:rsidR="00E853A4">
              <w:t>shortlisted.</w:t>
            </w: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ED5F6E" w:rsidRPr="00ED5F6E" w14:paraId="6246FCD2" w14:textId="77777777" w:rsidTr="0055755E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0B3DC" w14:textId="0E2DABFE" w:rsidR="00ED5F6E" w:rsidRPr="00ED5F6E" w:rsidRDefault="00ED5F6E" w:rsidP="00ED5F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40DC0E" w14:textId="173CAFB7" w:rsidR="00ED5F6E" w:rsidRPr="00ED5F6E" w:rsidRDefault="00ED5F6E" w:rsidP="00ED5F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39D3D1D4" w14:textId="0E478D13" w:rsidR="001D14CC" w:rsidRDefault="001D14CC" w:rsidP="001921D6"/>
        </w:tc>
      </w:tr>
    </w:tbl>
    <w:p w14:paraId="4E626589" w14:textId="77777777" w:rsidR="00FC3EA1" w:rsidRPr="00FC3EA1" w:rsidRDefault="00FC3EA1">
      <w:pPr>
        <w:rPr>
          <w:b/>
        </w:rPr>
      </w:pPr>
    </w:p>
    <w:sectPr w:rsidR="00FC3EA1" w:rsidRPr="00FC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1"/>
    <w:rsid w:val="00024DD4"/>
    <w:rsid w:val="0008130F"/>
    <w:rsid w:val="000863D0"/>
    <w:rsid w:val="000B077A"/>
    <w:rsid w:val="000B7DE5"/>
    <w:rsid w:val="00156C03"/>
    <w:rsid w:val="001921D6"/>
    <w:rsid w:val="001A0F49"/>
    <w:rsid w:val="001C492F"/>
    <w:rsid w:val="001D14CC"/>
    <w:rsid w:val="00240716"/>
    <w:rsid w:val="002437CB"/>
    <w:rsid w:val="00334DC6"/>
    <w:rsid w:val="00350479"/>
    <w:rsid w:val="00357754"/>
    <w:rsid w:val="003637E9"/>
    <w:rsid w:val="0038095D"/>
    <w:rsid w:val="0038692C"/>
    <w:rsid w:val="003B57A9"/>
    <w:rsid w:val="003D5879"/>
    <w:rsid w:val="003F5626"/>
    <w:rsid w:val="004777B5"/>
    <w:rsid w:val="00482152"/>
    <w:rsid w:val="004A548A"/>
    <w:rsid w:val="00530106"/>
    <w:rsid w:val="0055755E"/>
    <w:rsid w:val="0059299D"/>
    <w:rsid w:val="005D5265"/>
    <w:rsid w:val="005E00BF"/>
    <w:rsid w:val="005E4D17"/>
    <w:rsid w:val="006015C7"/>
    <w:rsid w:val="00605960"/>
    <w:rsid w:val="00622089"/>
    <w:rsid w:val="00633375"/>
    <w:rsid w:val="006C43EE"/>
    <w:rsid w:val="006D1AB2"/>
    <w:rsid w:val="00735AE8"/>
    <w:rsid w:val="00747387"/>
    <w:rsid w:val="00781427"/>
    <w:rsid w:val="0079361C"/>
    <w:rsid w:val="007B27ED"/>
    <w:rsid w:val="007D6828"/>
    <w:rsid w:val="007E2F0C"/>
    <w:rsid w:val="008111E0"/>
    <w:rsid w:val="00833CA9"/>
    <w:rsid w:val="008441A6"/>
    <w:rsid w:val="00851E67"/>
    <w:rsid w:val="008837DF"/>
    <w:rsid w:val="00923286"/>
    <w:rsid w:val="009403FD"/>
    <w:rsid w:val="009677C8"/>
    <w:rsid w:val="00970ADD"/>
    <w:rsid w:val="00975535"/>
    <w:rsid w:val="009845D3"/>
    <w:rsid w:val="009970DB"/>
    <w:rsid w:val="009D1D4B"/>
    <w:rsid w:val="009D7931"/>
    <w:rsid w:val="00AA4D50"/>
    <w:rsid w:val="00AD0C7D"/>
    <w:rsid w:val="00B60E9F"/>
    <w:rsid w:val="00B66F0D"/>
    <w:rsid w:val="00B806D2"/>
    <w:rsid w:val="00BA4BDA"/>
    <w:rsid w:val="00BF5592"/>
    <w:rsid w:val="00C75FED"/>
    <w:rsid w:val="00C87D3E"/>
    <w:rsid w:val="00CA6A81"/>
    <w:rsid w:val="00CA76A2"/>
    <w:rsid w:val="00CB7E5F"/>
    <w:rsid w:val="00CC30F4"/>
    <w:rsid w:val="00CE6CB2"/>
    <w:rsid w:val="00CF19AD"/>
    <w:rsid w:val="00CF2BF4"/>
    <w:rsid w:val="00DD590B"/>
    <w:rsid w:val="00E12010"/>
    <w:rsid w:val="00E26C4F"/>
    <w:rsid w:val="00E457A5"/>
    <w:rsid w:val="00E853A4"/>
    <w:rsid w:val="00EA6B2E"/>
    <w:rsid w:val="00ED5F6E"/>
    <w:rsid w:val="00EE70F5"/>
    <w:rsid w:val="00EF6C27"/>
    <w:rsid w:val="00F243DB"/>
    <w:rsid w:val="00F274A4"/>
    <w:rsid w:val="00F45153"/>
    <w:rsid w:val="00F6573A"/>
    <w:rsid w:val="00F732E0"/>
    <w:rsid w:val="00FB1A08"/>
    <w:rsid w:val="00FC3EA1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8785"/>
  <w15:chartTrackingRefBased/>
  <w15:docId w15:val="{51599613-F317-480C-A619-CD6B8CD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2023-10-02T07:34:00Z</dcterms:created>
  <dcterms:modified xsi:type="dcterms:W3CDTF">2023-10-02T07:34:00Z</dcterms:modified>
</cp:coreProperties>
</file>