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35467198"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EE0B28">
        <w:rPr>
          <w:b/>
        </w:rPr>
        <w:t>20 September</w:t>
      </w:r>
      <w:r w:rsidR="005F7099">
        <w:rPr>
          <w:b/>
        </w:rPr>
        <w:t xml:space="preserve"> 2023</w:t>
      </w:r>
      <w:r>
        <w:rPr>
          <w:b/>
        </w:rPr>
        <w:t>, Microsoft Teams Call</w:t>
      </w:r>
    </w:p>
    <w:p w14:paraId="0ED4784B" w14:textId="77777777" w:rsidR="008829A5" w:rsidRPr="008829A5" w:rsidRDefault="008829A5" w:rsidP="008829A5">
      <w:pPr>
        <w:pStyle w:val="Header"/>
        <w:rPr>
          <w:b/>
        </w:rPr>
      </w:pPr>
    </w:p>
    <w:p w14:paraId="01ED23FC" w14:textId="023A7CC2" w:rsidR="00B44664" w:rsidRPr="00B14E09" w:rsidRDefault="00DF015F" w:rsidP="00D03035">
      <w:pPr>
        <w:ind w:left="-993"/>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200F02">
        <w:rPr>
          <w:rFonts w:ascii="Calibri" w:hAnsi="Calibri" w:cs="Calibri"/>
        </w:rPr>
        <w:t xml:space="preserve">; </w:t>
      </w:r>
      <w:r w:rsidR="00C74661">
        <w:rPr>
          <w:rFonts w:ascii="Calibri" w:hAnsi="Calibri" w:cs="Calibri"/>
        </w:rPr>
        <w:t xml:space="preserve">Jason Amos, Echelon Consultancy; Navin Down, mhs homes; Max Tant, KCC; Lucy Breeze, Golding Homes; Lee Gilbert, Dartford; </w:t>
      </w:r>
      <w:r w:rsidR="003F301D" w:rsidRPr="00B14E09">
        <w:rPr>
          <w:rFonts w:ascii="Calibri" w:hAnsi="Calibri" w:cs="Calibri"/>
        </w:rPr>
        <w:t>Helen Miller, KHG;</w:t>
      </w:r>
    </w:p>
    <w:p w14:paraId="0DBB4997" w14:textId="364CADE4" w:rsidR="00C0154C" w:rsidRPr="00AE6003" w:rsidRDefault="00DF015F" w:rsidP="00D03035">
      <w:pPr>
        <w:ind w:left="-993"/>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D11047" w:rsidRPr="00D11047">
        <w:rPr>
          <w:rFonts w:ascii="Calibri" w:hAnsi="Calibri" w:cs="Calibri"/>
        </w:rPr>
        <w:t>Adam Reid</w:t>
      </w:r>
      <w:r w:rsidR="00D11047">
        <w:rPr>
          <w:rFonts w:ascii="Calibri" w:hAnsi="Calibri" w:cs="Calibri"/>
        </w:rPr>
        <w:t>, Clare Pryce, Sally O’Sullivan, James Young</w:t>
      </w:r>
      <w:r w:rsidR="00D11047" w:rsidRPr="00D11047">
        <w:rPr>
          <w:rFonts w:ascii="Calibri" w:hAnsi="Calibri" w:cs="Calibri"/>
        </w:rPr>
        <w:t xml:space="preserve"> and Ashley Jackson, Thanet;</w:t>
      </w:r>
      <w:r w:rsidR="00D11047">
        <w:rPr>
          <w:rFonts w:ascii="Calibri" w:hAnsi="Calibri" w:cs="Calibri"/>
        </w:rPr>
        <w:t xml:space="preserve"> Alexis Jobson, Canterbury; Kerry Elliman, WKHA; Owen Goymer, Clarion; Adam Spokes, Medway;  </w:t>
      </w:r>
      <w:r w:rsidR="00187721">
        <w:rPr>
          <w:rFonts w:ascii="Calibri" w:hAnsi="Calibri" w:cs="Calibri"/>
        </w:rPr>
        <w:t xml:space="preserve">Deborah Hearn, mhs homes; </w:t>
      </w:r>
      <w:r w:rsidR="00D91312">
        <w:rPr>
          <w:rFonts w:ascii="Calibri" w:hAnsi="Calibri" w:cs="Calibri"/>
        </w:rPr>
        <w:t xml:space="preserve">Ben McGowan, Moat; </w:t>
      </w:r>
      <w:r w:rsidR="00C74661">
        <w:rPr>
          <w:rFonts w:ascii="Calibri" w:hAnsi="Calibri" w:cs="Calibri"/>
        </w:rPr>
        <w:t>Mia Davis vice chair and T&amp;CH;</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8829A5">
        <w:trPr>
          <w:trHeight w:val="752"/>
        </w:trPr>
        <w:tc>
          <w:tcPr>
            <w:tcW w:w="1560" w:type="dxa"/>
            <w:shd w:val="clear" w:color="auto" w:fill="DBE5F1" w:themeFill="accent1" w:themeFillTint="33"/>
          </w:tcPr>
          <w:p w14:paraId="6F3B69C3" w14:textId="77777777" w:rsidR="00DD689F" w:rsidRPr="00B14E09" w:rsidRDefault="00DD689F" w:rsidP="00D53381">
            <w:pPr>
              <w:rPr>
                <w:rFonts w:ascii="Calibri" w:hAnsi="Calibri" w:cs="Calibri"/>
              </w:rPr>
            </w:pPr>
            <w:r w:rsidRPr="00B14E09">
              <w:rPr>
                <w:rFonts w:ascii="Calibri" w:hAnsi="Calibri" w:cs="Calibri"/>
              </w:rPr>
              <w:t>Reference</w:t>
            </w:r>
          </w:p>
        </w:tc>
        <w:tc>
          <w:tcPr>
            <w:tcW w:w="9639" w:type="dxa"/>
            <w:shd w:val="clear" w:color="auto" w:fill="DBE5F1" w:themeFill="accent1" w:themeFillTint="33"/>
          </w:tcPr>
          <w:p w14:paraId="7F116C9A" w14:textId="77777777" w:rsidR="00DD689F" w:rsidRPr="00B14E09" w:rsidRDefault="00DD689F" w:rsidP="00D53381">
            <w:pPr>
              <w:rPr>
                <w:rFonts w:ascii="Calibri" w:hAnsi="Calibri" w:cs="Calibri"/>
              </w:rPr>
            </w:pPr>
            <w:r w:rsidRPr="00B14E09">
              <w:rPr>
                <w:rFonts w:ascii="Calibri" w:hAnsi="Calibri" w:cs="Calibri"/>
              </w:rPr>
              <w:t>Notes/Outcome</w:t>
            </w:r>
          </w:p>
        </w:tc>
        <w:tc>
          <w:tcPr>
            <w:tcW w:w="851" w:type="dxa"/>
            <w:shd w:val="clear" w:color="auto" w:fill="DBE5F1" w:themeFill="accent1" w:themeFillTint="33"/>
          </w:tcPr>
          <w:p w14:paraId="06D4BD81" w14:textId="77777777" w:rsidR="00DD689F" w:rsidRPr="00B14E09" w:rsidRDefault="00DD689F" w:rsidP="00D53381">
            <w:pPr>
              <w:rPr>
                <w:rFonts w:ascii="Calibri" w:hAnsi="Calibri" w:cs="Calibri"/>
              </w:rPr>
            </w:pPr>
            <w:r w:rsidRPr="00B14E09">
              <w:rPr>
                <w:rFonts w:ascii="Calibri" w:hAnsi="Calibri" w:cs="Calibri"/>
              </w:rPr>
              <w:t xml:space="preserve">Who </w:t>
            </w:r>
          </w:p>
        </w:tc>
        <w:tc>
          <w:tcPr>
            <w:tcW w:w="2976" w:type="dxa"/>
            <w:shd w:val="clear" w:color="auto" w:fill="DBE5F1" w:themeFill="accent1" w:themeFillTint="33"/>
          </w:tcPr>
          <w:p w14:paraId="44D44000" w14:textId="77777777" w:rsidR="00DD689F" w:rsidRPr="00B14E09" w:rsidRDefault="00DD689F" w:rsidP="00D53381">
            <w:pPr>
              <w:rPr>
                <w:rFonts w:ascii="Calibri" w:hAnsi="Calibri" w:cs="Calibri"/>
              </w:rPr>
            </w:pPr>
            <w:r w:rsidRPr="00B14E09">
              <w:rPr>
                <w:rFonts w:ascii="Calibri" w:hAnsi="Calibri" w:cs="Calibri"/>
              </w:rPr>
              <w:t>Action/Decision</w:t>
            </w:r>
          </w:p>
        </w:tc>
      </w:tr>
      <w:tr w:rsidR="00225BB1" w:rsidRPr="00B14E09" w14:paraId="705398FB" w14:textId="77777777" w:rsidTr="008829A5">
        <w:tc>
          <w:tcPr>
            <w:tcW w:w="1560" w:type="dxa"/>
          </w:tcPr>
          <w:p w14:paraId="30BCA39C" w14:textId="07C6D68B" w:rsidR="00225BB1" w:rsidRDefault="00225BB1" w:rsidP="00D53381">
            <w:pPr>
              <w:rPr>
                <w:rFonts w:ascii="Calibri" w:hAnsi="Calibri" w:cs="Calibri"/>
              </w:rPr>
            </w:pPr>
            <w:r>
              <w:rPr>
                <w:rFonts w:ascii="Calibri" w:hAnsi="Calibri" w:cs="Calibri"/>
              </w:rPr>
              <w:t>Making homes and estates more resilient to flooding</w:t>
            </w:r>
          </w:p>
        </w:tc>
        <w:tc>
          <w:tcPr>
            <w:tcW w:w="9639" w:type="dxa"/>
            <w:shd w:val="clear" w:color="auto" w:fill="auto"/>
          </w:tcPr>
          <w:p w14:paraId="19C1F074" w14:textId="21039A6A" w:rsidR="00225BB1" w:rsidRDefault="00225BB1" w:rsidP="0083463D">
            <w:pPr>
              <w:rPr>
                <w:rFonts w:ascii="Calibri" w:hAnsi="Calibri" w:cs="Calibri"/>
              </w:rPr>
            </w:pPr>
            <w:r>
              <w:rPr>
                <w:rFonts w:ascii="Calibri" w:hAnsi="Calibri" w:cs="Calibri"/>
              </w:rPr>
              <w:t>Max Tant</w:t>
            </w:r>
            <w:r w:rsidR="00D11047">
              <w:rPr>
                <w:rFonts w:ascii="Calibri" w:hAnsi="Calibri" w:cs="Calibri"/>
              </w:rPr>
              <w:t xml:space="preserve"> from KCC</w:t>
            </w:r>
            <w:r w:rsidR="00D91312">
              <w:rPr>
                <w:rFonts w:ascii="Calibri" w:hAnsi="Calibri" w:cs="Calibri"/>
              </w:rPr>
              <w:t xml:space="preserve"> gave presentation on flood resilience. </w:t>
            </w:r>
            <w:r w:rsidR="0083463D">
              <w:rPr>
                <w:rFonts w:ascii="Calibri" w:hAnsi="Calibri" w:cs="Calibri"/>
              </w:rPr>
              <w:t>Responsibility</w:t>
            </w:r>
            <w:r w:rsidR="00C74661">
              <w:rPr>
                <w:rFonts w:ascii="Calibri" w:hAnsi="Calibri" w:cs="Calibri"/>
              </w:rPr>
              <w:t xml:space="preserve"> around flooding is shared</w:t>
            </w:r>
            <w:r w:rsidR="0083463D">
              <w:rPr>
                <w:rFonts w:ascii="Calibri" w:hAnsi="Calibri" w:cs="Calibri"/>
              </w:rPr>
              <w:t xml:space="preserve"> between KCC, EA, water companie</w:t>
            </w:r>
            <w:r w:rsidR="00550A3E">
              <w:rPr>
                <w:rFonts w:ascii="Calibri" w:hAnsi="Calibri" w:cs="Calibri"/>
              </w:rPr>
              <w:t xml:space="preserve">s and local authorities. </w:t>
            </w:r>
          </w:p>
          <w:p w14:paraId="25CBCE40" w14:textId="2EEB6B4A" w:rsidR="0083463D" w:rsidRDefault="00C74661" w:rsidP="0083463D">
            <w:pPr>
              <w:rPr>
                <w:rFonts w:ascii="Calibri" w:hAnsi="Calibri" w:cs="Calibri"/>
              </w:rPr>
            </w:pPr>
            <w:r>
              <w:rPr>
                <w:rFonts w:ascii="Calibri" w:hAnsi="Calibri" w:cs="Calibri"/>
              </w:rPr>
              <w:t>He suggested that organisations b</w:t>
            </w:r>
            <w:r w:rsidR="0083463D">
              <w:rPr>
                <w:rFonts w:ascii="Calibri" w:hAnsi="Calibri" w:cs="Calibri"/>
              </w:rPr>
              <w:t>egin by identifying whether you have a flood risk and the type of flooding that is likely. This is will inform the actions you w</w:t>
            </w:r>
            <w:r>
              <w:rPr>
                <w:rFonts w:ascii="Calibri" w:hAnsi="Calibri" w:cs="Calibri"/>
              </w:rPr>
              <w:t xml:space="preserve">ant to take. The Flood risk maps are available here </w:t>
            </w:r>
            <w:hyperlink r:id="rId11" w:history="1">
              <w:r w:rsidR="00DF09C1" w:rsidRPr="002B5316">
                <w:rPr>
                  <w:rStyle w:val="Hyperlink"/>
                  <w:rFonts w:ascii="Calibri" w:hAnsi="Calibri" w:cs="Calibri"/>
                </w:rPr>
                <w:t>https://www.g</w:t>
              </w:r>
              <w:r w:rsidR="00DF09C1" w:rsidRPr="002B5316">
                <w:rPr>
                  <w:rStyle w:val="Hyperlink"/>
                  <w:rFonts w:ascii="Calibri" w:hAnsi="Calibri" w:cs="Calibri"/>
                </w:rPr>
                <w:t>ov.uk/check-long-term-flood-risk</w:t>
              </w:r>
            </w:hyperlink>
            <w:r>
              <w:rPr>
                <w:rFonts w:ascii="Calibri" w:hAnsi="Calibri" w:cs="Calibri"/>
              </w:rPr>
              <w:t xml:space="preserve"> and </w:t>
            </w:r>
            <w:r w:rsidR="0083463D">
              <w:rPr>
                <w:rFonts w:ascii="Calibri" w:hAnsi="Calibri" w:cs="Calibri"/>
              </w:rPr>
              <w:t xml:space="preserve">can be used to indicate your flood risk, though consider flood history too and what caused that flood. </w:t>
            </w:r>
          </w:p>
          <w:p w14:paraId="7D23CC3F" w14:textId="64080999" w:rsidR="0083463D" w:rsidRDefault="0083463D" w:rsidP="0083463D">
            <w:pPr>
              <w:rPr>
                <w:rFonts w:ascii="Calibri" w:hAnsi="Calibri" w:cs="Calibri"/>
              </w:rPr>
            </w:pPr>
            <w:r>
              <w:rPr>
                <w:rFonts w:ascii="Calibri" w:hAnsi="Calibri" w:cs="Calibri"/>
              </w:rPr>
              <w:t>Resilient design indicates how to understand and design out the risk. New developments should have sustainable drainage and use this for amenity space.</w:t>
            </w:r>
          </w:p>
          <w:p w14:paraId="05CB905D" w14:textId="58FBD467" w:rsidR="0083463D" w:rsidRDefault="0083463D" w:rsidP="0083463D">
            <w:pPr>
              <w:rPr>
                <w:rFonts w:ascii="Calibri" w:hAnsi="Calibri" w:cs="Calibri"/>
              </w:rPr>
            </w:pPr>
            <w:r>
              <w:rPr>
                <w:rFonts w:ascii="Calibri" w:hAnsi="Calibri" w:cs="Calibri"/>
              </w:rPr>
              <w:t xml:space="preserve">For existing developments that are likely to flood consider drainage layout, capacity of the drainage, and aim to intercept/redirect flood water. For property flood resilience, consider what you can do to prevent the water getting into the building, though it may still be surrounded by water. Active flood resistance requires a person to put the barriers in place when flooding is anticipated. </w:t>
            </w:r>
            <w:r w:rsidR="00DF435D">
              <w:rPr>
                <w:rFonts w:ascii="Calibri" w:hAnsi="Calibri" w:cs="Calibri"/>
              </w:rPr>
              <w:t>It is essential that the right people get the flood warnings</w:t>
            </w:r>
            <w:r w:rsidR="00104D36">
              <w:rPr>
                <w:rFonts w:ascii="Calibri" w:hAnsi="Calibri" w:cs="Calibri"/>
              </w:rPr>
              <w:t xml:space="preserve"> with enough time to act</w:t>
            </w:r>
            <w:r w:rsidR="00DF435D">
              <w:rPr>
                <w:rFonts w:ascii="Calibri" w:hAnsi="Calibri" w:cs="Calibri"/>
              </w:rPr>
              <w:t>.</w:t>
            </w:r>
            <w:r w:rsidR="00104D36">
              <w:rPr>
                <w:rFonts w:ascii="Calibri" w:hAnsi="Calibri" w:cs="Calibri"/>
              </w:rPr>
              <w:t xml:space="preserve"> </w:t>
            </w:r>
            <w:r>
              <w:rPr>
                <w:rFonts w:ascii="Calibri" w:hAnsi="Calibri" w:cs="Calibri"/>
              </w:rPr>
              <w:t xml:space="preserve">Passive flood </w:t>
            </w:r>
            <w:r w:rsidR="00104D36">
              <w:rPr>
                <w:rFonts w:ascii="Calibri" w:hAnsi="Calibri" w:cs="Calibri"/>
              </w:rPr>
              <w:t>resistance is when the permanent</w:t>
            </w:r>
            <w:r>
              <w:rPr>
                <w:rFonts w:ascii="Calibri" w:hAnsi="Calibri" w:cs="Calibri"/>
              </w:rPr>
              <w:t xml:space="preserve"> use doors are capable of resisting flooding better</w:t>
            </w:r>
            <w:r w:rsidR="00DF435D">
              <w:rPr>
                <w:rFonts w:ascii="Calibri" w:hAnsi="Calibri" w:cs="Calibri"/>
              </w:rPr>
              <w:t>. Look at all entry points for the water, not just</w:t>
            </w:r>
            <w:r w:rsidR="00104D36">
              <w:rPr>
                <w:rFonts w:ascii="Calibri" w:hAnsi="Calibri" w:cs="Calibri"/>
              </w:rPr>
              <w:t xml:space="preserve"> the doors, then waterproof all entry points and the walls. The flood barriers</w:t>
            </w:r>
            <w:r w:rsidR="00DF435D">
              <w:rPr>
                <w:rFonts w:ascii="Calibri" w:hAnsi="Calibri" w:cs="Calibri"/>
              </w:rPr>
              <w:t xml:space="preserve"> work up to around 600mm of water outside. Consider the whether the home is still usable during a flood and how the occupants could get in and out and how long the flood will last for. </w:t>
            </w:r>
          </w:p>
          <w:p w14:paraId="3CAAF9CF" w14:textId="6E07FCB3" w:rsidR="00DF435D" w:rsidRDefault="00104D36" w:rsidP="0083463D">
            <w:pPr>
              <w:rPr>
                <w:rFonts w:ascii="Calibri" w:hAnsi="Calibri" w:cs="Calibri"/>
              </w:rPr>
            </w:pPr>
            <w:r>
              <w:rPr>
                <w:rFonts w:ascii="Calibri" w:hAnsi="Calibri" w:cs="Calibri"/>
              </w:rPr>
              <w:t>Max recommended organisations w</w:t>
            </w:r>
            <w:r w:rsidR="00DF435D">
              <w:rPr>
                <w:rFonts w:ascii="Calibri" w:hAnsi="Calibri" w:cs="Calibri"/>
              </w:rPr>
              <w:t xml:space="preserve">rite a flood plan on what you will do in case of flood and have a practice run, including relevant tenants appropriately. </w:t>
            </w:r>
          </w:p>
          <w:p w14:paraId="36C0CF82" w14:textId="741D61BE" w:rsidR="00DF435D" w:rsidRDefault="00DF435D" w:rsidP="0083463D">
            <w:pPr>
              <w:rPr>
                <w:rFonts w:ascii="Calibri" w:hAnsi="Calibri" w:cs="Calibri"/>
              </w:rPr>
            </w:pPr>
          </w:p>
          <w:p w14:paraId="2FA119EE" w14:textId="77777777" w:rsidR="00104D36" w:rsidRDefault="00DF435D" w:rsidP="0083463D">
            <w:pPr>
              <w:rPr>
                <w:rFonts w:ascii="Calibri" w:hAnsi="Calibri" w:cs="Calibri"/>
              </w:rPr>
            </w:pPr>
            <w:r>
              <w:rPr>
                <w:rFonts w:ascii="Calibri" w:hAnsi="Calibri" w:cs="Calibri"/>
              </w:rPr>
              <w:t xml:space="preserve">ND </w:t>
            </w:r>
            <w:r w:rsidR="00104D36">
              <w:rPr>
                <w:rFonts w:ascii="Calibri" w:hAnsi="Calibri" w:cs="Calibri"/>
              </w:rPr>
              <w:t xml:space="preserve">Their </w:t>
            </w:r>
            <w:r>
              <w:rPr>
                <w:rFonts w:ascii="Calibri" w:hAnsi="Calibri" w:cs="Calibri"/>
              </w:rPr>
              <w:t xml:space="preserve">estate in Swanley </w:t>
            </w:r>
            <w:r w:rsidR="00104D36">
              <w:rPr>
                <w:rFonts w:ascii="Calibri" w:hAnsi="Calibri" w:cs="Calibri"/>
              </w:rPr>
              <w:t xml:space="preserve">has been </w:t>
            </w:r>
            <w:r>
              <w:rPr>
                <w:rFonts w:ascii="Calibri" w:hAnsi="Calibri" w:cs="Calibri"/>
              </w:rPr>
              <w:t>affected by surf</w:t>
            </w:r>
            <w:r w:rsidR="00104D36">
              <w:rPr>
                <w:rFonts w:ascii="Calibri" w:hAnsi="Calibri" w:cs="Calibri"/>
              </w:rPr>
              <w:t>ace water flooding. WKHA changed</w:t>
            </w:r>
            <w:r>
              <w:rPr>
                <w:rFonts w:ascii="Calibri" w:hAnsi="Calibri" w:cs="Calibri"/>
              </w:rPr>
              <w:t xml:space="preserve"> some drainage and fitted some flood doors and changes air vents. Flooding appears to becoming more common. Can anything be done on infrastructure? </w:t>
            </w:r>
          </w:p>
          <w:p w14:paraId="1775861B" w14:textId="77777777" w:rsidR="00104D36" w:rsidRDefault="00104D36" w:rsidP="0083463D">
            <w:pPr>
              <w:rPr>
                <w:rFonts w:ascii="Calibri" w:hAnsi="Calibri" w:cs="Calibri"/>
              </w:rPr>
            </w:pPr>
          </w:p>
          <w:p w14:paraId="263BB87A" w14:textId="72C0C525" w:rsidR="00DF435D" w:rsidRDefault="00DF435D" w:rsidP="0083463D">
            <w:pPr>
              <w:rPr>
                <w:rFonts w:ascii="Calibri" w:hAnsi="Calibri" w:cs="Calibri"/>
              </w:rPr>
            </w:pPr>
            <w:r>
              <w:rPr>
                <w:rFonts w:ascii="Calibri" w:hAnsi="Calibri" w:cs="Calibri"/>
              </w:rPr>
              <w:t>KCC is looking into flo</w:t>
            </w:r>
            <w:r w:rsidR="00104D36">
              <w:rPr>
                <w:rFonts w:ascii="Calibri" w:hAnsi="Calibri" w:cs="Calibri"/>
              </w:rPr>
              <w:t>oding in Swanley and other area</w:t>
            </w:r>
            <w:r>
              <w:rPr>
                <w:rFonts w:ascii="Calibri" w:hAnsi="Calibri" w:cs="Calibri"/>
              </w:rPr>
              <w:t xml:space="preserve">s. Climate change </w:t>
            </w:r>
            <w:r w:rsidR="00183BE0">
              <w:rPr>
                <w:rFonts w:ascii="Calibri" w:hAnsi="Calibri" w:cs="Calibri"/>
              </w:rPr>
              <w:t>is bringing hea</w:t>
            </w:r>
            <w:r>
              <w:rPr>
                <w:rFonts w:ascii="Calibri" w:hAnsi="Calibri" w:cs="Calibri"/>
              </w:rPr>
              <w:t>vier rainfall. Urban areas are less permeable</w:t>
            </w:r>
            <w:r w:rsidR="00104D36">
              <w:rPr>
                <w:rFonts w:ascii="Calibri" w:hAnsi="Calibri" w:cs="Calibri"/>
              </w:rPr>
              <w:t xml:space="preserve"> then when most estates were built</w:t>
            </w:r>
            <w:r>
              <w:rPr>
                <w:rFonts w:ascii="Calibri" w:hAnsi="Calibri" w:cs="Calibri"/>
              </w:rPr>
              <w:t xml:space="preserve">, including replacing gardens with </w:t>
            </w:r>
            <w:r>
              <w:rPr>
                <w:rFonts w:ascii="Calibri" w:hAnsi="Calibri" w:cs="Calibri"/>
              </w:rPr>
              <w:lastRenderedPageBreak/>
              <w:t>hardstanding</w:t>
            </w:r>
            <w:r w:rsidR="00104D36">
              <w:rPr>
                <w:rFonts w:ascii="Calibri" w:hAnsi="Calibri" w:cs="Calibri"/>
              </w:rPr>
              <w:t>,</w:t>
            </w:r>
            <w:r>
              <w:rPr>
                <w:rFonts w:ascii="Calibri" w:hAnsi="Calibri" w:cs="Calibri"/>
              </w:rPr>
              <w:t xml:space="preserve"> so road drains are getting more surface water to cope with. The answer is more than inserting bigger pipes. Most drainage in Swanley goes into soakaways as it</w:t>
            </w:r>
            <w:r w:rsidR="00550A3E">
              <w:rPr>
                <w:rFonts w:ascii="Calibri" w:hAnsi="Calibri" w:cs="Calibri"/>
              </w:rPr>
              <w:t>’s on chalk but soakaways</w:t>
            </w:r>
            <w:r>
              <w:rPr>
                <w:rFonts w:ascii="Calibri" w:hAnsi="Calibri" w:cs="Calibri"/>
              </w:rPr>
              <w:t xml:space="preserve"> requires space. KCC hopes to reduce the risk of flooding, over the y</w:t>
            </w:r>
            <w:r w:rsidR="00104D36">
              <w:rPr>
                <w:rFonts w:ascii="Calibri" w:hAnsi="Calibri" w:cs="Calibri"/>
              </w:rPr>
              <w:t xml:space="preserve">ears, and </w:t>
            </w:r>
            <w:r w:rsidR="00550A3E">
              <w:rPr>
                <w:rFonts w:ascii="Calibri" w:hAnsi="Calibri" w:cs="Calibri"/>
              </w:rPr>
              <w:t xml:space="preserve">is </w:t>
            </w:r>
            <w:r w:rsidR="00104D36">
              <w:rPr>
                <w:rFonts w:ascii="Calibri" w:hAnsi="Calibri" w:cs="Calibri"/>
              </w:rPr>
              <w:t>accessing the funding</w:t>
            </w:r>
            <w:r w:rsidR="00550A3E">
              <w:rPr>
                <w:rFonts w:ascii="Calibri" w:hAnsi="Calibri" w:cs="Calibri"/>
              </w:rPr>
              <w:t xml:space="preserve"> for this</w:t>
            </w:r>
            <w:r>
              <w:rPr>
                <w:rFonts w:ascii="Calibri" w:hAnsi="Calibri" w:cs="Calibri"/>
              </w:rPr>
              <w:t xml:space="preserve">. Each organisation will be asked to play a part. Southern Water are concerned about capacity for rainwater and treatment works. </w:t>
            </w:r>
            <w:r w:rsidR="00550A3E">
              <w:rPr>
                <w:rFonts w:ascii="Calibri" w:hAnsi="Calibri" w:cs="Calibri"/>
              </w:rPr>
              <w:t xml:space="preserve">Their systems can become overwhelmed in heavy rainfall where there are combined rainwater and foul water systems. </w:t>
            </w:r>
            <w:r>
              <w:rPr>
                <w:rFonts w:ascii="Calibri" w:hAnsi="Calibri" w:cs="Calibri"/>
              </w:rPr>
              <w:t xml:space="preserve">They are looking at providing water butts to take some of the roof water and reduce big flows into drains in heavy rainfall. We need to look at how to store water within the local environment. </w:t>
            </w:r>
          </w:p>
          <w:p w14:paraId="685801F8" w14:textId="77777777" w:rsidR="00550A3E" w:rsidRDefault="00550A3E" w:rsidP="0083463D">
            <w:pPr>
              <w:rPr>
                <w:rFonts w:ascii="Calibri" w:hAnsi="Calibri" w:cs="Calibri"/>
              </w:rPr>
            </w:pPr>
          </w:p>
          <w:p w14:paraId="47376FC8" w14:textId="59E4739E" w:rsidR="0083463D" w:rsidRDefault="00550A3E" w:rsidP="00183BE0">
            <w:pPr>
              <w:rPr>
                <w:rFonts w:ascii="Calibri" w:hAnsi="Calibri" w:cs="Calibri"/>
              </w:rPr>
            </w:pPr>
            <w:r>
              <w:rPr>
                <w:rFonts w:ascii="Calibri" w:hAnsi="Calibri" w:cs="Calibri"/>
              </w:rPr>
              <w:t>I</w:t>
            </w:r>
            <w:r w:rsidR="00183BE0">
              <w:rPr>
                <w:rFonts w:ascii="Calibri" w:hAnsi="Calibri" w:cs="Calibri"/>
              </w:rPr>
              <w:t>t is rare to have areas where h</w:t>
            </w:r>
            <w:r w:rsidR="00104D36">
              <w:rPr>
                <w:rFonts w:ascii="Calibri" w:hAnsi="Calibri" w:cs="Calibri"/>
              </w:rPr>
              <w:t>omes are being built in areas a</w:t>
            </w:r>
            <w:r w:rsidR="00183BE0">
              <w:rPr>
                <w:rFonts w:ascii="Calibri" w:hAnsi="Calibri" w:cs="Calibri"/>
              </w:rPr>
              <w:t xml:space="preserve">t risk of flooding and all are designed to take flood risk into account and designed to avoid a 1 in 100 years flooding event. Flooding seems more common in developments built in 1980s and 1990s as a dry period. </w:t>
            </w:r>
          </w:p>
          <w:p w14:paraId="0759210F" w14:textId="77777777" w:rsidR="00183BE0" w:rsidRDefault="00183BE0" w:rsidP="00183BE0">
            <w:pPr>
              <w:rPr>
                <w:rFonts w:ascii="Calibri" w:hAnsi="Calibri" w:cs="Calibri"/>
              </w:rPr>
            </w:pPr>
          </w:p>
          <w:p w14:paraId="4E39B24E" w14:textId="5DE7B131" w:rsidR="00183BE0" w:rsidRDefault="00183BE0" w:rsidP="00183BE0">
            <w:pPr>
              <w:rPr>
                <w:rFonts w:ascii="Calibri" w:hAnsi="Calibri" w:cs="Calibri"/>
              </w:rPr>
            </w:pPr>
            <w:r>
              <w:rPr>
                <w:rFonts w:ascii="Calibri" w:hAnsi="Calibri" w:cs="Calibri"/>
              </w:rPr>
              <w:t xml:space="preserve">Flood Map is the way to look up flood risks at postcode area. Maps can be downloaded from Data.gov site. QGIS is another option. </w:t>
            </w:r>
          </w:p>
          <w:p w14:paraId="03666AFC" w14:textId="77777777" w:rsidR="00183BE0" w:rsidRDefault="00183BE0" w:rsidP="00183BE0">
            <w:pPr>
              <w:rPr>
                <w:rFonts w:ascii="Calibri" w:hAnsi="Calibri" w:cs="Calibri"/>
              </w:rPr>
            </w:pPr>
          </w:p>
          <w:p w14:paraId="378A9189" w14:textId="40F380BC" w:rsidR="00183BE0" w:rsidRDefault="00104D36" w:rsidP="00183BE0">
            <w:pPr>
              <w:rPr>
                <w:rFonts w:ascii="Calibri" w:hAnsi="Calibri" w:cs="Calibri"/>
              </w:rPr>
            </w:pPr>
            <w:r>
              <w:rPr>
                <w:rFonts w:ascii="Calibri" w:hAnsi="Calibri" w:cs="Calibri"/>
              </w:rPr>
              <w:t>LG Dartford receive flood alerts</w:t>
            </w:r>
            <w:r w:rsidR="00183BE0">
              <w:rPr>
                <w:rFonts w:ascii="Calibri" w:hAnsi="Calibri" w:cs="Calibri"/>
              </w:rPr>
              <w:t xml:space="preserve"> from Environment Agency and also from </w:t>
            </w:r>
            <w:hyperlink r:id="rId12" w:history="1">
              <w:r w:rsidR="00183BE0" w:rsidRPr="005371BF">
                <w:rPr>
                  <w:rStyle w:val="Hyperlink"/>
                  <w:rFonts w:ascii="Calibri" w:hAnsi="Calibri" w:cs="Calibri"/>
                </w:rPr>
                <w:t>notifications@previsico.com</w:t>
              </w:r>
            </w:hyperlink>
            <w:r w:rsidR="00183BE0">
              <w:rPr>
                <w:rFonts w:ascii="Calibri" w:hAnsi="Calibri" w:cs="Calibri"/>
              </w:rPr>
              <w:t xml:space="preserve">  at address level and so far this has been useful. </w:t>
            </w:r>
            <w:r w:rsidR="00667595">
              <w:rPr>
                <w:rFonts w:ascii="Calibri" w:hAnsi="Calibri" w:cs="Calibri"/>
              </w:rPr>
              <w:t>This seems to come from being insured by Zurich.</w:t>
            </w:r>
          </w:p>
          <w:p w14:paraId="1192ED68" w14:textId="77777777" w:rsidR="00183BE0" w:rsidRDefault="00183BE0" w:rsidP="00183BE0">
            <w:pPr>
              <w:rPr>
                <w:rFonts w:ascii="Calibri" w:hAnsi="Calibri" w:cs="Calibri"/>
              </w:rPr>
            </w:pPr>
          </w:p>
          <w:p w14:paraId="1E09DCA5" w14:textId="77777777" w:rsidR="00183BE0" w:rsidRDefault="00183BE0" w:rsidP="00183BE0">
            <w:pPr>
              <w:rPr>
                <w:rFonts w:ascii="Calibri" w:hAnsi="Calibri" w:cs="Calibri"/>
              </w:rPr>
            </w:pPr>
            <w:r>
              <w:rPr>
                <w:rFonts w:ascii="Calibri" w:hAnsi="Calibri" w:cs="Calibri"/>
              </w:rPr>
              <w:t>MT explained that coas</w:t>
            </w:r>
            <w:r w:rsidR="00667595">
              <w:rPr>
                <w:rFonts w:ascii="Calibri" w:hAnsi="Calibri" w:cs="Calibri"/>
              </w:rPr>
              <w:t>ta</w:t>
            </w:r>
            <w:r>
              <w:rPr>
                <w:rFonts w:ascii="Calibri" w:hAnsi="Calibri" w:cs="Calibri"/>
              </w:rPr>
              <w:t xml:space="preserve">l flooding can be forecast accurately. Flooding for surface water flooding is much harder </w:t>
            </w:r>
            <w:r w:rsidR="00667595">
              <w:rPr>
                <w:rFonts w:ascii="Calibri" w:hAnsi="Calibri" w:cs="Calibri"/>
              </w:rPr>
              <w:t xml:space="preserve">to predict </w:t>
            </w:r>
            <w:r>
              <w:rPr>
                <w:rFonts w:ascii="Calibri" w:hAnsi="Calibri" w:cs="Calibri"/>
              </w:rPr>
              <w:t xml:space="preserve">as can only say general areas where the rain fall is predicted. A </w:t>
            </w:r>
            <w:r w:rsidR="00667595">
              <w:rPr>
                <w:rFonts w:ascii="Calibri" w:hAnsi="Calibri" w:cs="Calibri"/>
              </w:rPr>
              <w:t>‘</w:t>
            </w:r>
            <w:r>
              <w:rPr>
                <w:rFonts w:ascii="Calibri" w:hAnsi="Calibri" w:cs="Calibri"/>
              </w:rPr>
              <w:t>now cast</w:t>
            </w:r>
            <w:r w:rsidR="00667595">
              <w:rPr>
                <w:rFonts w:ascii="Calibri" w:hAnsi="Calibri" w:cs="Calibri"/>
              </w:rPr>
              <w:t>’</w:t>
            </w:r>
            <w:r>
              <w:rPr>
                <w:rFonts w:ascii="Calibri" w:hAnsi="Calibri" w:cs="Calibri"/>
              </w:rPr>
              <w:t xml:space="preserve"> says what is happening now and so the flooding is likely at certain locations in a couple of hours. That is only useful if you can respond in a very short timescale. </w:t>
            </w:r>
          </w:p>
          <w:p w14:paraId="6001DDF2" w14:textId="77777777" w:rsidR="00667595" w:rsidRDefault="00667595" w:rsidP="00183BE0">
            <w:pPr>
              <w:rPr>
                <w:rFonts w:ascii="Calibri" w:hAnsi="Calibri" w:cs="Calibri"/>
              </w:rPr>
            </w:pPr>
          </w:p>
          <w:p w14:paraId="4FDD6AC4" w14:textId="4417FCFD" w:rsidR="00667595" w:rsidRDefault="00667595" w:rsidP="00183BE0">
            <w:pPr>
              <w:rPr>
                <w:rFonts w:ascii="Calibri" w:hAnsi="Calibri" w:cs="Calibri"/>
              </w:rPr>
            </w:pPr>
            <w:r>
              <w:rPr>
                <w:rFonts w:ascii="Calibri" w:hAnsi="Calibri" w:cs="Calibri"/>
              </w:rPr>
              <w:t>ND they struggled with getting agencies work together and deciding who owned a drain, or lacking drain maps. MT there is no easy answer for this</w:t>
            </w:r>
            <w:r w:rsidR="00104D36">
              <w:rPr>
                <w:rFonts w:ascii="Calibri" w:hAnsi="Calibri" w:cs="Calibri"/>
              </w:rPr>
              <w:t>. Generally water companies may</w:t>
            </w:r>
            <w:r>
              <w:rPr>
                <w:rFonts w:ascii="Calibri" w:hAnsi="Calibri" w:cs="Calibri"/>
              </w:rPr>
              <w:t xml:space="preserve"> say they don’t own soakaways, but it can be unclear who does. The foul water </w:t>
            </w:r>
            <w:r w:rsidR="00104D36">
              <w:rPr>
                <w:rFonts w:ascii="Calibri" w:hAnsi="Calibri" w:cs="Calibri"/>
              </w:rPr>
              <w:t xml:space="preserve">sewerage system </w:t>
            </w:r>
            <w:r>
              <w:rPr>
                <w:rFonts w:ascii="Calibri" w:hAnsi="Calibri" w:cs="Calibri"/>
              </w:rPr>
              <w:t xml:space="preserve">does belong to the water companies and they have records of them. This will probably continue to be a problem until all assets are mapped, but that would be based on existing records and these can be patchy. </w:t>
            </w:r>
          </w:p>
        </w:tc>
        <w:tc>
          <w:tcPr>
            <w:tcW w:w="851" w:type="dxa"/>
            <w:shd w:val="clear" w:color="auto" w:fill="auto"/>
          </w:tcPr>
          <w:p w14:paraId="7C55CBE6" w14:textId="6EA4B2E9" w:rsidR="00225BB1" w:rsidRDefault="00104D36" w:rsidP="00D53381">
            <w:pPr>
              <w:rPr>
                <w:rFonts w:ascii="Calibri" w:hAnsi="Calibri" w:cs="Calibri"/>
              </w:rPr>
            </w:pPr>
            <w:r>
              <w:rPr>
                <w:rFonts w:ascii="Calibri" w:hAnsi="Calibri" w:cs="Calibri"/>
              </w:rPr>
              <w:lastRenderedPageBreak/>
              <w:t>HM</w:t>
            </w:r>
          </w:p>
        </w:tc>
        <w:tc>
          <w:tcPr>
            <w:tcW w:w="2976" w:type="dxa"/>
            <w:shd w:val="clear" w:color="auto" w:fill="auto"/>
          </w:tcPr>
          <w:p w14:paraId="027C2993" w14:textId="4FA29CB5" w:rsidR="00225BB1" w:rsidRDefault="00104D36" w:rsidP="00D53381">
            <w:pPr>
              <w:rPr>
                <w:rFonts w:ascii="Calibri" w:hAnsi="Calibri" w:cs="Calibri"/>
                <w:color w:val="FF0000"/>
              </w:rPr>
            </w:pPr>
            <w:r>
              <w:rPr>
                <w:rFonts w:ascii="Calibri" w:hAnsi="Calibri" w:cs="Calibri"/>
                <w:color w:val="FF0000"/>
              </w:rPr>
              <w:t>Circulate MT’s presentation</w:t>
            </w:r>
          </w:p>
        </w:tc>
      </w:tr>
      <w:tr w:rsidR="00DD689F" w:rsidRPr="00B14E09" w14:paraId="7F9638B6" w14:textId="77777777" w:rsidTr="008829A5">
        <w:tc>
          <w:tcPr>
            <w:tcW w:w="1560" w:type="dxa"/>
          </w:tcPr>
          <w:p w14:paraId="1EA81A6E" w14:textId="629583F2" w:rsidR="00DD689F" w:rsidRPr="00B14E09" w:rsidRDefault="00225BB1" w:rsidP="00D53381">
            <w:pPr>
              <w:rPr>
                <w:rFonts w:ascii="Calibri" w:hAnsi="Calibri" w:cs="Calibri"/>
              </w:rPr>
            </w:pPr>
            <w:r>
              <w:rPr>
                <w:rFonts w:ascii="Calibri" w:hAnsi="Calibri" w:cs="Calibri"/>
              </w:rPr>
              <w:t>Matters Arising from July</w:t>
            </w:r>
            <w:r w:rsidR="00AE25FA">
              <w:rPr>
                <w:rFonts w:ascii="Calibri" w:hAnsi="Calibri" w:cs="Calibri"/>
              </w:rPr>
              <w:t xml:space="preserve"> 2023</w:t>
            </w:r>
          </w:p>
        </w:tc>
        <w:tc>
          <w:tcPr>
            <w:tcW w:w="9639" w:type="dxa"/>
            <w:shd w:val="clear" w:color="auto" w:fill="auto"/>
          </w:tcPr>
          <w:p w14:paraId="424C5A76" w14:textId="71CE9E62" w:rsidR="002E491B" w:rsidRDefault="002E491B" w:rsidP="00C13CC4">
            <w:pPr>
              <w:rPr>
                <w:rFonts w:ascii="Calibri" w:hAnsi="Calibri" w:cs="Calibri"/>
              </w:rPr>
            </w:pPr>
            <w:r>
              <w:rPr>
                <w:rFonts w:ascii="Calibri" w:hAnsi="Calibri" w:cs="Calibri"/>
              </w:rPr>
              <w:t>LG share info on how Dartford is addressing repairs and monitoring</w:t>
            </w:r>
            <w:r w:rsidR="00104D36">
              <w:rPr>
                <w:rFonts w:ascii="Calibri" w:hAnsi="Calibri" w:cs="Calibri"/>
              </w:rPr>
              <w:t>;</w:t>
            </w:r>
            <w:r w:rsidR="00667595">
              <w:rPr>
                <w:rFonts w:ascii="Calibri" w:hAnsi="Calibri" w:cs="Calibri"/>
              </w:rPr>
              <w:t xml:space="preserve"> They are using Vericon for tenants who they need to communicate </w:t>
            </w:r>
            <w:r w:rsidR="00104D36">
              <w:rPr>
                <w:rFonts w:ascii="Calibri" w:hAnsi="Calibri" w:cs="Calibri"/>
              </w:rPr>
              <w:t xml:space="preserve">with </w:t>
            </w:r>
            <w:r w:rsidR="00667595">
              <w:rPr>
                <w:rFonts w:ascii="Calibri" w:hAnsi="Calibri" w:cs="Calibri"/>
              </w:rPr>
              <w:t xml:space="preserve">on addressing dampness and mould. WKHA have also seen spikes in humidity in kitchens at cooking times and the need to ventilate the kitchens better at certain times. Vericon provides data and then the landlord receives the data and needs to communicate with the tenant, or find a way for that data to go to the tenants. The data does make the conversation with the tenants easier. WKHA is using ACO so the tenant does get the data but hardwiring is a drawback so they cannot be moved easily. </w:t>
            </w:r>
          </w:p>
          <w:p w14:paraId="3174B4CC" w14:textId="4A38F512" w:rsidR="00A03100" w:rsidRDefault="00A03100" w:rsidP="00C13CC4">
            <w:pPr>
              <w:rPr>
                <w:rFonts w:ascii="Calibri" w:hAnsi="Calibri" w:cs="Calibri"/>
              </w:rPr>
            </w:pPr>
          </w:p>
          <w:p w14:paraId="0A37501D" w14:textId="214F1DFC" w:rsidR="00142567" w:rsidRPr="00B14E09" w:rsidRDefault="00225BB1" w:rsidP="00225BB1">
            <w:pPr>
              <w:rPr>
                <w:rFonts w:ascii="Calibri" w:hAnsi="Calibri" w:cs="Calibri"/>
              </w:rPr>
            </w:pPr>
            <w:r>
              <w:rPr>
                <w:rFonts w:ascii="Calibri" w:hAnsi="Calibri" w:cs="Calibri"/>
              </w:rPr>
              <w:lastRenderedPageBreak/>
              <w:t>HM Circulate Josh Arthur’s presentation - done</w:t>
            </w:r>
          </w:p>
        </w:tc>
        <w:tc>
          <w:tcPr>
            <w:tcW w:w="851" w:type="dxa"/>
            <w:shd w:val="clear" w:color="auto" w:fill="auto"/>
          </w:tcPr>
          <w:p w14:paraId="204E8C16" w14:textId="77777777" w:rsidR="00716E10" w:rsidRDefault="00716E10" w:rsidP="00D53381">
            <w:pPr>
              <w:rPr>
                <w:rFonts w:ascii="Calibri" w:hAnsi="Calibri" w:cs="Calibri"/>
              </w:rPr>
            </w:pPr>
          </w:p>
          <w:p w14:paraId="02EB378F" w14:textId="12C79DC8" w:rsidR="001E6AE9" w:rsidRPr="00B14E09" w:rsidRDefault="001E6AE9" w:rsidP="00D53381">
            <w:pPr>
              <w:rPr>
                <w:rFonts w:ascii="Calibri" w:hAnsi="Calibri" w:cs="Calibri"/>
              </w:rPr>
            </w:pPr>
          </w:p>
        </w:tc>
        <w:tc>
          <w:tcPr>
            <w:tcW w:w="2976" w:type="dxa"/>
            <w:shd w:val="clear" w:color="auto" w:fill="auto"/>
          </w:tcPr>
          <w:p w14:paraId="64546989" w14:textId="77777777" w:rsidR="00716E10" w:rsidRDefault="00716E10" w:rsidP="00D53381">
            <w:pPr>
              <w:rPr>
                <w:rFonts w:ascii="Calibri" w:hAnsi="Calibri" w:cs="Calibri"/>
                <w:color w:val="FF0000"/>
              </w:rPr>
            </w:pPr>
          </w:p>
          <w:p w14:paraId="49869C5A" w14:textId="77777777" w:rsidR="001E6AE9" w:rsidRDefault="001E6AE9" w:rsidP="00D53381">
            <w:pPr>
              <w:rPr>
                <w:rFonts w:ascii="Calibri" w:hAnsi="Calibri" w:cs="Calibri"/>
                <w:color w:val="FF0000"/>
              </w:rPr>
            </w:pPr>
          </w:p>
          <w:p w14:paraId="6A05A809" w14:textId="78598F5D" w:rsidR="001E6AE9" w:rsidRPr="00B14E09" w:rsidRDefault="001E6AE9" w:rsidP="00D53381">
            <w:pPr>
              <w:rPr>
                <w:rFonts w:ascii="Calibri" w:hAnsi="Calibri" w:cs="Calibri"/>
                <w:color w:val="FF0000"/>
              </w:rPr>
            </w:pPr>
          </w:p>
        </w:tc>
      </w:tr>
      <w:tr w:rsidR="000E3024" w:rsidRPr="00B14E09" w14:paraId="3872FBC8" w14:textId="77777777" w:rsidTr="008829A5">
        <w:tc>
          <w:tcPr>
            <w:tcW w:w="1560" w:type="dxa"/>
          </w:tcPr>
          <w:p w14:paraId="39E47361" w14:textId="5B32D748" w:rsidR="000E3024" w:rsidRDefault="000E3024" w:rsidP="00D53381">
            <w:pPr>
              <w:rPr>
                <w:rFonts w:ascii="Calibri" w:hAnsi="Calibri" w:cs="Calibri"/>
              </w:rPr>
            </w:pPr>
            <w:r>
              <w:rPr>
                <w:rFonts w:ascii="Calibri" w:hAnsi="Calibri" w:cs="Calibri"/>
              </w:rPr>
              <w:t>Retrofit credits scheme</w:t>
            </w:r>
          </w:p>
        </w:tc>
        <w:tc>
          <w:tcPr>
            <w:tcW w:w="9639" w:type="dxa"/>
            <w:shd w:val="clear" w:color="auto" w:fill="auto"/>
          </w:tcPr>
          <w:p w14:paraId="0C2B1780" w14:textId="75EF2344" w:rsidR="000E3024" w:rsidRDefault="000E3024" w:rsidP="00C13CC4">
            <w:pPr>
              <w:rPr>
                <w:rFonts w:ascii="Calibri" w:hAnsi="Calibri" w:cs="Calibri"/>
              </w:rPr>
            </w:pPr>
            <w:r>
              <w:rPr>
                <w:rFonts w:ascii="Calibri" w:hAnsi="Calibri" w:cs="Calibri"/>
              </w:rPr>
              <w:t xml:space="preserve">Antoine Pellet from HACT </w:t>
            </w:r>
            <w:r w:rsidR="00104D36">
              <w:rPr>
                <w:rFonts w:ascii="Calibri" w:hAnsi="Calibri" w:cs="Calibri"/>
              </w:rPr>
              <w:t>was unable to attend.</w:t>
            </w:r>
          </w:p>
        </w:tc>
        <w:tc>
          <w:tcPr>
            <w:tcW w:w="851" w:type="dxa"/>
            <w:shd w:val="clear" w:color="auto" w:fill="auto"/>
          </w:tcPr>
          <w:p w14:paraId="6C313302" w14:textId="77777777" w:rsidR="000E3024" w:rsidRDefault="000E3024" w:rsidP="00D53381">
            <w:pPr>
              <w:rPr>
                <w:rFonts w:ascii="Calibri" w:hAnsi="Calibri" w:cs="Calibri"/>
              </w:rPr>
            </w:pPr>
          </w:p>
        </w:tc>
        <w:tc>
          <w:tcPr>
            <w:tcW w:w="2976" w:type="dxa"/>
            <w:shd w:val="clear" w:color="auto" w:fill="auto"/>
          </w:tcPr>
          <w:p w14:paraId="367EC5B2" w14:textId="77777777" w:rsidR="000E3024" w:rsidRDefault="000E3024" w:rsidP="00D53381">
            <w:pPr>
              <w:rPr>
                <w:rFonts w:ascii="Calibri" w:hAnsi="Calibri" w:cs="Calibri"/>
                <w:color w:val="FF0000"/>
              </w:rPr>
            </w:pPr>
          </w:p>
        </w:tc>
      </w:tr>
      <w:tr w:rsidR="002E491B" w:rsidRPr="00B14E09" w14:paraId="0C1BAB35" w14:textId="77777777" w:rsidTr="008829A5">
        <w:tc>
          <w:tcPr>
            <w:tcW w:w="1560" w:type="dxa"/>
          </w:tcPr>
          <w:p w14:paraId="358366AE" w14:textId="5B156C02" w:rsidR="002E491B" w:rsidRDefault="00225BB1" w:rsidP="00550A3E">
            <w:pPr>
              <w:rPr>
                <w:rFonts w:ascii="Calibri" w:hAnsi="Calibri" w:cs="Calibri"/>
              </w:rPr>
            </w:pPr>
            <w:r>
              <w:rPr>
                <w:rFonts w:ascii="Calibri" w:hAnsi="Calibri" w:cs="Calibri"/>
              </w:rPr>
              <w:t xml:space="preserve">new guidance of </w:t>
            </w:r>
            <w:r w:rsidR="00550A3E">
              <w:rPr>
                <w:rFonts w:ascii="Calibri" w:hAnsi="Calibri" w:cs="Calibri"/>
              </w:rPr>
              <w:t xml:space="preserve">D&amp;M </w:t>
            </w:r>
          </w:p>
        </w:tc>
        <w:tc>
          <w:tcPr>
            <w:tcW w:w="9639" w:type="dxa"/>
            <w:shd w:val="clear" w:color="auto" w:fill="auto"/>
          </w:tcPr>
          <w:p w14:paraId="0D06E972" w14:textId="0956210B" w:rsidR="007D3E8E" w:rsidRDefault="00225BB1" w:rsidP="00031B33">
            <w:pPr>
              <w:rPr>
                <w:rFonts w:ascii="Calibri" w:hAnsi="Calibri" w:cs="Calibri"/>
              </w:rPr>
            </w:pPr>
            <w:r>
              <w:rPr>
                <w:rFonts w:ascii="Calibri" w:hAnsi="Calibri" w:cs="Calibri"/>
              </w:rPr>
              <w:t xml:space="preserve">The new </w:t>
            </w:r>
            <w:hyperlink r:id="rId13" w:history="1">
              <w:r w:rsidRPr="00225BB1">
                <w:rPr>
                  <w:rStyle w:val="Hyperlink"/>
                  <w:rFonts w:ascii="Calibri" w:hAnsi="Calibri" w:cs="Calibri"/>
                </w:rPr>
                <w:t>guidance</w:t>
              </w:r>
            </w:hyperlink>
            <w:r>
              <w:rPr>
                <w:rFonts w:ascii="Calibri" w:hAnsi="Calibri" w:cs="Calibri"/>
              </w:rPr>
              <w:t xml:space="preserve"> applies to social and privately rented homes. </w:t>
            </w:r>
            <w:r w:rsidR="00104D36">
              <w:rPr>
                <w:rFonts w:ascii="Calibri" w:hAnsi="Calibri" w:cs="Calibri"/>
              </w:rPr>
              <w:t>This was covered at the dampness and mould event</w:t>
            </w:r>
            <w:r w:rsidR="003C1142">
              <w:rPr>
                <w:rFonts w:ascii="Calibri" w:hAnsi="Calibri" w:cs="Calibri"/>
              </w:rPr>
              <w:t xml:space="preserve"> on 15</w:t>
            </w:r>
            <w:r w:rsidR="003C1142" w:rsidRPr="003C1142">
              <w:rPr>
                <w:rFonts w:ascii="Calibri" w:hAnsi="Calibri" w:cs="Calibri"/>
                <w:vertAlign w:val="superscript"/>
              </w:rPr>
              <w:t>th</w:t>
            </w:r>
            <w:r w:rsidR="003C1142">
              <w:rPr>
                <w:rFonts w:ascii="Calibri" w:hAnsi="Calibri" w:cs="Calibri"/>
              </w:rPr>
              <w:t xml:space="preserve"> Sept. The guidance is extended into the private rented sector too. </w:t>
            </w:r>
          </w:p>
        </w:tc>
        <w:tc>
          <w:tcPr>
            <w:tcW w:w="851" w:type="dxa"/>
            <w:shd w:val="clear" w:color="auto" w:fill="auto"/>
          </w:tcPr>
          <w:p w14:paraId="5D3671C9" w14:textId="33F3AA53" w:rsidR="0063478C" w:rsidRPr="00B14E09" w:rsidRDefault="0063478C" w:rsidP="00D53381">
            <w:pPr>
              <w:rPr>
                <w:rFonts w:ascii="Calibri" w:hAnsi="Calibri" w:cs="Calibri"/>
              </w:rPr>
            </w:pPr>
          </w:p>
        </w:tc>
        <w:tc>
          <w:tcPr>
            <w:tcW w:w="2976" w:type="dxa"/>
            <w:shd w:val="clear" w:color="auto" w:fill="auto"/>
          </w:tcPr>
          <w:p w14:paraId="0CB80EC7" w14:textId="4B3879FD" w:rsidR="0063478C" w:rsidRPr="00B14E09" w:rsidRDefault="0063478C" w:rsidP="00D53381">
            <w:pPr>
              <w:rPr>
                <w:rFonts w:ascii="Calibri" w:hAnsi="Calibri" w:cs="Calibri"/>
                <w:color w:val="FF0000"/>
              </w:rPr>
            </w:pPr>
          </w:p>
        </w:tc>
      </w:tr>
      <w:tr w:rsidR="002E491B" w:rsidRPr="00B14E09" w14:paraId="734DB910" w14:textId="77777777" w:rsidTr="008829A5">
        <w:tc>
          <w:tcPr>
            <w:tcW w:w="1560" w:type="dxa"/>
          </w:tcPr>
          <w:p w14:paraId="192E109F" w14:textId="5A8F4088" w:rsidR="002E491B" w:rsidRDefault="00225BB1" w:rsidP="00D53381">
            <w:pPr>
              <w:rPr>
                <w:rFonts w:ascii="Calibri" w:hAnsi="Calibri" w:cs="Calibri"/>
              </w:rPr>
            </w:pPr>
            <w:r>
              <w:rPr>
                <w:rFonts w:ascii="Calibri" w:hAnsi="Calibri" w:cs="Calibri"/>
              </w:rPr>
              <w:t xml:space="preserve">Impacts of RAAC </w:t>
            </w:r>
          </w:p>
        </w:tc>
        <w:tc>
          <w:tcPr>
            <w:tcW w:w="9639" w:type="dxa"/>
            <w:shd w:val="clear" w:color="auto" w:fill="auto"/>
          </w:tcPr>
          <w:p w14:paraId="17406973" w14:textId="29B943BD" w:rsidR="00B46D16" w:rsidRDefault="003C1142" w:rsidP="00880D8E">
            <w:pPr>
              <w:rPr>
                <w:rFonts w:ascii="Calibri" w:hAnsi="Calibri" w:cs="Calibri"/>
              </w:rPr>
            </w:pPr>
            <w:r>
              <w:rPr>
                <w:rFonts w:ascii="Calibri" w:hAnsi="Calibri" w:cs="Calibri"/>
              </w:rPr>
              <w:t>Organisations will be checking whether this is relevant for them.</w:t>
            </w:r>
          </w:p>
        </w:tc>
        <w:tc>
          <w:tcPr>
            <w:tcW w:w="851" w:type="dxa"/>
            <w:shd w:val="clear" w:color="auto" w:fill="auto"/>
          </w:tcPr>
          <w:p w14:paraId="1D1A1169" w14:textId="7A026230" w:rsidR="002E491B" w:rsidRPr="00B14E09" w:rsidRDefault="002E491B" w:rsidP="00D53381">
            <w:pPr>
              <w:rPr>
                <w:rFonts w:ascii="Calibri" w:hAnsi="Calibri" w:cs="Calibri"/>
              </w:rPr>
            </w:pPr>
          </w:p>
        </w:tc>
        <w:tc>
          <w:tcPr>
            <w:tcW w:w="2976" w:type="dxa"/>
            <w:shd w:val="clear" w:color="auto" w:fill="auto"/>
          </w:tcPr>
          <w:p w14:paraId="0C1A9834" w14:textId="0CCB9AE8" w:rsidR="002E491B" w:rsidRPr="00B14E09" w:rsidRDefault="002E491B" w:rsidP="00D53381">
            <w:pPr>
              <w:rPr>
                <w:rFonts w:ascii="Calibri" w:hAnsi="Calibri" w:cs="Calibri"/>
                <w:color w:val="FF0000"/>
              </w:rPr>
            </w:pPr>
          </w:p>
        </w:tc>
      </w:tr>
      <w:tr w:rsidR="00225BB1" w:rsidRPr="00B14E09" w14:paraId="2FC92C76" w14:textId="77777777" w:rsidTr="008829A5">
        <w:tc>
          <w:tcPr>
            <w:tcW w:w="1560" w:type="dxa"/>
          </w:tcPr>
          <w:p w14:paraId="0E998F30" w14:textId="44C9C00F" w:rsidR="00225BB1" w:rsidRDefault="00225BB1" w:rsidP="00D53381">
            <w:pPr>
              <w:rPr>
                <w:rFonts w:ascii="Calibri" w:hAnsi="Calibri" w:cs="Calibri"/>
              </w:rPr>
            </w:pPr>
            <w:r>
              <w:rPr>
                <w:rFonts w:ascii="Calibri" w:hAnsi="Calibri" w:cs="Calibri"/>
              </w:rPr>
              <w:t>Updates from colleague requests</w:t>
            </w:r>
          </w:p>
        </w:tc>
        <w:tc>
          <w:tcPr>
            <w:tcW w:w="9639" w:type="dxa"/>
            <w:shd w:val="clear" w:color="auto" w:fill="auto"/>
          </w:tcPr>
          <w:p w14:paraId="43EC943A" w14:textId="3C8A203E" w:rsidR="00225BB1" w:rsidRDefault="00225BB1" w:rsidP="00880D8E">
            <w:pPr>
              <w:rPr>
                <w:rFonts w:ascii="Calibri" w:hAnsi="Calibri" w:cs="Calibri"/>
              </w:rPr>
            </w:pPr>
            <w:r>
              <w:rPr>
                <w:rFonts w:ascii="Calibri" w:hAnsi="Calibri" w:cs="Calibri"/>
              </w:rPr>
              <w:t xml:space="preserve">EV charge points – Naomi Palmer </w:t>
            </w:r>
            <w:r w:rsidR="00550A3E">
              <w:rPr>
                <w:rFonts w:ascii="Calibri" w:hAnsi="Calibri" w:cs="Calibri"/>
              </w:rPr>
              <w:t>posed a question but was not present. LB shared her learning;</w:t>
            </w:r>
          </w:p>
          <w:p w14:paraId="05CEE61D" w14:textId="3D17A993" w:rsidR="00104D36" w:rsidRDefault="00104D36" w:rsidP="00880D8E">
            <w:pPr>
              <w:rPr>
                <w:rFonts w:ascii="Calibri" w:hAnsi="Calibri" w:cs="Calibri"/>
              </w:rPr>
            </w:pPr>
            <w:r>
              <w:rPr>
                <w:rFonts w:ascii="Calibri" w:hAnsi="Calibri" w:cs="Calibri"/>
              </w:rPr>
              <w:t>LB the back office platform is</w:t>
            </w:r>
            <w:r w:rsidR="003C1142">
              <w:rPr>
                <w:rFonts w:ascii="Calibri" w:hAnsi="Calibri" w:cs="Calibri"/>
              </w:rPr>
              <w:t xml:space="preserve"> important as you need to consider how they will be manage</w:t>
            </w:r>
            <w:r w:rsidR="00550A3E">
              <w:rPr>
                <w:rFonts w:ascii="Calibri" w:hAnsi="Calibri" w:cs="Calibri"/>
              </w:rPr>
              <w:t xml:space="preserve">d. </w:t>
            </w:r>
            <w:r w:rsidR="00DF09C1">
              <w:rPr>
                <w:rFonts w:ascii="Calibri" w:hAnsi="Calibri" w:cs="Calibri"/>
              </w:rPr>
              <w:t>It’s</w:t>
            </w:r>
            <w:r w:rsidR="00550A3E">
              <w:rPr>
                <w:rFonts w:ascii="Calibri" w:hAnsi="Calibri" w:cs="Calibri"/>
              </w:rPr>
              <w:t xml:space="preserve"> easier </w:t>
            </w:r>
            <w:r>
              <w:rPr>
                <w:rFonts w:ascii="Calibri" w:hAnsi="Calibri" w:cs="Calibri"/>
              </w:rPr>
              <w:t>to have one back office</w:t>
            </w:r>
            <w:r w:rsidR="003C1142">
              <w:rPr>
                <w:rFonts w:ascii="Calibri" w:hAnsi="Calibri" w:cs="Calibri"/>
              </w:rPr>
              <w:t xml:space="preserve"> platform to manag</w:t>
            </w:r>
            <w:r w:rsidR="00550A3E">
              <w:rPr>
                <w:rFonts w:ascii="Calibri" w:hAnsi="Calibri" w:cs="Calibri"/>
              </w:rPr>
              <w:t>e all the different providers</w:t>
            </w:r>
            <w:r w:rsidR="003C1142">
              <w:rPr>
                <w:rFonts w:ascii="Calibri" w:hAnsi="Calibri" w:cs="Calibri"/>
              </w:rPr>
              <w:t xml:space="preserve">. You need resource for managing the back office of the charge points. </w:t>
            </w:r>
          </w:p>
          <w:p w14:paraId="4EBD2FD6" w14:textId="77777777" w:rsidR="00104D36" w:rsidRDefault="00104D36" w:rsidP="00880D8E">
            <w:pPr>
              <w:rPr>
                <w:rFonts w:ascii="Calibri" w:hAnsi="Calibri" w:cs="Calibri"/>
              </w:rPr>
            </w:pPr>
          </w:p>
          <w:p w14:paraId="52D4AD6C" w14:textId="11682137" w:rsidR="003C1142" w:rsidRDefault="003C1142" w:rsidP="00880D8E">
            <w:pPr>
              <w:rPr>
                <w:rFonts w:ascii="Calibri" w:hAnsi="Calibri" w:cs="Calibri"/>
              </w:rPr>
            </w:pPr>
            <w:r>
              <w:rPr>
                <w:rFonts w:ascii="Calibri" w:hAnsi="Calibri" w:cs="Calibri"/>
              </w:rPr>
              <w:t xml:space="preserve">Podpoint is well used and users will have seen them in public cars parks. They are compliant with OCPP but are the least open of all the manufacturers. </w:t>
            </w:r>
            <w:r w:rsidR="00DF09C1">
              <w:rPr>
                <w:rFonts w:ascii="Calibri" w:hAnsi="Calibri" w:cs="Calibri"/>
              </w:rPr>
              <w:t xml:space="preserve">LB </w:t>
            </w:r>
            <w:r>
              <w:rPr>
                <w:rFonts w:ascii="Calibri" w:hAnsi="Calibri" w:cs="Calibri"/>
              </w:rPr>
              <w:t>would recommend larger compani</w:t>
            </w:r>
            <w:r w:rsidR="00104D36">
              <w:rPr>
                <w:rFonts w:ascii="Calibri" w:hAnsi="Calibri" w:cs="Calibri"/>
              </w:rPr>
              <w:t>es as smaller ones are being brought</w:t>
            </w:r>
            <w:r>
              <w:rPr>
                <w:rFonts w:ascii="Calibri" w:hAnsi="Calibri" w:cs="Calibri"/>
              </w:rPr>
              <w:t xml:space="preserve"> up. The legislation is updated </w:t>
            </w:r>
            <w:r w:rsidR="00550A3E">
              <w:rPr>
                <w:rFonts w:ascii="Calibri" w:hAnsi="Calibri" w:cs="Calibri"/>
              </w:rPr>
              <w:t xml:space="preserve">regularly </w:t>
            </w:r>
            <w:r>
              <w:rPr>
                <w:rFonts w:ascii="Calibri" w:hAnsi="Calibri" w:cs="Calibri"/>
              </w:rPr>
              <w:t>so the tech</w:t>
            </w:r>
            <w:r w:rsidR="00104D36">
              <w:rPr>
                <w:rFonts w:ascii="Calibri" w:hAnsi="Calibri" w:cs="Calibri"/>
              </w:rPr>
              <w:t>nology</w:t>
            </w:r>
            <w:r>
              <w:rPr>
                <w:rFonts w:ascii="Calibri" w:hAnsi="Calibri" w:cs="Calibri"/>
              </w:rPr>
              <w:t xml:space="preserve"> can quickly become unsupported.  </w:t>
            </w:r>
          </w:p>
          <w:p w14:paraId="388A1324" w14:textId="77777777" w:rsidR="00104D36" w:rsidRDefault="00104D36" w:rsidP="00880D8E">
            <w:pPr>
              <w:rPr>
                <w:rFonts w:ascii="Calibri" w:hAnsi="Calibri" w:cs="Calibri"/>
              </w:rPr>
            </w:pPr>
          </w:p>
          <w:p w14:paraId="58316F63" w14:textId="510CF8B2" w:rsidR="00225BB1" w:rsidRDefault="00550A3E" w:rsidP="00880D8E">
            <w:pPr>
              <w:rPr>
                <w:rFonts w:ascii="Calibri" w:hAnsi="Calibri" w:cs="Calibri"/>
              </w:rPr>
            </w:pPr>
            <w:r>
              <w:rPr>
                <w:rFonts w:ascii="Calibri" w:hAnsi="Calibri" w:cs="Calibri"/>
              </w:rPr>
              <w:t>Many mobility vehicles are electric</w:t>
            </w:r>
            <w:r w:rsidR="003C1142">
              <w:rPr>
                <w:rFonts w:ascii="Calibri" w:hAnsi="Calibri" w:cs="Calibri"/>
              </w:rPr>
              <w:t xml:space="preserve"> now so we will need to provide chargers for them.</w:t>
            </w:r>
          </w:p>
          <w:p w14:paraId="4CE3621B" w14:textId="3F85E9B9" w:rsidR="00BC6103" w:rsidRDefault="00BC6103" w:rsidP="00880D8E">
            <w:pPr>
              <w:rPr>
                <w:rFonts w:ascii="Calibri" w:hAnsi="Calibri" w:cs="Calibri"/>
              </w:rPr>
            </w:pPr>
          </w:p>
          <w:p w14:paraId="4DF55B92" w14:textId="26BC43EF" w:rsidR="00BC6103" w:rsidRDefault="00BC6103" w:rsidP="00880D8E">
            <w:pPr>
              <w:rPr>
                <w:rFonts w:ascii="Calibri" w:hAnsi="Calibri" w:cs="Calibri"/>
              </w:rPr>
            </w:pPr>
            <w:r>
              <w:rPr>
                <w:rFonts w:ascii="Calibri" w:hAnsi="Calibri" w:cs="Calibri"/>
              </w:rPr>
              <w:t>Go</w:t>
            </w:r>
            <w:r w:rsidR="00104D36">
              <w:rPr>
                <w:rFonts w:ascii="Calibri" w:hAnsi="Calibri" w:cs="Calibri"/>
              </w:rPr>
              <w:t xml:space="preserve">lding Homes </w:t>
            </w:r>
            <w:r>
              <w:rPr>
                <w:rFonts w:ascii="Calibri" w:hAnsi="Calibri" w:cs="Calibri"/>
              </w:rPr>
              <w:t>have an EV charge request form. They normally g</w:t>
            </w:r>
            <w:r w:rsidR="00550A3E">
              <w:rPr>
                <w:rFonts w:ascii="Calibri" w:hAnsi="Calibri" w:cs="Calibri"/>
              </w:rPr>
              <w:t>ive permission if tenant has a</w:t>
            </w:r>
            <w:r>
              <w:rPr>
                <w:rFonts w:ascii="Calibri" w:hAnsi="Calibri" w:cs="Calibri"/>
              </w:rPr>
              <w:t xml:space="preserve"> drive way. Some companies are now offering installing charge points free and Golding are investigating these options. Golding Homes provide charge points on new developments. </w:t>
            </w:r>
          </w:p>
          <w:p w14:paraId="5D048986" w14:textId="6F019E5D" w:rsidR="00BC6103" w:rsidRDefault="00BC6103" w:rsidP="00880D8E">
            <w:pPr>
              <w:rPr>
                <w:rFonts w:ascii="Calibri" w:hAnsi="Calibri" w:cs="Calibri"/>
              </w:rPr>
            </w:pPr>
          </w:p>
          <w:p w14:paraId="2C254594" w14:textId="72C9F943" w:rsidR="00BC6103" w:rsidRDefault="00BC6103" w:rsidP="00880D8E">
            <w:pPr>
              <w:rPr>
                <w:rFonts w:ascii="Calibri" w:hAnsi="Calibri" w:cs="Calibri"/>
              </w:rPr>
            </w:pPr>
            <w:r>
              <w:rPr>
                <w:rFonts w:ascii="Calibri" w:hAnsi="Calibri" w:cs="Calibri"/>
              </w:rPr>
              <w:t>Tenants may have a work vehicle that they’d like to charge at home</w:t>
            </w:r>
            <w:r w:rsidR="00026F8B">
              <w:rPr>
                <w:rFonts w:ascii="Calibri" w:hAnsi="Calibri" w:cs="Calibri"/>
              </w:rPr>
              <w:t xml:space="preserve"> even if they don’t have a personal EV yet</w:t>
            </w:r>
            <w:r>
              <w:rPr>
                <w:rFonts w:ascii="Calibri" w:hAnsi="Calibri" w:cs="Calibri"/>
              </w:rPr>
              <w:t xml:space="preserve">. </w:t>
            </w:r>
          </w:p>
          <w:p w14:paraId="55278B0F" w14:textId="77777777" w:rsidR="00225BB1" w:rsidRDefault="00225BB1" w:rsidP="00880D8E">
            <w:pPr>
              <w:rPr>
                <w:rFonts w:ascii="Calibri" w:hAnsi="Calibri" w:cs="Calibri"/>
              </w:rPr>
            </w:pPr>
          </w:p>
          <w:p w14:paraId="3416CF86" w14:textId="1EE675EE" w:rsidR="00550A3E" w:rsidRDefault="00550A3E" w:rsidP="00880D8E">
            <w:pPr>
              <w:rPr>
                <w:rFonts w:ascii="Calibri" w:hAnsi="Calibri" w:cs="Calibri"/>
              </w:rPr>
            </w:pPr>
            <w:r>
              <w:rPr>
                <w:rFonts w:ascii="Calibri" w:hAnsi="Calibri" w:cs="Calibri"/>
              </w:rPr>
              <w:t>No update on Asbestos query as David Green not present.</w:t>
            </w:r>
          </w:p>
        </w:tc>
        <w:tc>
          <w:tcPr>
            <w:tcW w:w="851" w:type="dxa"/>
            <w:shd w:val="clear" w:color="auto" w:fill="auto"/>
          </w:tcPr>
          <w:p w14:paraId="0A350014" w14:textId="77777777" w:rsidR="00225BB1" w:rsidRDefault="00225BB1" w:rsidP="00D53381">
            <w:pPr>
              <w:rPr>
                <w:rFonts w:ascii="Calibri" w:hAnsi="Calibri" w:cs="Calibri"/>
              </w:rPr>
            </w:pPr>
          </w:p>
          <w:p w14:paraId="12415CCA" w14:textId="77777777" w:rsidR="00104D36" w:rsidRDefault="00104D36" w:rsidP="00D53381">
            <w:pPr>
              <w:rPr>
                <w:rFonts w:ascii="Calibri" w:hAnsi="Calibri" w:cs="Calibri"/>
              </w:rPr>
            </w:pPr>
          </w:p>
          <w:p w14:paraId="1C138B26" w14:textId="77777777" w:rsidR="00104D36" w:rsidRDefault="00104D36" w:rsidP="00D53381">
            <w:pPr>
              <w:rPr>
                <w:rFonts w:ascii="Calibri" w:hAnsi="Calibri" w:cs="Calibri"/>
              </w:rPr>
            </w:pPr>
          </w:p>
          <w:p w14:paraId="3DF46957" w14:textId="77777777" w:rsidR="00104D36" w:rsidRDefault="00104D36" w:rsidP="00D53381">
            <w:pPr>
              <w:rPr>
                <w:rFonts w:ascii="Calibri" w:hAnsi="Calibri" w:cs="Calibri"/>
              </w:rPr>
            </w:pPr>
          </w:p>
          <w:p w14:paraId="24ACFF57" w14:textId="77777777" w:rsidR="00104D36" w:rsidRDefault="00104D36" w:rsidP="00D53381">
            <w:pPr>
              <w:rPr>
                <w:rFonts w:ascii="Calibri" w:hAnsi="Calibri" w:cs="Calibri"/>
              </w:rPr>
            </w:pPr>
          </w:p>
          <w:p w14:paraId="72106CAC" w14:textId="77777777" w:rsidR="00104D36" w:rsidRDefault="00104D36" w:rsidP="00D53381">
            <w:pPr>
              <w:rPr>
                <w:rFonts w:ascii="Calibri" w:hAnsi="Calibri" w:cs="Calibri"/>
              </w:rPr>
            </w:pPr>
          </w:p>
          <w:p w14:paraId="5C885EDA" w14:textId="77777777" w:rsidR="00104D36" w:rsidRDefault="00104D36" w:rsidP="00D53381">
            <w:pPr>
              <w:rPr>
                <w:rFonts w:ascii="Calibri" w:hAnsi="Calibri" w:cs="Calibri"/>
              </w:rPr>
            </w:pPr>
          </w:p>
          <w:p w14:paraId="5BDDC106" w14:textId="77777777" w:rsidR="00104D36" w:rsidRDefault="00104D36" w:rsidP="00D53381">
            <w:pPr>
              <w:rPr>
                <w:rFonts w:ascii="Calibri" w:hAnsi="Calibri" w:cs="Calibri"/>
              </w:rPr>
            </w:pPr>
          </w:p>
          <w:p w14:paraId="335ED860" w14:textId="77777777" w:rsidR="00104D36" w:rsidRDefault="00104D36" w:rsidP="00D53381">
            <w:pPr>
              <w:rPr>
                <w:rFonts w:ascii="Calibri" w:hAnsi="Calibri" w:cs="Calibri"/>
              </w:rPr>
            </w:pPr>
          </w:p>
          <w:p w14:paraId="27DD61FD" w14:textId="77777777" w:rsidR="00104D36" w:rsidRDefault="00104D36" w:rsidP="00D53381">
            <w:pPr>
              <w:rPr>
                <w:rFonts w:ascii="Calibri" w:hAnsi="Calibri" w:cs="Calibri"/>
              </w:rPr>
            </w:pPr>
          </w:p>
          <w:p w14:paraId="06C8EE6E" w14:textId="77777777" w:rsidR="00104D36" w:rsidRDefault="00104D36" w:rsidP="00D53381">
            <w:pPr>
              <w:rPr>
                <w:rFonts w:ascii="Calibri" w:hAnsi="Calibri" w:cs="Calibri"/>
              </w:rPr>
            </w:pPr>
          </w:p>
          <w:p w14:paraId="18A534BC" w14:textId="0446E56E" w:rsidR="00104D36" w:rsidRDefault="00104D36" w:rsidP="00D53381">
            <w:pPr>
              <w:rPr>
                <w:rFonts w:ascii="Calibri" w:hAnsi="Calibri" w:cs="Calibri"/>
              </w:rPr>
            </w:pPr>
          </w:p>
          <w:p w14:paraId="64D0C84C" w14:textId="77777777" w:rsidR="00104D36" w:rsidRDefault="00104D36" w:rsidP="00D53381">
            <w:pPr>
              <w:rPr>
                <w:rFonts w:ascii="Calibri" w:hAnsi="Calibri" w:cs="Calibri"/>
              </w:rPr>
            </w:pPr>
          </w:p>
          <w:p w14:paraId="6A240C29" w14:textId="0CD64E73" w:rsidR="00104D36" w:rsidRPr="00B14E09" w:rsidRDefault="00104D36" w:rsidP="00D53381">
            <w:pPr>
              <w:rPr>
                <w:rFonts w:ascii="Calibri" w:hAnsi="Calibri" w:cs="Calibri"/>
              </w:rPr>
            </w:pPr>
            <w:r>
              <w:rPr>
                <w:rFonts w:ascii="Calibri" w:hAnsi="Calibri" w:cs="Calibri"/>
              </w:rPr>
              <w:t>LB</w:t>
            </w:r>
          </w:p>
        </w:tc>
        <w:tc>
          <w:tcPr>
            <w:tcW w:w="2976" w:type="dxa"/>
            <w:shd w:val="clear" w:color="auto" w:fill="auto"/>
          </w:tcPr>
          <w:p w14:paraId="15BF1FC5" w14:textId="77777777" w:rsidR="00225BB1" w:rsidRDefault="00225BB1" w:rsidP="00D53381">
            <w:pPr>
              <w:rPr>
                <w:rFonts w:ascii="Calibri" w:hAnsi="Calibri" w:cs="Calibri"/>
                <w:color w:val="FF0000"/>
              </w:rPr>
            </w:pPr>
          </w:p>
          <w:p w14:paraId="15A5070B" w14:textId="77777777" w:rsidR="00104D36" w:rsidRDefault="00104D36" w:rsidP="00D53381">
            <w:pPr>
              <w:rPr>
                <w:rFonts w:ascii="Calibri" w:hAnsi="Calibri" w:cs="Calibri"/>
                <w:color w:val="FF0000"/>
              </w:rPr>
            </w:pPr>
          </w:p>
          <w:p w14:paraId="6DC3B562" w14:textId="77777777" w:rsidR="00104D36" w:rsidRDefault="00104D36" w:rsidP="00D53381">
            <w:pPr>
              <w:rPr>
                <w:rFonts w:ascii="Calibri" w:hAnsi="Calibri" w:cs="Calibri"/>
                <w:color w:val="FF0000"/>
              </w:rPr>
            </w:pPr>
          </w:p>
          <w:p w14:paraId="56BE116B" w14:textId="77777777" w:rsidR="00104D36" w:rsidRDefault="00104D36" w:rsidP="00D53381">
            <w:pPr>
              <w:rPr>
                <w:rFonts w:ascii="Calibri" w:hAnsi="Calibri" w:cs="Calibri"/>
                <w:color w:val="FF0000"/>
              </w:rPr>
            </w:pPr>
          </w:p>
          <w:p w14:paraId="1C2A55EC" w14:textId="77777777" w:rsidR="00104D36" w:rsidRDefault="00104D36" w:rsidP="00D53381">
            <w:pPr>
              <w:rPr>
                <w:rFonts w:ascii="Calibri" w:hAnsi="Calibri" w:cs="Calibri"/>
                <w:color w:val="FF0000"/>
              </w:rPr>
            </w:pPr>
          </w:p>
          <w:p w14:paraId="210F1F81" w14:textId="77777777" w:rsidR="00104D36" w:rsidRDefault="00104D36" w:rsidP="00D53381">
            <w:pPr>
              <w:rPr>
                <w:rFonts w:ascii="Calibri" w:hAnsi="Calibri" w:cs="Calibri"/>
                <w:color w:val="FF0000"/>
              </w:rPr>
            </w:pPr>
          </w:p>
          <w:p w14:paraId="02423D34" w14:textId="77777777" w:rsidR="00104D36" w:rsidRDefault="00104D36" w:rsidP="00D53381">
            <w:pPr>
              <w:rPr>
                <w:rFonts w:ascii="Calibri" w:hAnsi="Calibri" w:cs="Calibri"/>
                <w:color w:val="FF0000"/>
              </w:rPr>
            </w:pPr>
          </w:p>
          <w:p w14:paraId="6A8487C2" w14:textId="77777777" w:rsidR="00104D36" w:rsidRDefault="00104D36" w:rsidP="00D53381">
            <w:pPr>
              <w:rPr>
                <w:rFonts w:ascii="Calibri" w:hAnsi="Calibri" w:cs="Calibri"/>
                <w:color w:val="FF0000"/>
              </w:rPr>
            </w:pPr>
          </w:p>
          <w:p w14:paraId="720A1653" w14:textId="77777777" w:rsidR="00104D36" w:rsidRDefault="00104D36" w:rsidP="00D53381">
            <w:pPr>
              <w:rPr>
                <w:rFonts w:ascii="Calibri" w:hAnsi="Calibri" w:cs="Calibri"/>
                <w:color w:val="FF0000"/>
              </w:rPr>
            </w:pPr>
          </w:p>
          <w:p w14:paraId="7BB93D7C" w14:textId="77777777" w:rsidR="00104D36" w:rsidRDefault="00104D36" w:rsidP="00D53381">
            <w:pPr>
              <w:rPr>
                <w:rFonts w:ascii="Calibri" w:hAnsi="Calibri" w:cs="Calibri"/>
                <w:color w:val="FF0000"/>
              </w:rPr>
            </w:pPr>
          </w:p>
          <w:p w14:paraId="019786F4" w14:textId="77777777" w:rsidR="00104D36" w:rsidRDefault="00104D36" w:rsidP="00D53381">
            <w:pPr>
              <w:rPr>
                <w:rFonts w:ascii="Calibri" w:hAnsi="Calibri" w:cs="Calibri"/>
                <w:color w:val="FF0000"/>
              </w:rPr>
            </w:pPr>
            <w:bookmarkStart w:id="0" w:name="_GoBack"/>
            <w:bookmarkEnd w:id="0"/>
          </w:p>
          <w:p w14:paraId="37EC3259" w14:textId="58D17D64" w:rsidR="00104D36" w:rsidRDefault="00104D36" w:rsidP="00D53381">
            <w:pPr>
              <w:rPr>
                <w:rFonts w:ascii="Calibri" w:hAnsi="Calibri" w:cs="Calibri"/>
                <w:color w:val="FF0000"/>
              </w:rPr>
            </w:pPr>
          </w:p>
          <w:p w14:paraId="1326ECFC" w14:textId="77777777" w:rsidR="00104D36" w:rsidRDefault="00104D36" w:rsidP="00D53381">
            <w:pPr>
              <w:rPr>
                <w:rFonts w:ascii="Calibri" w:hAnsi="Calibri" w:cs="Calibri"/>
                <w:color w:val="FF0000"/>
              </w:rPr>
            </w:pPr>
          </w:p>
          <w:p w14:paraId="03F381DA" w14:textId="562F04B1" w:rsidR="00104D36" w:rsidRPr="00B14E09" w:rsidRDefault="00104D36" w:rsidP="00D53381">
            <w:pPr>
              <w:rPr>
                <w:rFonts w:ascii="Calibri" w:hAnsi="Calibri" w:cs="Calibri"/>
                <w:color w:val="FF0000"/>
              </w:rPr>
            </w:pPr>
            <w:r>
              <w:rPr>
                <w:rFonts w:ascii="Calibri" w:hAnsi="Calibri" w:cs="Calibri"/>
                <w:color w:val="FF0000"/>
              </w:rPr>
              <w:t>Share EV charging point request form with HM for circulation</w:t>
            </w:r>
          </w:p>
        </w:tc>
      </w:tr>
      <w:tr w:rsidR="00061217" w:rsidRPr="00B14E09" w14:paraId="5AA3E51E" w14:textId="77777777" w:rsidTr="008829A5">
        <w:tc>
          <w:tcPr>
            <w:tcW w:w="1560" w:type="dxa"/>
          </w:tcPr>
          <w:p w14:paraId="2F332C9E" w14:textId="53E4BD78" w:rsidR="00061217" w:rsidRDefault="00F543DA" w:rsidP="00D53381">
            <w:pPr>
              <w:rPr>
                <w:rFonts w:ascii="Calibri" w:hAnsi="Calibri" w:cs="Calibri"/>
              </w:rPr>
            </w:pPr>
            <w:r>
              <w:rPr>
                <w:rFonts w:ascii="Calibri" w:hAnsi="Calibri" w:cs="Calibri"/>
              </w:rPr>
              <w:t>AOB and setting topics for next meeting</w:t>
            </w:r>
          </w:p>
        </w:tc>
        <w:tc>
          <w:tcPr>
            <w:tcW w:w="9639" w:type="dxa"/>
            <w:shd w:val="clear" w:color="auto" w:fill="auto"/>
          </w:tcPr>
          <w:p w14:paraId="22C25ECC" w14:textId="01048877" w:rsidR="00BC6103" w:rsidRDefault="00BC6103" w:rsidP="00E22E9D">
            <w:pPr>
              <w:rPr>
                <w:rFonts w:ascii="Calibri" w:hAnsi="Calibri" w:cs="Calibri"/>
              </w:rPr>
            </w:pPr>
            <w:r>
              <w:rPr>
                <w:rFonts w:ascii="Calibri" w:hAnsi="Calibri" w:cs="Calibri"/>
              </w:rPr>
              <w:t xml:space="preserve">LG Do organisations have a programme for external decorations? WKHA stopped during Covid and started again in 2021-22. Currently focusing on dampness and mould, fire and electrical safety so have stopped cyclical external decorations for this year. They are creating a plan for doing these again. Normally rainwater goods were done by external decorating team so need an awareness of that. </w:t>
            </w:r>
          </w:p>
          <w:p w14:paraId="59FDD3F1" w14:textId="15026FE4" w:rsidR="00BC6103" w:rsidRDefault="00BC6103" w:rsidP="00E22E9D">
            <w:pPr>
              <w:rPr>
                <w:rFonts w:ascii="Calibri" w:hAnsi="Calibri" w:cs="Calibri"/>
              </w:rPr>
            </w:pPr>
            <w:r>
              <w:rPr>
                <w:rFonts w:ascii="Calibri" w:hAnsi="Calibri" w:cs="Calibri"/>
              </w:rPr>
              <w:t>Some tenancies at Dartford had external dec</w:t>
            </w:r>
            <w:r w:rsidR="00026F8B">
              <w:rPr>
                <w:rFonts w:ascii="Calibri" w:hAnsi="Calibri" w:cs="Calibri"/>
              </w:rPr>
              <w:t>oration</w:t>
            </w:r>
            <w:r>
              <w:rPr>
                <w:rFonts w:ascii="Calibri" w:hAnsi="Calibri" w:cs="Calibri"/>
              </w:rPr>
              <w:t xml:space="preserve">s written in to the tenancy agreement so may be worth checking. </w:t>
            </w:r>
          </w:p>
          <w:p w14:paraId="1A68548D" w14:textId="45041D7A" w:rsidR="00187721" w:rsidRDefault="00187721" w:rsidP="00E22E9D">
            <w:pPr>
              <w:rPr>
                <w:rFonts w:ascii="Calibri" w:hAnsi="Calibri" w:cs="Calibri"/>
              </w:rPr>
            </w:pPr>
          </w:p>
          <w:p w14:paraId="1D62E78B" w14:textId="438C8499" w:rsidR="00187721" w:rsidRPr="00187721" w:rsidRDefault="00187721" w:rsidP="00E22E9D">
            <w:pPr>
              <w:rPr>
                <w:rFonts w:ascii="Calibri" w:hAnsi="Calibri" w:cs="Calibri"/>
                <w:b/>
              </w:rPr>
            </w:pPr>
            <w:r w:rsidRPr="00187721">
              <w:rPr>
                <w:rFonts w:ascii="Calibri" w:hAnsi="Calibri" w:cs="Calibri"/>
                <w:b/>
              </w:rPr>
              <w:t xml:space="preserve">Topics for </w:t>
            </w:r>
            <w:r w:rsidR="00BC6103">
              <w:rPr>
                <w:rFonts w:ascii="Calibri" w:hAnsi="Calibri" w:cs="Calibri"/>
                <w:b/>
              </w:rPr>
              <w:t xml:space="preserve"> 2</w:t>
            </w:r>
            <w:r w:rsidR="00BC6103" w:rsidRPr="00BC6103">
              <w:rPr>
                <w:rFonts w:ascii="Calibri" w:hAnsi="Calibri" w:cs="Calibri"/>
                <w:b/>
                <w:vertAlign w:val="superscript"/>
              </w:rPr>
              <w:t>nd</w:t>
            </w:r>
            <w:r w:rsidR="00BC6103">
              <w:rPr>
                <w:rFonts w:ascii="Calibri" w:hAnsi="Calibri" w:cs="Calibri"/>
                <w:b/>
              </w:rPr>
              <w:t xml:space="preserve"> </w:t>
            </w:r>
            <w:r w:rsidRPr="00187721">
              <w:rPr>
                <w:rFonts w:ascii="Calibri" w:hAnsi="Calibri" w:cs="Calibri"/>
                <w:b/>
              </w:rPr>
              <w:t>November;</w:t>
            </w:r>
          </w:p>
          <w:p w14:paraId="5943662A" w14:textId="5FDD3315" w:rsidR="00F543DA" w:rsidRDefault="00F543DA" w:rsidP="00D25DEA">
            <w:pPr>
              <w:rPr>
                <w:rFonts w:ascii="Calibri" w:hAnsi="Calibri" w:cs="Calibri"/>
              </w:rPr>
            </w:pPr>
          </w:p>
        </w:tc>
        <w:tc>
          <w:tcPr>
            <w:tcW w:w="851" w:type="dxa"/>
            <w:shd w:val="clear" w:color="auto" w:fill="auto"/>
          </w:tcPr>
          <w:p w14:paraId="397F7DDD" w14:textId="77777777" w:rsidR="00061217" w:rsidRDefault="00061217" w:rsidP="00D53381">
            <w:pPr>
              <w:rPr>
                <w:rFonts w:ascii="Calibri" w:hAnsi="Calibri" w:cs="Calibri"/>
              </w:rPr>
            </w:pPr>
          </w:p>
          <w:p w14:paraId="317D4F0A" w14:textId="77777777" w:rsidR="00BC6103" w:rsidRDefault="00BC6103" w:rsidP="00D53381">
            <w:pPr>
              <w:rPr>
                <w:rFonts w:ascii="Calibri" w:hAnsi="Calibri" w:cs="Calibri"/>
              </w:rPr>
            </w:pPr>
          </w:p>
          <w:p w14:paraId="2913DB7F" w14:textId="77777777" w:rsidR="00BC6103" w:rsidRDefault="00BC6103" w:rsidP="00D53381">
            <w:pPr>
              <w:rPr>
                <w:rFonts w:ascii="Calibri" w:hAnsi="Calibri" w:cs="Calibri"/>
              </w:rPr>
            </w:pPr>
          </w:p>
          <w:p w14:paraId="66381D4D" w14:textId="77777777" w:rsidR="00BC6103" w:rsidRDefault="00BC6103" w:rsidP="00D53381">
            <w:pPr>
              <w:rPr>
                <w:rFonts w:ascii="Calibri" w:hAnsi="Calibri" w:cs="Calibri"/>
              </w:rPr>
            </w:pPr>
          </w:p>
          <w:p w14:paraId="5CA67185" w14:textId="77777777" w:rsidR="00BC6103" w:rsidRDefault="00BC6103" w:rsidP="00D53381">
            <w:pPr>
              <w:rPr>
                <w:rFonts w:ascii="Calibri" w:hAnsi="Calibri" w:cs="Calibri"/>
              </w:rPr>
            </w:pPr>
          </w:p>
          <w:p w14:paraId="4FBCD839" w14:textId="1BAE75EB" w:rsidR="00BC6103" w:rsidRDefault="00BC6103" w:rsidP="00D53381">
            <w:pPr>
              <w:rPr>
                <w:rFonts w:ascii="Calibri" w:hAnsi="Calibri" w:cs="Calibri"/>
              </w:rPr>
            </w:pPr>
          </w:p>
          <w:p w14:paraId="0B3770E0" w14:textId="4AD1FE0A" w:rsidR="00BC6103" w:rsidRDefault="00BC6103" w:rsidP="00D53381">
            <w:pPr>
              <w:rPr>
                <w:rFonts w:ascii="Calibri" w:hAnsi="Calibri" w:cs="Calibri"/>
              </w:rPr>
            </w:pPr>
          </w:p>
          <w:p w14:paraId="4ED3A00D" w14:textId="368ABD63" w:rsidR="00BC6103" w:rsidRDefault="00BC6103" w:rsidP="00D53381">
            <w:pPr>
              <w:rPr>
                <w:rFonts w:ascii="Calibri" w:hAnsi="Calibri" w:cs="Calibri"/>
              </w:rPr>
            </w:pPr>
            <w:r>
              <w:rPr>
                <w:rFonts w:ascii="Calibri" w:hAnsi="Calibri" w:cs="Calibri"/>
              </w:rPr>
              <w:t>all</w:t>
            </w:r>
          </w:p>
          <w:p w14:paraId="09B33F04" w14:textId="7DFC303D" w:rsidR="00BC6103" w:rsidRPr="00B14E09" w:rsidRDefault="00BC6103" w:rsidP="00D53381">
            <w:pPr>
              <w:rPr>
                <w:rFonts w:ascii="Calibri" w:hAnsi="Calibri" w:cs="Calibri"/>
              </w:rPr>
            </w:pPr>
          </w:p>
        </w:tc>
        <w:tc>
          <w:tcPr>
            <w:tcW w:w="2976" w:type="dxa"/>
            <w:shd w:val="clear" w:color="auto" w:fill="auto"/>
          </w:tcPr>
          <w:p w14:paraId="07D816E4" w14:textId="77777777" w:rsidR="00061217" w:rsidRDefault="00061217" w:rsidP="00D53381">
            <w:pPr>
              <w:rPr>
                <w:rFonts w:ascii="Calibri" w:hAnsi="Calibri" w:cs="Calibri"/>
                <w:color w:val="FF0000"/>
              </w:rPr>
            </w:pPr>
          </w:p>
          <w:p w14:paraId="66B6E293" w14:textId="77777777" w:rsidR="00BC6103" w:rsidRDefault="00BC6103" w:rsidP="00D53381">
            <w:pPr>
              <w:rPr>
                <w:rFonts w:ascii="Calibri" w:hAnsi="Calibri" w:cs="Calibri"/>
                <w:color w:val="FF0000"/>
              </w:rPr>
            </w:pPr>
          </w:p>
          <w:p w14:paraId="7EDA15CA" w14:textId="77777777" w:rsidR="00BC6103" w:rsidRDefault="00BC6103" w:rsidP="00D53381">
            <w:pPr>
              <w:rPr>
                <w:rFonts w:ascii="Calibri" w:hAnsi="Calibri" w:cs="Calibri"/>
                <w:color w:val="FF0000"/>
              </w:rPr>
            </w:pPr>
          </w:p>
          <w:p w14:paraId="502EE95A" w14:textId="77777777" w:rsidR="00BC6103" w:rsidRDefault="00BC6103" w:rsidP="00D53381">
            <w:pPr>
              <w:rPr>
                <w:rFonts w:ascii="Calibri" w:hAnsi="Calibri" w:cs="Calibri"/>
                <w:color w:val="FF0000"/>
              </w:rPr>
            </w:pPr>
          </w:p>
          <w:p w14:paraId="4EC83CE1" w14:textId="5EA5EA01" w:rsidR="00BC6103" w:rsidRDefault="00BC6103" w:rsidP="00D53381">
            <w:pPr>
              <w:rPr>
                <w:rFonts w:ascii="Calibri" w:hAnsi="Calibri" w:cs="Calibri"/>
                <w:color w:val="FF0000"/>
              </w:rPr>
            </w:pPr>
          </w:p>
          <w:p w14:paraId="7C188585" w14:textId="77777777" w:rsidR="00D25DEA" w:rsidRDefault="00D25DEA" w:rsidP="00D53381">
            <w:pPr>
              <w:rPr>
                <w:rFonts w:ascii="Calibri" w:hAnsi="Calibri" w:cs="Calibri"/>
                <w:color w:val="FF0000"/>
              </w:rPr>
            </w:pPr>
          </w:p>
          <w:p w14:paraId="3C852331" w14:textId="59FA8DA3" w:rsidR="00BC6103" w:rsidRPr="00B14E09" w:rsidRDefault="00BC6103" w:rsidP="00D53381">
            <w:pPr>
              <w:rPr>
                <w:rFonts w:ascii="Calibri" w:hAnsi="Calibri" w:cs="Calibri"/>
                <w:color w:val="FF0000"/>
              </w:rPr>
            </w:pPr>
            <w:r>
              <w:rPr>
                <w:rFonts w:ascii="Calibri" w:hAnsi="Calibri" w:cs="Calibri"/>
                <w:color w:val="FF0000"/>
              </w:rPr>
              <w:t>Email HM, ND or MD with topics for November</w:t>
            </w: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9C86DE2" w:rsidR="00AE77F4" w:rsidRDefault="00AE77F4">
        <w:pPr>
          <w:pStyle w:val="Footer"/>
          <w:jc w:val="center"/>
        </w:pPr>
        <w:r>
          <w:fldChar w:fldCharType="begin"/>
        </w:r>
        <w:r>
          <w:instrText xml:space="preserve"> PAGE   \* MERGEFORMAT </w:instrText>
        </w:r>
        <w:r>
          <w:fldChar w:fldCharType="separate"/>
        </w:r>
        <w:r w:rsidR="00DF09C1">
          <w:rPr>
            <w:noProof/>
          </w:rPr>
          <w:t>2</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14"/>
    <w:multiLevelType w:val="hybridMultilevel"/>
    <w:tmpl w:val="454E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34F7"/>
    <w:multiLevelType w:val="hybridMultilevel"/>
    <w:tmpl w:val="265617C2"/>
    <w:lvl w:ilvl="0" w:tplc="EE3E6EB2">
      <w:start w:val="1"/>
      <w:numFmt w:val="bullet"/>
      <w:lvlText w:val="–"/>
      <w:lvlJc w:val="left"/>
      <w:pPr>
        <w:tabs>
          <w:tab w:val="num" w:pos="720"/>
        </w:tabs>
        <w:ind w:left="720" w:hanging="360"/>
      </w:pPr>
      <w:rPr>
        <w:rFonts w:ascii="Arial" w:hAnsi="Arial" w:hint="default"/>
      </w:rPr>
    </w:lvl>
    <w:lvl w:ilvl="1" w:tplc="3E60627C">
      <w:start w:val="1"/>
      <w:numFmt w:val="bullet"/>
      <w:lvlText w:val="–"/>
      <w:lvlJc w:val="left"/>
      <w:pPr>
        <w:tabs>
          <w:tab w:val="num" w:pos="1440"/>
        </w:tabs>
        <w:ind w:left="1440" w:hanging="360"/>
      </w:pPr>
      <w:rPr>
        <w:rFonts w:ascii="Arial" w:hAnsi="Arial" w:hint="default"/>
      </w:rPr>
    </w:lvl>
    <w:lvl w:ilvl="2" w:tplc="C8CE16BA" w:tentative="1">
      <w:start w:val="1"/>
      <w:numFmt w:val="bullet"/>
      <w:lvlText w:val="–"/>
      <w:lvlJc w:val="left"/>
      <w:pPr>
        <w:tabs>
          <w:tab w:val="num" w:pos="2160"/>
        </w:tabs>
        <w:ind w:left="2160" w:hanging="360"/>
      </w:pPr>
      <w:rPr>
        <w:rFonts w:ascii="Arial" w:hAnsi="Arial" w:hint="default"/>
      </w:rPr>
    </w:lvl>
    <w:lvl w:ilvl="3" w:tplc="63F895E4" w:tentative="1">
      <w:start w:val="1"/>
      <w:numFmt w:val="bullet"/>
      <w:lvlText w:val="–"/>
      <w:lvlJc w:val="left"/>
      <w:pPr>
        <w:tabs>
          <w:tab w:val="num" w:pos="2880"/>
        </w:tabs>
        <w:ind w:left="2880" w:hanging="360"/>
      </w:pPr>
      <w:rPr>
        <w:rFonts w:ascii="Arial" w:hAnsi="Arial" w:hint="default"/>
      </w:rPr>
    </w:lvl>
    <w:lvl w:ilvl="4" w:tplc="EF0EA258" w:tentative="1">
      <w:start w:val="1"/>
      <w:numFmt w:val="bullet"/>
      <w:lvlText w:val="–"/>
      <w:lvlJc w:val="left"/>
      <w:pPr>
        <w:tabs>
          <w:tab w:val="num" w:pos="3600"/>
        </w:tabs>
        <w:ind w:left="3600" w:hanging="360"/>
      </w:pPr>
      <w:rPr>
        <w:rFonts w:ascii="Arial" w:hAnsi="Arial" w:hint="default"/>
      </w:rPr>
    </w:lvl>
    <w:lvl w:ilvl="5" w:tplc="7BB2FEA4" w:tentative="1">
      <w:start w:val="1"/>
      <w:numFmt w:val="bullet"/>
      <w:lvlText w:val="–"/>
      <w:lvlJc w:val="left"/>
      <w:pPr>
        <w:tabs>
          <w:tab w:val="num" w:pos="4320"/>
        </w:tabs>
        <w:ind w:left="4320" w:hanging="360"/>
      </w:pPr>
      <w:rPr>
        <w:rFonts w:ascii="Arial" w:hAnsi="Arial" w:hint="default"/>
      </w:rPr>
    </w:lvl>
    <w:lvl w:ilvl="6" w:tplc="9EEE96B2" w:tentative="1">
      <w:start w:val="1"/>
      <w:numFmt w:val="bullet"/>
      <w:lvlText w:val="–"/>
      <w:lvlJc w:val="left"/>
      <w:pPr>
        <w:tabs>
          <w:tab w:val="num" w:pos="5040"/>
        </w:tabs>
        <w:ind w:left="5040" w:hanging="360"/>
      </w:pPr>
      <w:rPr>
        <w:rFonts w:ascii="Arial" w:hAnsi="Arial" w:hint="default"/>
      </w:rPr>
    </w:lvl>
    <w:lvl w:ilvl="7" w:tplc="BD9CC546" w:tentative="1">
      <w:start w:val="1"/>
      <w:numFmt w:val="bullet"/>
      <w:lvlText w:val="–"/>
      <w:lvlJc w:val="left"/>
      <w:pPr>
        <w:tabs>
          <w:tab w:val="num" w:pos="5760"/>
        </w:tabs>
        <w:ind w:left="5760" w:hanging="360"/>
      </w:pPr>
      <w:rPr>
        <w:rFonts w:ascii="Arial" w:hAnsi="Arial" w:hint="default"/>
      </w:rPr>
    </w:lvl>
    <w:lvl w:ilvl="8" w:tplc="A4E8E59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2"/>
  </w:num>
  <w:num w:numId="4">
    <w:abstractNumId w:val="10"/>
  </w:num>
  <w:num w:numId="5">
    <w:abstractNumId w:val="5"/>
  </w:num>
  <w:num w:numId="6">
    <w:abstractNumId w:val="7"/>
  </w:num>
  <w:num w:numId="7">
    <w:abstractNumId w:val="4"/>
  </w:num>
  <w:num w:numId="8">
    <w:abstractNumId w:val="8"/>
  </w:num>
  <w:num w:numId="9">
    <w:abstractNumId w:val="3"/>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131F9"/>
    <w:rsid w:val="00020283"/>
    <w:rsid w:val="00020716"/>
    <w:rsid w:val="00021BCC"/>
    <w:rsid w:val="000224F4"/>
    <w:rsid w:val="00025C1C"/>
    <w:rsid w:val="00026045"/>
    <w:rsid w:val="00026E56"/>
    <w:rsid w:val="00026F8B"/>
    <w:rsid w:val="000279B1"/>
    <w:rsid w:val="00031B33"/>
    <w:rsid w:val="00031DE3"/>
    <w:rsid w:val="00031DE6"/>
    <w:rsid w:val="00031EC0"/>
    <w:rsid w:val="00037E13"/>
    <w:rsid w:val="00040551"/>
    <w:rsid w:val="00051D05"/>
    <w:rsid w:val="00052289"/>
    <w:rsid w:val="000564F4"/>
    <w:rsid w:val="000566D7"/>
    <w:rsid w:val="0006121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1EA"/>
    <w:rsid w:val="00092216"/>
    <w:rsid w:val="00093115"/>
    <w:rsid w:val="00094D7E"/>
    <w:rsid w:val="00095689"/>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3024"/>
    <w:rsid w:val="000E57C5"/>
    <w:rsid w:val="000E6197"/>
    <w:rsid w:val="000E693F"/>
    <w:rsid w:val="000E69E2"/>
    <w:rsid w:val="000F4EEA"/>
    <w:rsid w:val="000F6F35"/>
    <w:rsid w:val="0010119D"/>
    <w:rsid w:val="00103CB3"/>
    <w:rsid w:val="00103E4A"/>
    <w:rsid w:val="00104544"/>
    <w:rsid w:val="00104D36"/>
    <w:rsid w:val="00105208"/>
    <w:rsid w:val="00106D8C"/>
    <w:rsid w:val="0011025C"/>
    <w:rsid w:val="00110C77"/>
    <w:rsid w:val="00111B2B"/>
    <w:rsid w:val="0011261D"/>
    <w:rsid w:val="00112C6A"/>
    <w:rsid w:val="001138BF"/>
    <w:rsid w:val="00115F2B"/>
    <w:rsid w:val="00120877"/>
    <w:rsid w:val="00121ACE"/>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567"/>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3BE0"/>
    <w:rsid w:val="00185168"/>
    <w:rsid w:val="00187721"/>
    <w:rsid w:val="00187F84"/>
    <w:rsid w:val="00190A5E"/>
    <w:rsid w:val="00192D87"/>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6AE9"/>
    <w:rsid w:val="001E7873"/>
    <w:rsid w:val="001E7C0F"/>
    <w:rsid w:val="001F00E7"/>
    <w:rsid w:val="001F15A2"/>
    <w:rsid w:val="001F1855"/>
    <w:rsid w:val="001F399C"/>
    <w:rsid w:val="001F406A"/>
    <w:rsid w:val="001F687A"/>
    <w:rsid w:val="00200B68"/>
    <w:rsid w:val="00200F02"/>
    <w:rsid w:val="00201496"/>
    <w:rsid w:val="002036A2"/>
    <w:rsid w:val="002039E9"/>
    <w:rsid w:val="00205AB1"/>
    <w:rsid w:val="0021081A"/>
    <w:rsid w:val="00211B0A"/>
    <w:rsid w:val="00213709"/>
    <w:rsid w:val="002147E0"/>
    <w:rsid w:val="00217B4D"/>
    <w:rsid w:val="0022435F"/>
    <w:rsid w:val="00225B30"/>
    <w:rsid w:val="00225BB1"/>
    <w:rsid w:val="00226417"/>
    <w:rsid w:val="00231013"/>
    <w:rsid w:val="00231434"/>
    <w:rsid w:val="00235BE7"/>
    <w:rsid w:val="00243F41"/>
    <w:rsid w:val="00251DE6"/>
    <w:rsid w:val="00252846"/>
    <w:rsid w:val="00252D55"/>
    <w:rsid w:val="0025436F"/>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28A"/>
    <w:rsid w:val="002A366D"/>
    <w:rsid w:val="002B04EC"/>
    <w:rsid w:val="002B0598"/>
    <w:rsid w:val="002B184E"/>
    <w:rsid w:val="002B242C"/>
    <w:rsid w:val="002B3A4E"/>
    <w:rsid w:val="002B5316"/>
    <w:rsid w:val="002B5DFA"/>
    <w:rsid w:val="002C4147"/>
    <w:rsid w:val="002C42E7"/>
    <w:rsid w:val="002C467D"/>
    <w:rsid w:val="002C4971"/>
    <w:rsid w:val="002D03A5"/>
    <w:rsid w:val="002D0D5E"/>
    <w:rsid w:val="002D12E3"/>
    <w:rsid w:val="002D7698"/>
    <w:rsid w:val="002E491B"/>
    <w:rsid w:val="002E4E2D"/>
    <w:rsid w:val="002F3E48"/>
    <w:rsid w:val="002F5226"/>
    <w:rsid w:val="002F602F"/>
    <w:rsid w:val="0030063D"/>
    <w:rsid w:val="00304B83"/>
    <w:rsid w:val="00310065"/>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0C80"/>
    <w:rsid w:val="00353AF7"/>
    <w:rsid w:val="003561E6"/>
    <w:rsid w:val="003609FF"/>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142"/>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2714"/>
    <w:rsid w:val="00413580"/>
    <w:rsid w:val="004140BD"/>
    <w:rsid w:val="00415405"/>
    <w:rsid w:val="004159F3"/>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59CA"/>
    <w:rsid w:val="00457237"/>
    <w:rsid w:val="00462B1D"/>
    <w:rsid w:val="00465C9D"/>
    <w:rsid w:val="00466EDC"/>
    <w:rsid w:val="00466EEE"/>
    <w:rsid w:val="00467B70"/>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091A"/>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0D0"/>
    <w:rsid w:val="00540DC7"/>
    <w:rsid w:val="00541521"/>
    <w:rsid w:val="005427B0"/>
    <w:rsid w:val="00542E92"/>
    <w:rsid w:val="00542FA6"/>
    <w:rsid w:val="00543109"/>
    <w:rsid w:val="00543D2C"/>
    <w:rsid w:val="005462D1"/>
    <w:rsid w:val="00546A5C"/>
    <w:rsid w:val="00550A3E"/>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18E"/>
    <w:rsid w:val="005D1AB8"/>
    <w:rsid w:val="005D1DB6"/>
    <w:rsid w:val="005D2475"/>
    <w:rsid w:val="005D68EF"/>
    <w:rsid w:val="005D7EAF"/>
    <w:rsid w:val="005E7D5A"/>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478C"/>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595"/>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23A"/>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4E19"/>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5ECF"/>
    <w:rsid w:val="007A659C"/>
    <w:rsid w:val="007A6841"/>
    <w:rsid w:val="007A7E26"/>
    <w:rsid w:val="007B1554"/>
    <w:rsid w:val="007B17A7"/>
    <w:rsid w:val="007B198E"/>
    <w:rsid w:val="007B1A6D"/>
    <w:rsid w:val="007B2603"/>
    <w:rsid w:val="007B323F"/>
    <w:rsid w:val="007B5E27"/>
    <w:rsid w:val="007B67F9"/>
    <w:rsid w:val="007C2A71"/>
    <w:rsid w:val="007C47C8"/>
    <w:rsid w:val="007C6822"/>
    <w:rsid w:val="007D12F2"/>
    <w:rsid w:val="007D1934"/>
    <w:rsid w:val="007D3984"/>
    <w:rsid w:val="007D3E8E"/>
    <w:rsid w:val="007D4AD6"/>
    <w:rsid w:val="007D65DF"/>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0087"/>
    <w:rsid w:val="00831049"/>
    <w:rsid w:val="008319F8"/>
    <w:rsid w:val="00831B42"/>
    <w:rsid w:val="008320FE"/>
    <w:rsid w:val="008326A7"/>
    <w:rsid w:val="008328DA"/>
    <w:rsid w:val="0083463D"/>
    <w:rsid w:val="0083542E"/>
    <w:rsid w:val="00836724"/>
    <w:rsid w:val="00840B44"/>
    <w:rsid w:val="00841173"/>
    <w:rsid w:val="00842D44"/>
    <w:rsid w:val="00843F80"/>
    <w:rsid w:val="008442E5"/>
    <w:rsid w:val="00847B26"/>
    <w:rsid w:val="008517F9"/>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0D8E"/>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6F80"/>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4E5E"/>
    <w:rsid w:val="00965254"/>
    <w:rsid w:val="00967D9D"/>
    <w:rsid w:val="0097122E"/>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A74A6"/>
    <w:rsid w:val="009B03DB"/>
    <w:rsid w:val="009B12CC"/>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892"/>
    <w:rsid w:val="009E3D00"/>
    <w:rsid w:val="009E48ED"/>
    <w:rsid w:val="009E49FB"/>
    <w:rsid w:val="009E732B"/>
    <w:rsid w:val="009F047F"/>
    <w:rsid w:val="009F2480"/>
    <w:rsid w:val="009F37C0"/>
    <w:rsid w:val="009F6DD3"/>
    <w:rsid w:val="00A01750"/>
    <w:rsid w:val="00A02477"/>
    <w:rsid w:val="00A03100"/>
    <w:rsid w:val="00A041DA"/>
    <w:rsid w:val="00A05E24"/>
    <w:rsid w:val="00A104C6"/>
    <w:rsid w:val="00A10AA2"/>
    <w:rsid w:val="00A1338E"/>
    <w:rsid w:val="00A16B46"/>
    <w:rsid w:val="00A22C02"/>
    <w:rsid w:val="00A24E5F"/>
    <w:rsid w:val="00A2502B"/>
    <w:rsid w:val="00A25C3D"/>
    <w:rsid w:val="00A3083F"/>
    <w:rsid w:val="00A31FFE"/>
    <w:rsid w:val="00A32D9B"/>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0E62"/>
    <w:rsid w:val="00AE13BF"/>
    <w:rsid w:val="00AE25FA"/>
    <w:rsid w:val="00AE5827"/>
    <w:rsid w:val="00AE6003"/>
    <w:rsid w:val="00AE7410"/>
    <w:rsid w:val="00AE77F4"/>
    <w:rsid w:val="00AF45B6"/>
    <w:rsid w:val="00AF537A"/>
    <w:rsid w:val="00AF5388"/>
    <w:rsid w:val="00B01AF2"/>
    <w:rsid w:val="00B037EB"/>
    <w:rsid w:val="00B12065"/>
    <w:rsid w:val="00B14E09"/>
    <w:rsid w:val="00B17CEA"/>
    <w:rsid w:val="00B21776"/>
    <w:rsid w:val="00B22E92"/>
    <w:rsid w:val="00B24314"/>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6D16"/>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6103"/>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1FBC"/>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954"/>
    <w:rsid w:val="00C70A53"/>
    <w:rsid w:val="00C70D27"/>
    <w:rsid w:val="00C74661"/>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035"/>
    <w:rsid w:val="00D03209"/>
    <w:rsid w:val="00D03CE7"/>
    <w:rsid w:val="00D06ACE"/>
    <w:rsid w:val="00D07796"/>
    <w:rsid w:val="00D103B4"/>
    <w:rsid w:val="00D11047"/>
    <w:rsid w:val="00D110D6"/>
    <w:rsid w:val="00D17D37"/>
    <w:rsid w:val="00D228E5"/>
    <w:rsid w:val="00D22FFF"/>
    <w:rsid w:val="00D25DEA"/>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2073"/>
    <w:rsid w:val="00D75843"/>
    <w:rsid w:val="00D8069A"/>
    <w:rsid w:val="00D817C5"/>
    <w:rsid w:val="00D81E16"/>
    <w:rsid w:val="00D8351A"/>
    <w:rsid w:val="00D84120"/>
    <w:rsid w:val="00D84EA9"/>
    <w:rsid w:val="00D85658"/>
    <w:rsid w:val="00D871E0"/>
    <w:rsid w:val="00D87693"/>
    <w:rsid w:val="00D87E91"/>
    <w:rsid w:val="00D90E15"/>
    <w:rsid w:val="00D91312"/>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09C1"/>
    <w:rsid w:val="00DF2FAC"/>
    <w:rsid w:val="00DF435D"/>
    <w:rsid w:val="00DF47CB"/>
    <w:rsid w:val="00DF5A67"/>
    <w:rsid w:val="00E00571"/>
    <w:rsid w:val="00E013BE"/>
    <w:rsid w:val="00E02FF5"/>
    <w:rsid w:val="00E1041C"/>
    <w:rsid w:val="00E10801"/>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D702F"/>
    <w:rsid w:val="00EE0B28"/>
    <w:rsid w:val="00EE4DF0"/>
    <w:rsid w:val="00EE5333"/>
    <w:rsid w:val="00EE552B"/>
    <w:rsid w:val="00EF00B7"/>
    <w:rsid w:val="00EF1965"/>
    <w:rsid w:val="00F03221"/>
    <w:rsid w:val="00F04F04"/>
    <w:rsid w:val="00F106D2"/>
    <w:rsid w:val="00F10803"/>
    <w:rsid w:val="00F10EF9"/>
    <w:rsid w:val="00F13A05"/>
    <w:rsid w:val="00F13A74"/>
    <w:rsid w:val="00F204C0"/>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3DA"/>
    <w:rsid w:val="00F547D0"/>
    <w:rsid w:val="00F557F7"/>
    <w:rsid w:val="00F55B1F"/>
    <w:rsid w:val="00F6164E"/>
    <w:rsid w:val="00F6254F"/>
    <w:rsid w:val="00F64E91"/>
    <w:rsid w:val="00F65A00"/>
    <w:rsid w:val="00F6697C"/>
    <w:rsid w:val="00F706E2"/>
    <w:rsid w:val="00F7118B"/>
    <w:rsid w:val="00F72A3A"/>
    <w:rsid w:val="00F76478"/>
    <w:rsid w:val="00F8366F"/>
    <w:rsid w:val="00F84456"/>
    <w:rsid w:val="00F87203"/>
    <w:rsid w:val="00F8765B"/>
    <w:rsid w:val="00F87CBC"/>
    <w:rsid w:val="00F923D8"/>
    <w:rsid w:val="00F924FD"/>
    <w:rsid w:val="00F92BA3"/>
    <w:rsid w:val="00F96DCE"/>
    <w:rsid w:val="00F96F70"/>
    <w:rsid w:val="00FA2BF4"/>
    <w:rsid w:val="00FA3F4C"/>
    <w:rsid w:val="00FA4977"/>
    <w:rsid w:val="00FA5FAC"/>
    <w:rsid w:val="00FB113B"/>
    <w:rsid w:val="00FB165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7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29236641">
      <w:bodyDiv w:val="1"/>
      <w:marLeft w:val="0"/>
      <w:marRight w:val="0"/>
      <w:marTop w:val="0"/>
      <w:marBottom w:val="0"/>
      <w:divBdr>
        <w:top w:val="none" w:sz="0" w:space="0" w:color="auto"/>
        <w:left w:val="none" w:sz="0" w:space="0" w:color="auto"/>
        <w:bottom w:val="none" w:sz="0" w:space="0" w:color="auto"/>
        <w:right w:val="none" w:sz="0" w:space="0" w:color="auto"/>
      </w:divBdr>
      <w:divsChild>
        <w:div w:id="846601531">
          <w:marLeft w:val="1166"/>
          <w:marRight w:val="0"/>
          <w:marTop w:val="101"/>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amp-and-mould-understanding-and-addressing-the-health-risks-for-rented-housing-providers/understanding-and-addressing-the-health-risks-of-damp-and-mould-in-the-home--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fications@previsi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heck-long-term-flood-ri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de81c19-0895-4efc-b747-8c9e5bcc3cf2"/>
    <ds:schemaRef ds:uri="http://www.w3.org/XML/1998/namespace"/>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35E1CF49-62A9-41D4-9BF7-E0876F4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9</cp:revision>
  <cp:lastPrinted>2020-01-29T14:29:00Z</cp:lastPrinted>
  <dcterms:created xsi:type="dcterms:W3CDTF">2023-09-13T09:33:00Z</dcterms:created>
  <dcterms:modified xsi:type="dcterms:W3CDTF">2023-09-20T10:52:00Z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