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91" w:rsidRPr="00D70059" w:rsidRDefault="005B722A">
      <w:pPr>
        <w:rPr>
          <w:rFonts w:cstheme="minorHAnsi"/>
          <w:b/>
        </w:rPr>
      </w:pPr>
      <w:r w:rsidRPr="00D70059">
        <w:rPr>
          <w:rFonts w:cstheme="minorHAnsi"/>
          <w:b/>
        </w:rPr>
        <w:t>Contain Outbreak Management Fund Update</w:t>
      </w:r>
      <w:r w:rsidR="00D31A52" w:rsidRPr="00D70059">
        <w:rPr>
          <w:rFonts w:cstheme="minorHAnsi"/>
          <w:b/>
        </w:rPr>
        <w:t xml:space="preserve"> for </w:t>
      </w:r>
      <w:r w:rsidR="00522213">
        <w:rPr>
          <w:rFonts w:cstheme="minorHAnsi"/>
          <w:b/>
        </w:rPr>
        <w:t>KH</w:t>
      </w:r>
      <w:r w:rsidR="00A81647">
        <w:rPr>
          <w:rFonts w:cstheme="minorHAnsi"/>
          <w:b/>
        </w:rPr>
        <w:t xml:space="preserve">G </w:t>
      </w:r>
      <w:r w:rsidR="00522213">
        <w:rPr>
          <w:rFonts w:cstheme="minorHAnsi"/>
          <w:b/>
        </w:rPr>
        <w:t>and Board 25</w:t>
      </w:r>
      <w:r w:rsidR="00D70059" w:rsidRPr="00D70059">
        <w:rPr>
          <w:rFonts w:cstheme="minorHAnsi"/>
          <w:b/>
          <w:vertAlign w:val="superscript"/>
        </w:rPr>
        <w:t>th</w:t>
      </w:r>
      <w:r w:rsidR="00D70059" w:rsidRPr="00D70059">
        <w:rPr>
          <w:rFonts w:cstheme="minorHAnsi"/>
          <w:b/>
        </w:rPr>
        <w:t xml:space="preserve"> May 2022</w:t>
      </w:r>
    </w:p>
    <w:p w:rsidR="005B722A" w:rsidRPr="00D70059" w:rsidRDefault="005B722A">
      <w:pPr>
        <w:rPr>
          <w:rFonts w:cstheme="minorHAnsi"/>
        </w:rPr>
      </w:pPr>
      <w:r w:rsidRPr="00D70059">
        <w:rPr>
          <w:rFonts w:cstheme="minorHAnsi"/>
        </w:rPr>
        <w:t>KHG made a successful £2.5M bid to KCC for this project which aims to address financial hardship arising from Covid-19 leading to homelessness. It has two strands;</w:t>
      </w:r>
    </w:p>
    <w:p w:rsidR="005B722A" w:rsidRPr="00D70059" w:rsidRDefault="005B722A" w:rsidP="005B722A">
      <w:pPr>
        <w:pStyle w:val="ListParagraph"/>
        <w:numPr>
          <w:ilvl w:val="0"/>
          <w:numId w:val="1"/>
        </w:numPr>
        <w:rPr>
          <w:rFonts w:cstheme="minorHAnsi"/>
        </w:rPr>
      </w:pPr>
      <w:r w:rsidRPr="00D70059">
        <w:rPr>
          <w:rFonts w:cstheme="minorHAnsi"/>
        </w:rPr>
        <w:t>Funds to each Kent LHA to address financial hardship arising from Co</w:t>
      </w:r>
      <w:r w:rsidR="00C01BC0" w:rsidRPr="00D70059">
        <w:rPr>
          <w:rFonts w:cstheme="minorHAnsi"/>
        </w:rPr>
        <w:t>vid-19 leading to homelessness in all tenures</w:t>
      </w:r>
    </w:p>
    <w:p w:rsidR="00C01BC0" w:rsidRPr="00D70059" w:rsidRDefault="00C01BC0" w:rsidP="005B722A">
      <w:pPr>
        <w:pStyle w:val="ListParagraph"/>
        <w:numPr>
          <w:ilvl w:val="0"/>
          <w:numId w:val="1"/>
        </w:numPr>
        <w:rPr>
          <w:rStyle w:val="Hyperlink"/>
          <w:rFonts w:cstheme="minorHAnsi"/>
          <w:color w:val="auto"/>
          <w:u w:val="none"/>
        </w:rPr>
      </w:pPr>
      <w:r w:rsidRPr="00D70059">
        <w:rPr>
          <w:rFonts w:cstheme="minorHAnsi"/>
        </w:rPr>
        <w:t xml:space="preserve">Funds to market the LHAs homelessness service to landlords using the website </w:t>
      </w:r>
      <w:hyperlink r:id="rId5" w:history="1">
        <w:r w:rsidRPr="00D70059">
          <w:rPr>
            <w:rStyle w:val="Hyperlink"/>
            <w:rFonts w:cstheme="minorHAnsi"/>
          </w:rPr>
          <w:t>www.supportforkentlandlords.co.uk</w:t>
        </w:r>
      </w:hyperlink>
      <w:r w:rsidRPr="00D70059">
        <w:rPr>
          <w:rStyle w:val="Hyperlink"/>
          <w:rFonts w:cstheme="minorHAnsi"/>
        </w:rPr>
        <w:t xml:space="preserve"> </w:t>
      </w:r>
      <w:r w:rsidRPr="00D70059">
        <w:rPr>
          <w:rStyle w:val="Hyperlink"/>
          <w:rFonts w:cstheme="minorHAnsi"/>
          <w:color w:val="auto"/>
          <w:u w:val="none"/>
        </w:rPr>
        <w:t xml:space="preserve">and social media, press releases, etc. </w:t>
      </w:r>
    </w:p>
    <w:p w:rsidR="004E565C" w:rsidRPr="00D70059" w:rsidRDefault="004E565C" w:rsidP="00F23936">
      <w:pPr>
        <w:rPr>
          <w:rFonts w:cstheme="minorHAnsi"/>
        </w:rPr>
      </w:pPr>
      <w:r w:rsidRPr="00D70059">
        <w:rPr>
          <w:rFonts w:cstheme="minorHAnsi"/>
        </w:rPr>
        <w:t xml:space="preserve">COMF funding is for preventing homelessness primarily in the private rented sector but can also be used in the social rented sector and for mortgage arrears. It is for households adversely financially affected by COVID.  </w:t>
      </w:r>
      <w:r w:rsidR="00F23936" w:rsidRPr="00D70059">
        <w:rPr>
          <w:rFonts w:cstheme="minorHAnsi"/>
        </w:rPr>
        <w:t>The project was to run to 31</w:t>
      </w:r>
      <w:r w:rsidR="00F23936" w:rsidRPr="00D70059">
        <w:rPr>
          <w:rFonts w:cstheme="minorHAnsi"/>
          <w:vertAlign w:val="superscript"/>
        </w:rPr>
        <w:t>st</w:t>
      </w:r>
      <w:r w:rsidR="00F23936" w:rsidRPr="00D70059">
        <w:rPr>
          <w:rFonts w:cstheme="minorHAnsi"/>
        </w:rPr>
        <w:t xml:space="preserve"> March 2022 but KCC extended it as some councils were not going to be able to spend the funds in time. </w:t>
      </w:r>
    </w:p>
    <w:p w:rsidR="00A81647" w:rsidRDefault="00F23936" w:rsidP="00F23936">
      <w:pPr>
        <w:rPr>
          <w:rFonts w:cstheme="minorHAnsi"/>
        </w:rPr>
      </w:pPr>
      <w:r w:rsidRPr="00D70059">
        <w:rPr>
          <w:rFonts w:cstheme="minorHAnsi"/>
        </w:rPr>
        <w:t>Sevenoaks and Dover councils were al</w:t>
      </w:r>
      <w:r w:rsidR="00B70E83" w:rsidRPr="00D70059">
        <w:rPr>
          <w:rFonts w:cstheme="minorHAnsi"/>
        </w:rPr>
        <w:t>located additional funds of £45,000</w:t>
      </w:r>
      <w:r w:rsidRPr="00D70059">
        <w:rPr>
          <w:rFonts w:cstheme="minorHAnsi"/>
        </w:rPr>
        <w:t xml:space="preserve"> each</w:t>
      </w:r>
      <w:r w:rsidR="00B70E83" w:rsidRPr="00D70059">
        <w:rPr>
          <w:rFonts w:cstheme="minorHAnsi"/>
        </w:rPr>
        <w:t>, so a total of £220</w:t>
      </w:r>
      <w:r w:rsidRPr="00D70059">
        <w:rPr>
          <w:rFonts w:cstheme="minorHAnsi"/>
        </w:rPr>
        <w:t>,</w:t>
      </w:r>
      <w:r w:rsidR="00B70E83" w:rsidRPr="00D70059">
        <w:rPr>
          <w:rFonts w:cstheme="minorHAnsi"/>
        </w:rPr>
        <w:t xml:space="preserve">000 </w:t>
      </w:r>
      <w:r w:rsidR="00522213">
        <w:rPr>
          <w:rFonts w:cstheme="minorHAnsi"/>
        </w:rPr>
        <w:t>which they spent</w:t>
      </w:r>
      <w:r w:rsidRPr="00D70059">
        <w:rPr>
          <w:rFonts w:cstheme="minorHAnsi"/>
        </w:rPr>
        <w:t xml:space="preserve"> by the end of March 2022. All other Kent councils were allocated</w:t>
      </w:r>
      <w:r w:rsidR="00B70E83" w:rsidRPr="00D70059">
        <w:rPr>
          <w:rFonts w:cstheme="minorHAnsi"/>
        </w:rPr>
        <w:t xml:space="preserve"> £175,000</w:t>
      </w:r>
      <w:r w:rsidRPr="00D70059">
        <w:rPr>
          <w:rFonts w:cstheme="minorHAnsi"/>
        </w:rPr>
        <w:t xml:space="preserve"> and given an extension to the end of June 2022 to spend it. Spend continues to vary across the county and it is likely that som</w:t>
      </w:r>
      <w:r w:rsidR="00522213">
        <w:rPr>
          <w:rFonts w:cstheme="minorHAnsi"/>
        </w:rPr>
        <w:t>e funds will be returned to KCC. The table below shows spend to the end of April 2022.</w:t>
      </w:r>
    </w:p>
    <w:tbl>
      <w:tblPr>
        <w:tblW w:w="3251" w:type="dxa"/>
        <w:tblLook w:val="04A0" w:firstRow="1" w:lastRow="0" w:firstColumn="1" w:lastColumn="0" w:noHBand="0" w:noVBand="1"/>
      </w:tblPr>
      <w:tblGrid>
        <w:gridCol w:w="2967"/>
        <w:gridCol w:w="1336"/>
      </w:tblGrid>
      <w:tr w:rsidR="00522213" w:rsidRPr="00522213" w:rsidTr="0076357A">
        <w:trPr>
          <w:trHeight w:val="300"/>
        </w:trPr>
        <w:tc>
          <w:tcPr>
            <w:tcW w:w="29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2213" w:rsidRPr="00522213" w:rsidRDefault="00522213" w:rsidP="0076357A">
            <w:pPr>
              <w:spacing w:after="0" w:line="240" w:lineRule="auto"/>
              <w:rPr>
                <w:rFonts w:ascii="Calibri" w:eastAsia="Times New Roman" w:hAnsi="Calibri" w:cs="Calibri"/>
                <w:b/>
                <w:bCs/>
                <w:color w:val="000000"/>
                <w:lang w:eastAsia="en-GB"/>
              </w:rPr>
            </w:pPr>
            <w:r w:rsidRPr="00522213">
              <w:rPr>
                <w:rFonts w:ascii="Calibri" w:eastAsia="Times New Roman" w:hAnsi="Calibri" w:cs="Calibri"/>
                <w:b/>
                <w:bCs/>
                <w:color w:val="000000"/>
                <w:lang w:eastAsia="en-GB"/>
              </w:rPr>
              <w:t>Council</w:t>
            </w:r>
          </w:p>
        </w:tc>
        <w:tc>
          <w:tcPr>
            <w:tcW w:w="284" w:type="dxa"/>
            <w:tcBorders>
              <w:top w:val="single" w:sz="8" w:space="0" w:color="auto"/>
              <w:left w:val="nil"/>
              <w:bottom w:val="single" w:sz="8" w:space="0" w:color="auto"/>
              <w:right w:val="single" w:sz="8" w:space="0" w:color="auto"/>
            </w:tcBorders>
            <w:shd w:val="clear" w:color="auto" w:fill="auto"/>
            <w:noWrap/>
            <w:vAlign w:val="bottom"/>
            <w:hideMark/>
          </w:tcPr>
          <w:p w:rsidR="00522213" w:rsidRPr="00522213" w:rsidRDefault="00522213" w:rsidP="0076357A">
            <w:pPr>
              <w:spacing w:after="0" w:line="240" w:lineRule="auto"/>
              <w:jc w:val="center"/>
              <w:rPr>
                <w:rFonts w:ascii="Calibri" w:eastAsia="Times New Roman" w:hAnsi="Calibri" w:cs="Calibri"/>
                <w:b/>
                <w:bCs/>
                <w:color w:val="000000"/>
                <w:lang w:eastAsia="en-GB"/>
              </w:rPr>
            </w:pPr>
            <w:r w:rsidRPr="00522213">
              <w:rPr>
                <w:rFonts w:ascii="Calibri" w:eastAsia="Times New Roman" w:hAnsi="Calibri" w:cs="Calibri"/>
                <w:b/>
                <w:bCs/>
                <w:color w:val="000000"/>
                <w:lang w:eastAsia="en-GB"/>
              </w:rPr>
              <w:t>Total spend</w:t>
            </w:r>
          </w:p>
        </w:tc>
      </w:tr>
      <w:tr w:rsidR="00522213" w:rsidRPr="00522213" w:rsidTr="0076357A">
        <w:trPr>
          <w:trHeight w:val="290"/>
        </w:trPr>
        <w:tc>
          <w:tcPr>
            <w:tcW w:w="2967" w:type="dxa"/>
            <w:tcBorders>
              <w:top w:val="nil"/>
              <w:left w:val="single" w:sz="8" w:space="0" w:color="auto"/>
              <w:bottom w:val="nil"/>
              <w:right w:val="single" w:sz="8" w:space="0" w:color="auto"/>
            </w:tcBorders>
            <w:shd w:val="clear" w:color="auto" w:fill="auto"/>
            <w:noWrap/>
            <w:vAlign w:val="bottom"/>
            <w:hideMark/>
          </w:tcPr>
          <w:p w:rsidR="00522213" w:rsidRPr="00522213" w:rsidRDefault="00522213" w:rsidP="0076357A">
            <w:pPr>
              <w:spacing w:after="0" w:line="240" w:lineRule="auto"/>
              <w:rPr>
                <w:rFonts w:ascii="Calibri" w:eastAsia="Times New Roman" w:hAnsi="Calibri" w:cs="Calibri"/>
                <w:color w:val="000000"/>
                <w:lang w:eastAsia="en-GB"/>
              </w:rPr>
            </w:pPr>
            <w:r w:rsidRPr="00522213">
              <w:rPr>
                <w:rFonts w:ascii="Calibri" w:eastAsia="Times New Roman" w:hAnsi="Calibri" w:cs="Calibri"/>
                <w:color w:val="000000"/>
                <w:lang w:eastAsia="en-GB"/>
              </w:rPr>
              <w:t>Ashford</w:t>
            </w:r>
          </w:p>
        </w:tc>
        <w:tc>
          <w:tcPr>
            <w:tcW w:w="284" w:type="dxa"/>
            <w:tcBorders>
              <w:top w:val="nil"/>
              <w:left w:val="nil"/>
              <w:bottom w:val="nil"/>
              <w:right w:val="single" w:sz="8" w:space="0" w:color="auto"/>
            </w:tcBorders>
            <w:shd w:val="clear" w:color="auto" w:fill="auto"/>
            <w:noWrap/>
            <w:vAlign w:val="bottom"/>
            <w:hideMark/>
          </w:tcPr>
          <w:p w:rsidR="00522213" w:rsidRPr="00522213" w:rsidRDefault="00522213" w:rsidP="0076357A">
            <w:pPr>
              <w:spacing w:after="0" w:line="240" w:lineRule="auto"/>
              <w:jc w:val="right"/>
              <w:rPr>
                <w:rFonts w:ascii="Calibri" w:eastAsia="Times New Roman" w:hAnsi="Calibri" w:cs="Calibri"/>
                <w:color w:val="000000"/>
                <w:lang w:eastAsia="en-GB"/>
              </w:rPr>
            </w:pPr>
            <w:r w:rsidRPr="00522213">
              <w:rPr>
                <w:rFonts w:ascii="Calibri" w:eastAsia="Times New Roman" w:hAnsi="Calibri" w:cs="Calibri"/>
                <w:color w:val="000000"/>
                <w:lang w:eastAsia="en-GB"/>
              </w:rPr>
              <w:t>£70,037.15</w:t>
            </w:r>
          </w:p>
        </w:tc>
      </w:tr>
      <w:tr w:rsidR="00522213" w:rsidRPr="00522213" w:rsidTr="0076357A">
        <w:trPr>
          <w:trHeight w:val="300"/>
        </w:trPr>
        <w:tc>
          <w:tcPr>
            <w:tcW w:w="2967" w:type="dxa"/>
            <w:tcBorders>
              <w:top w:val="nil"/>
              <w:left w:val="single" w:sz="8" w:space="0" w:color="auto"/>
              <w:bottom w:val="nil"/>
              <w:right w:val="single" w:sz="8" w:space="0" w:color="auto"/>
            </w:tcBorders>
            <w:shd w:val="clear" w:color="auto" w:fill="auto"/>
            <w:noWrap/>
            <w:vAlign w:val="bottom"/>
            <w:hideMark/>
          </w:tcPr>
          <w:p w:rsidR="00522213" w:rsidRPr="00522213" w:rsidRDefault="00522213" w:rsidP="0076357A">
            <w:pPr>
              <w:spacing w:after="0" w:line="240" w:lineRule="auto"/>
              <w:rPr>
                <w:rFonts w:ascii="Calibri" w:eastAsia="Times New Roman" w:hAnsi="Calibri" w:cs="Calibri"/>
                <w:color w:val="000000"/>
                <w:lang w:eastAsia="en-GB"/>
              </w:rPr>
            </w:pPr>
            <w:r w:rsidRPr="00522213">
              <w:rPr>
                <w:rFonts w:ascii="Calibri" w:eastAsia="Times New Roman" w:hAnsi="Calibri" w:cs="Calibri"/>
                <w:color w:val="000000"/>
                <w:lang w:eastAsia="en-GB"/>
              </w:rPr>
              <w:t>Canterbury</w:t>
            </w:r>
          </w:p>
        </w:tc>
        <w:tc>
          <w:tcPr>
            <w:tcW w:w="284" w:type="dxa"/>
            <w:tcBorders>
              <w:top w:val="nil"/>
              <w:left w:val="nil"/>
              <w:bottom w:val="nil"/>
              <w:right w:val="single" w:sz="8" w:space="0" w:color="auto"/>
            </w:tcBorders>
            <w:shd w:val="clear" w:color="auto" w:fill="auto"/>
            <w:noWrap/>
            <w:vAlign w:val="bottom"/>
            <w:hideMark/>
          </w:tcPr>
          <w:p w:rsidR="00522213" w:rsidRPr="00522213" w:rsidRDefault="00522213" w:rsidP="0076357A">
            <w:pPr>
              <w:spacing w:after="0" w:line="240" w:lineRule="auto"/>
              <w:jc w:val="right"/>
              <w:rPr>
                <w:rFonts w:ascii="Calibri" w:eastAsia="Times New Roman" w:hAnsi="Calibri" w:cs="Calibri"/>
                <w:color w:val="000000"/>
                <w:lang w:eastAsia="en-GB"/>
              </w:rPr>
            </w:pPr>
            <w:r w:rsidRPr="00522213">
              <w:rPr>
                <w:rFonts w:ascii="Calibri" w:eastAsia="Times New Roman" w:hAnsi="Calibri" w:cs="Calibri"/>
                <w:color w:val="000000"/>
                <w:lang w:eastAsia="en-GB"/>
              </w:rPr>
              <w:t>£151,024.19</w:t>
            </w:r>
          </w:p>
        </w:tc>
      </w:tr>
      <w:tr w:rsidR="00522213" w:rsidRPr="00522213" w:rsidTr="0076357A">
        <w:trPr>
          <w:trHeight w:val="290"/>
        </w:trPr>
        <w:tc>
          <w:tcPr>
            <w:tcW w:w="2967" w:type="dxa"/>
            <w:tcBorders>
              <w:top w:val="nil"/>
              <w:left w:val="single" w:sz="8" w:space="0" w:color="auto"/>
              <w:bottom w:val="nil"/>
              <w:right w:val="single" w:sz="8" w:space="0" w:color="auto"/>
            </w:tcBorders>
            <w:shd w:val="clear" w:color="auto" w:fill="auto"/>
            <w:noWrap/>
            <w:vAlign w:val="bottom"/>
            <w:hideMark/>
          </w:tcPr>
          <w:p w:rsidR="00522213" w:rsidRPr="00522213" w:rsidRDefault="00522213" w:rsidP="0076357A">
            <w:pPr>
              <w:spacing w:after="0" w:line="240" w:lineRule="auto"/>
              <w:rPr>
                <w:rFonts w:ascii="Calibri" w:eastAsia="Times New Roman" w:hAnsi="Calibri" w:cs="Calibri"/>
                <w:color w:val="000000"/>
                <w:lang w:eastAsia="en-GB"/>
              </w:rPr>
            </w:pPr>
            <w:r w:rsidRPr="00522213">
              <w:rPr>
                <w:rFonts w:ascii="Calibri" w:eastAsia="Times New Roman" w:hAnsi="Calibri" w:cs="Calibri"/>
                <w:color w:val="000000"/>
                <w:lang w:eastAsia="en-GB"/>
              </w:rPr>
              <w:t>Dartford</w:t>
            </w:r>
          </w:p>
        </w:tc>
        <w:tc>
          <w:tcPr>
            <w:tcW w:w="284" w:type="dxa"/>
            <w:tcBorders>
              <w:top w:val="nil"/>
              <w:left w:val="nil"/>
              <w:bottom w:val="nil"/>
              <w:right w:val="single" w:sz="8" w:space="0" w:color="auto"/>
            </w:tcBorders>
            <w:shd w:val="clear" w:color="auto" w:fill="auto"/>
            <w:noWrap/>
            <w:vAlign w:val="bottom"/>
            <w:hideMark/>
          </w:tcPr>
          <w:p w:rsidR="00522213" w:rsidRPr="00522213" w:rsidRDefault="00522213" w:rsidP="0076357A">
            <w:pPr>
              <w:spacing w:after="0" w:line="240" w:lineRule="auto"/>
              <w:jc w:val="right"/>
              <w:rPr>
                <w:rFonts w:ascii="Calibri" w:eastAsia="Times New Roman" w:hAnsi="Calibri" w:cs="Calibri"/>
                <w:color w:val="000000"/>
                <w:lang w:eastAsia="en-GB"/>
              </w:rPr>
            </w:pPr>
            <w:r w:rsidRPr="00522213">
              <w:rPr>
                <w:rFonts w:ascii="Calibri" w:eastAsia="Times New Roman" w:hAnsi="Calibri" w:cs="Calibri"/>
                <w:color w:val="000000"/>
                <w:lang w:eastAsia="en-GB"/>
              </w:rPr>
              <w:t>£168,463.49</w:t>
            </w:r>
          </w:p>
        </w:tc>
      </w:tr>
      <w:tr w:rsidR="00522213" w:rsidRPr="00522213" w:rsidTr="0076357A">
        <w:trPr>
          <w:trHeight w:val="300"/>
        </w:trPr>
        <w:tc>
          <w:tcPr>
            <w:tcW w:w="2967" w:type="dxa"/>
            <w:tcBorders>
              <w:top w:val="nil"/>
              <w:left w:val="single" w:sz="8" w:space="0" w:color="auto"/>
              <w:bottom w:val="nil"/>
              <w:right w:val="single" w:sz="8" w:space="0" w:color="auto"/>
            </w:tcBorders>
            <w:shd w:val="clear" w:color="auto" w:fill="auto"/>
            <w:noWrap/>
            <w:vAlign w:val="bottom"/>
            <w:hideMark/>
          </w:tcPr>
          <w:p w:rsidR="00522213" w:rsidRPr="00522213" w:rsidRDefault="00522213" w:rsidP="0076357A">
            <w:pPr>
              <w:spacing w:after="0" w:line="240" w:lineRule="auto"/>
              <w:rPr>
                <w:rFonts w:ascii="Calibri" w:eastAsia="Times New Roman" w:hAnsi="Calibri" w:cs="Calibri"/>
                <w:b/>
                <w:color w:val="000000"/>
                <w:lang w:eastAsia="en-GB"/>
              </w:rPr>
            </w:pPr>
            <w:r w:rsidRPr="00522213">
              <w:rPr>
                <w:rFonts w:ascii="Calibri" w:eastAsia="Times New Roman" w:hAnsi="Calibri" w:cs="Calibri"/>
                <w:b/>
                <w:color w:val="000000"/>
                <w:lang w:eastAsia="en-GB"/>
              </w:rPr>
              <w:t>Dover</w:t>
            </w:r>
          </w:p>
        </w:tc>
        <w:tc>
          <w:tcPr>
            <w:tcW w:w="284" w:type="dxa"/>
            <w:tcBorders>
              <w:top w:val="nil"/>
              <w:left w:val="nil"/>
              <w:bottom w:val="nil"/>
              <w:right w:val="single" w:sz="8" w:space="0" w:color="auto"/>
            </w:tcBorders>
            <w:shd w:val="clear" w:color="auto" w:fill="auto"/>
            <w:noWrap/>
            <w:vAlign w:val="bottom"/>
            <w:hideMark/>
          </w:tcPr>
          <w:p w:rsidR="00522213" w:rsidRPr="00522213" w:rsidRDefault="00522213" w:rsidP="0076357A">
            <w:pPr>
              <w:spacing w:after="0" w:line="240" w:lineRule="auto"/>
              <w:jc w:val="right"/>
              <w:rPr>
                <w:rFonts w:ascii="Calibri" w:eastAsia="Times New Roman" w:hAnsi="Calibri" w:cs="Calibri"/>
                <w:b/>
                <w:color w:val="000000"/>
                <w:lang w:eastAsia="en-GB"/>
              </w:rPr>
            </w:pPr>
            <w:r w:rsidRPr="00522213">
              <w:rPr>
                <w:rFonts w:ascii="Calibri" w:eastAsia="Times New Roman" w:hAnsi="Calibri" w:cs="Calibri"/>
                <w:b/>
                <w:color w:val="000000"/>
                <w:lang w:eastAsia="en-GB"/>
              </w:rPr>
              <w:t>£220,000.00</w:t>
            </w:r>
          </w:p>
        </w:tc>
      </w:tr>
      <w:tr w:rsidR="00522213" w:rsidRPr="00522213" w:rsidTr="0076357A">
        <w:trPr>
          <w:trHeight w:val="290"/>
        </w:trPr>
        <w:tc>
          <w:tcPr>
            <w:tcW w:w="2967" w:type="dxa"/>
            <w:tcBorders>
              <w:top w:val="nil"/>
              <w:left w:val="single" w:sz="8" w:space="0" w:color="auto"/>
              <w:bottom w:val="nil"/>
              <w:right w:val="single" w:sz="8" w:space="0" w:color="auto"/>
            </w:tcBorders>
            <w:shd w:val="clear" w:color="auto" w:fill="auto"/>
            <w:noWrap/>
            <w:vAlign w:val="bottom"/>
            <w:hideMark/>
          </w:tcPr>
          <w:p w:rsidR="00522213" w:rsidRPr="00522213" w:rsidRDefault="00522213" w:rsidP="0076357A">
            <w:pPr>
              <w:spacing w:after="0" w:line="240" w:lineRule="auto"/>
              <w:rPr>
                <w:rFonts w:ascii="Calibri" w:eastAsia="Times New Roman" w:hAnsi="Calibri" w:cs="Calibri"/>
                <w:color w:val="000000"/>
                <w:lang w:eastAsia="en-GB"/>
              </w:rPr>
            </w:pPr>
            <w:r w:rsidRPr="00522213">
              <w:rPr>
                <w:rFonts w:ascii="Calibri" w:eastAsia="Times New Roman" w:hAnsi="Calibri" w:cs="Calibri"/>
                <w:color w:val="000000"/>
                <w:lang w:eastAsia="en-GB"/>
              </w:rPr>
              <w:t>Folkestone &amp; Hythe</w:t>
            </w:r>
          </w:p>
        </w:tc>
        <w:tc>
          <w:tcPr>
            <w:tcW w:w="284" w:type="dxa"/>
            <w:tcBorders>
              <w:top w:val="nil"/>
              <w:left w:val="nil"/>
              <w:bottom w:val="nil"/>
              <w:right w:val="single" w:sz="8" w:space="0" w:color="auto"/>
            </w:tcBorders>
            <w:shd w:val="clear" w:color="auto" w:fill="auto"/>
            <w:noWrap/>
            <w:vAlign w:val="bottom"/>
            <w:hideMark/>
          </w:tcPr>
          <w:p w:rsidR="00522213" w:rsidRPr="00522213" w:rsidRDefault="00522213" w:rsidP="0076357A">
            <w:pPr>
              <w:spacing w:after="0" w:line="240" w:lineRule="auto"/>
              <w:jc w:val="right"/>
              <w:rPr>
                <w:rFonts w:ascii="Calibri" w:eastAsia="Times New Roman" w:hAnsi="Calibri" w:cs="Calibri"/>
                <w:color w:val="000000"/>
                <w:lang w:eastAsia="en-GB"/>
              </w:rPr>
            </w:pPr>
            <w:r w:rsidRPr="00522213">
              <w:rPr>
                <w:rFonts w:ascii="Calibri" w:eastAsia="Times New Roman" w:hAnsi="Calibri" w:cs="Calibri"/>
                <w:color w:val="000000"/>
                <w:lang w:eastAsia="en-GB"/>
              </w:rPr>
              <w:t>£98,770.55</w:t>
            </w:r>
          </w:p>
        </w:tc>
      </w:tr>
      <w:tr w:rsidR="00522213" w:rsidRPr="00522213" w:rsidTr="0076357A">
        <w:trPr>
          <w:trHeight w:val="300"/>
        </w:trPr>
        <w:tc>
          <w:tcPr>
            <w:tcW w:w="2967" w:type="dxa"/>
            <w:tcBorders>
              <w:top w:val="nil"/>
              <w:left w:val="single" w:sz="8" w:space="0" w:color="auto"/>
              <w:bottom w:val="nil"/>
              <w:right w:val="single" w:sz="8" w:space="0" w:color="auto"/>
            </w:tcBorders>
            <w:shd w:val="clear" w:color="auto" w:fill="auto"/>
            <w:noWrap/>
            <w:vAlign w:val="bottom"/>
            <w:hideMark/>
          </w:tcPr>
          <w:p w:rsidR="00522213" w:rsidRPr="00522213" w:rsidRDefault="00522213" w:rsidP="0076357A">
            <w:pPr>
              <w:spacing w:after="0" w:line="240" w:lineRule="auto"/>
              <w:rPr>
                <w:rFonts w:ascii="Calibri" w:eastAsia="Times New Roman" w:hAnsi="Calibri" w:cs="Calibri"/>
                <w:color w:val="000000"/>
                <w:lang w:eastAsia="en-GB"/>
              </w:rPr>
            </w:pPr>
            <w:r w:rsidRPr="00522213">
              <w:rPr>
                <w:rFonts w:ascii="Calibri" w:eastAsia="Times New Roman" w:hAnsi="Calibri" w:cs="Calibri"/>
                <w:color w:val="000000"/>
                <w:lang w:eastAsia="en-GB"/>
              </w:rPr>
              <w:t>Gravesham</w:t>
            </w:r>
          </w:p>
        </w:tc>
        <w:tc>
          <w:tcPr>
            <w:tcW w:w="284" w:type="dxa"/>
            <w:tcBorders>
              <w:top w:val="nil"/>
              <w:left w:val="nil"/>
              <w:bottom w:val="nil"/>
              <w:right w:val="single" w:sz="8" w:space="0" w:color="auto"/>
            </w:tcBorders>
            <w:shd w:val="clear" w:color="auto" w:fill="auto"/>
            <w:noWrap/>
            <w:vAlign w:val="bottom"/>
            <w:hideMark/>
          </w:tcPr>
          <w:p w:rsidR="00522213" w:rsidRPr="00522213" w:rsidRDefault="00522213" w:rsidP="0076357A">
            <w:pPr>
              <w:spacing w:after="0" w:line="240" w:lineRule="auto"/>
              <w:jc w:val="right"/>
              <w:rPr>
                <w:rFonts w:ascii="Calibri" w:eastAsia="Times New Roman" w:hAnsi="Calibri" w:cs="Calibri"/>
                <w:color w:val="000000"/>
                <w:lang w:eastAsia="en-GB"/>
              </w:rPr>
            </w:pPr>
            <w:r w:rsidRPr="00522213">
              <w:rPr>
                <w:rFonts w:ascii="Calibri" w:eastAsia="Times New Roman" w:hAnsi="Calibri" w:cs="Calibri"/>
                <w:color w:val="000000"/>
                <w:lang w:eastAsia="en-GB"/>
              </w:rPr>
              <w:t>£88,829.35</w:t>
            </w:r>
          </w:p>
        </w:tc>
      </w:tr>
      <w:tr w:rsidR="00522213" w:rsidRPr="00522213" w:rsidTr="0076357A">
        <w:trPr>
          <w:trHeight w:val="290"/>
        </w:trPr>
        <w:tc>
          <w:tcPr>
            <w:tcW w:w="2967" w:type="dxa"/>
            <w:tcBorders>
              <w:top w:val="nil"/>
              <w:left w:val="single" w:sz="8" w:space="0" w:color="auto"/>
              <w:bottom w:val="nil"/>
              <w:right w:val="single" w:sz="8" w:space="0" w:color="auto"/>
            </w:tcBorders>
            <w:shd w:val="clear" w:color="auto" w:fill="auto"/>
            <w:noWrap/>
            <w:vAlign w:val="bottom"/>
            <w:hideMark/>
          </w:tcPr>
          <w:p w:rsidR="00522213" w:rsidRPr="00522213" w:rsidRDefault="00522213" w:rsidP="0076357A">
            <w:pPr>
              <w:spacing w:after="0" w:line="240" w:lineRule="auto"/>
              <w:rPr>
                <w:rFonts w:ascii="Calibri" w:eastAsia="Times New Roman" w:hAnsi="Calibri" w:cs="Calibri"/>
                <w:color w:val="000000"/>
                <w:lang w:eastAsia="en-GB"/>
              </w:rPr>
            </w:pPr>
            <w:r w:rsidRPr="00522213">
              <w:rPr>
                <w:rFonts w:ascii="Calibri" w:eastAsia="Times New Roman" w:hAnsi="Calibri" w:cs="Calibri"/>
                <w:color w:val="000000"/>
                <w:lang w:eastAsia="en-GB"/>
              </w:rPr>
              <w:t>Maidstone</w:t>
            </w:r>
          </w:p>
        </w:tc>
        <w:tc>
          <w:tcPr>
            <w:tcW w:w="284" w:type="dxa"/>
            <w:tcBorders>
              <w:top w:val="nil"/>
              <w:left w:val="nil"/>
              <w:bottom w:val="nil"/>
              <w:right w:val="single" w:sz="8" w:space="0" w:color="auto"/>
            </w:tcBorders>
            <w:shd w:val="clear" w:color="auto" w:fill="auto"/>
            <w:noWrap/>
            <w:vAlign w:val="bottom"/>
            <w:hideMark/>
          </w:tcPr>
          <w:p w:rsidR="00522213" w:rsidRPr="00522213" w:rsidRDefault="00522213" w:rsidP="0076357A">
            <w:pPr>
              <w:spacing w:after="0" w:line="240" w:lineRule="auto"/>
              <w:jc w:val="right"/>
              <w:rPr>
                <w:rFonts w:ascii="Calibri" w:eastAsia="Times New Roman" w:hAnsi="Calibri" w:cs="Calibri"/>
                <w:color w:val="000000"/>
                <w:lang w:eastAsia="en-GB"/>
              </w:rPr>
            </w:pPr>
            <w:r w:rsidRPr="00522213">
              <w:rPr>
                <w:rFonts w:ascii="Calibri" w:eastAsia="Times New Roman" w:hAnsi="Calibri" w:cs="Calibri"/>
                <w:color w:val="000000"/>
                <w:lang w:eastAsia="en-GB"/>
              </w:rPr>
              <w:t>£144,023.68</w:t>
            </w:r>
          </w:p>
        </w:tc>
      </w:tr>
      <w:tr w:rsidR="00522213" w:rsidRPr="00522213" w:rsidTr="0076357A">
        <w:trPr>
          <w:trHeight w:val="300"/>
        </w:trPr>
        <w:tc>
          <w:tcPr>
            <w:tcW w:w="2967" w:type="dxa"/>
            <w:tcBorders>
              <w:top w:val="nil"/>
              <w:left w:val="single" w:sz="8" w:space="0" w:color="auto"/>
              <w:bottom w:val="nil"/>
              <w:right w:val="single" w:sz="8" w:space="0" w:color="auto"/>
            </w:tcBorders>
            <w:shd w:val="clear" w:color="auto" w:fill="auto"/>
            <w:noWrap/>
            <w:vAlign w:val="bottom"/>
            <w:hideMark/>
          </w:tcPr>
          <w:p w:rsidR="00522213" w:rsidRPr="00522213" w:rsidRDefault="00522213" w:rsidP="0076357A">
            <w:pPr>
              <w:spacing w:after="0" w:line="240" w:lineRule="auto"/>
              <w:rPr>
                <w:rFonts w:ascii="Calibri" w:eastAsia="Times New Roman" w:hAnsi="Calibri" w:cs="Calibri"/>
                <w:b/>
                <w:color w:val="000000"/>
                <w:lang w:eastAsia="en-GB"/>
              </w:rPr>
            </w:pPr>
            <w:r w:rsidRPr="00522213">
              <w:rPr>
                <w:rFonts w:ascii="Calibri" w:eastAsia="Times New Roman" w:hAnsi="Calibri" w:cs="Calibri"/>
                <w:b/>
                <w:color w:val="000000"/>
                <w:lang w:eastAsia="en-GB"/>
              </w:rPr>
              <w:t>Sevenoaks</w:t>
            </w:r>
          </w:p>
        </w:tc>
        <w:tc>
          <w:tcPr>
            <w:tcW w:w="284" w:type="dxa"/>
            <w:tcBorders>
              <w:top w:val="nil"/>
              <w:left w:val="nil"/>
              <w:bottom w:val="nil"/>
              <w:right w:val="single" w:sz="8" w:space="0" w:color="auto"/>
            </w:tcBorders>
            <w:shd w:val="clear" w:color="auto" w:fill="auto"/>
            <w:noWrap/>
            <w:vAlign w:val="bottom"/>
            <w:hideMark/>
          </w:tcPr>
          <w:p w:rsidR="00522213" w:rsidRPr="00522213" w:rsidRDefault="00522213" w:rsidP="0076357A">
            <w:pPr>
              <w:spacing w:after="0" w:line="240" w:lineRule="auto"/>
              <w:jc w:val="right"/>
              <w:rPr>
                <w:rFonts w:ascii="Calibri" w:eastAsia="Times New Roman" w:hAnsi="Calibri" w:cs="Calibri"/>
                <w:b/>
                <w:color w:val="000000"/>
                <w:lang w:eastAsia="en-GB"/>
              </w:rPr>
            </w:pPr>
            <w:r w:rsidRPr="00522213">
              <w:rPr>
                <w:rFonts w:ascii="Calibri" w:eastAsia="Times New Roman" w:hAnsi="Calibri" w:cs="Calibri"/>
                <w:b/>
                <w:color w:val="000000"/>
                <w:lang w:eastAsia="en-GB"/>
              </w:rPr>
              <w:t>£220,000.00</w:t>
            </w:r>
          </w:p>
        </w:tc>
      </w:tr>
      <w:tr w:rsidR="00522213" w:rsidRPr="00522213" w:rsidTr="0076357A">
        <w:trPr>
          <w:trHeight w:val="290"/>
        </w:trPr>
        <w:tc>
          <w:tcPr>
            <w:tcW w:w="2967" w:type="dxa"/>
            <w:tcBorders>
              <w:top w:val="nil"/>
              <w:left w:val="single" w:sz="8" w:space="0" w:color="auto"/>
              <w:bottom w:val="nil"/>
              <w:right w:val="single" w:sz="8" w:space="0" w:color="auto"/>
            </w:tcBorders>
            <w:shd w:val="clear" w:color="auto" w:fill="auto"/>
            <w:noWrap/>
            <w:vAlign w:val="bottom"/>
            <w:hideMark/>
          </w:tcPr>
          <w:p w:rsidR="00522213" w:rsidRPr="00522213" w:rsidRDefault="00522213" w:rsidP="0076357A">
            <w:pPr>
              <w:spacing w:after="0" w:line="240" w:lineRule="auto"/>
              <w:rPr>
                <w:rFonts w:ascii="Calibri" w:eastAsia="Times New Roman" w:hAnsi="Calibri" w:cs="Calibri"/>
                <w:color w:val="000000"/>
                <w:lang w:eastAsia="en-GB"/>
              </w:rPr>
            </w:pPr>
            <w:r w:rsidRPr="00522213">
              <w:rPr>
                <w:rFonts w:ascii="Calibri" w:eastAsia="Times New Roman" w:hAnsi="Calibri" w:cs="Calibri"/>
                <w:color w:val="000000"/>
                <w:lang w:eastAsia="en-GB"/>
              </w:rPr>
              <w:t>Swale</w:t>
            </w:r>
          </w:p>
        </w:tc>
        <w:tc>
          <w:tcPr>
            <w:tcW w:w="284" w:type="dxa"/>
            <w:tcBorders>
              <w:top w:val="nil"/>
              <w:left w:val="nil"/>
              <w:bottom w:val="nil"/>
              <w:right w:val="single" w:sz="8" w:space="0" w:color="auto"/>
            </w:tcBorders>
            <w:shd w:val="clear" w:color="auto" w:fill="auto"/>
            <w:noWrap/>
            <w:vAlign w:val="bottom"/>
            <w:hideMark/>
          </w:tcPr>
          <w:p w:rsidR="00522213" w:rsidRPr="00522213" w:rsidRDefault="00522213" w:rsidP="0076357A">
            <w:pPr>
              <w:spacing w:after="0" w:line="240" w:lineRule="auto"/>
              <w:jc w:val="right"/>
              <w:rPr>
                <w:rFonts w:ascii="Calibri" w:eastAsia="Times New Roman" w:hAnsi="Calibri" w:cs="Calibri"/>
                <w:color w:val="000000"/>
                <w:lang w:eastAsia="en-GB"/>
              </w:rPr>
            </w:pPr>
            <w:r w:rsidRPr="00522213">
              <w:rPr>
                <w:rFonts w:ascii="Calibri" w:eastAsia="Times New Roman" w:hAnsi="Calibri" w:cs="Calibri"/>
                <w:color w:val="000000"/>
                <w:lang w:eastAsia="en-GB"/>
              </w:rPr>
              <w:t>£133,542.81</w:t>
            </w:r>
          </w:p>
        </w:tc>
      </w:tr>
      <w:tr w:rsidR="00522213" w:rsidRPr="00522213" w:rsidTr="0076357A">
        <w:trPr>
          <w:trHeight w:val="300"/>
        </w:trPr>
        <w:tc>
          <w:tcPr>
            <w:tcW w:w="2967" w:type="dxa"/>
            <w:tcBorders>
              <w:top w:val="nil"/>
              <w:left w:val="single" w:sz="8" w:space="0" w:color="auto"/>
              <w:bottom w:val="nil"/>
              <w:right w:val="single" w:sz="8" w:space="0" w:color="auto"/>
            </w:tcBorders>
            <w:shd w:val="clear" w:color="auto" w:fill="auto"/>
            <w:noWrap/>
            <w:vAlign w:val="bottom"/>
            <w:hideMark/>
          </w:tcPr>
          <w:p w:rsidR="00522213" w:rsidRPr="00522213" w:rsidRDefault="00522213" w:rsidP="0076357A">
            <w:pPr>
              <w:spacing w:after="0" w:line="240" w:lineRule="auto"/>
              <w:rPr>
                <w:rFonts w:ascii="Calibri" w:eastAsia="Times New Roman" w:hAnsi="Calibri" w:cs="Calibri"/>
                <w:color w:val="000000"/>
                <w:lang w:eastAsia="en-GB"/>
              </w:rPr>
            </w:pPr>
            <w:r w:rsidRPr="00522213">
              <w:rPr>
                <w:rFonts w:ascii="Calibri" w:eastAsia="Times New Roman" w:hAnsi="Calibri" w:cs="Calibri"/>
                <w:color w:val="000000"/>
                <w:lang w:eastAsia="en-GB"/>
              </w:rPr>
              <w:t>Thanet</w:t>
            </w:r>
          </w:p>
        </w:tc>
        <w:tc>
          <w:tcPr>
            <w:tcW w:w="284" w:type="dxa"/>
            <w:tcBorders>
              <w:top w:val="nil"/>
              <w:left w:val="nil"/>
              <w:bottom w:val="nil"/>
              <w:right w:val="single" w:sz="8" w:space="0" w:color="auto"/>
            </w:tcBorders>
            <w:shd w:val="clear" w:color="auto" w:fill="auto"/>
            <w:noWrap/>
            <w:vAlign w:val="bottom"/>
            <w:hideMark/>
          </w:tcPr>
          <w:p w:rsidR="00522213" w:rsidRPr="00522213" w:rsidRDefault="00522213" w:rsidP="0076357A">
            <w:pPr>
              <w:spacing w:after="0" w:line="240" w:lineRule="auto"/>
              <w:jc w:val="right"/>
              <w:rPr>
                <w:rFonts w:ascii="Calibri" w:eastAsia="Times New Roman" w:hAnsi="Calibri" w:cs="Calibri"/>
                <w:color w:val="000000"/>
                <w:lang w:eastAsia="en-GB"/>
              </w:rPr>
            </w:pPr>
            <w:r w:rsidRPr="00522213">
              <w:rPr>
                <w:rFonts w:ascii="Calibri" w:eastAsia="Times New Roman" w:hAnsi="Calibri" w:cs="Calibri"/>
                <w:color w:val="000000"/>
                <w:lang w:eastAsia="en-GB"/>
              </w:rPr>
              <w:t>£124,300.00</w:t>
            </w:r>
          </w:p>
        </w:tc>
      </w:tr>
      <w:tr w:rsidR="00522213" w:rsidRPr="00522213" w:rsidTr="0076357A">
        <w:trPr>
          <w:trHeight w:val="290"/>
        </w:trPr>
        <w:tc>
          <w:tcPr>
            <w:tcW w:w="2967" w:type="dxa"/>
            <w:tcBorders>
              <w:top w:val="nil"/>
              <w:left w:val="single" w:sz="8" w:space="0" w:color="auto"/>
              <w:bottom w:val="nil"/>
              <w:right w:val="single" w:sz="8" w:space="0" w:color="auto"/>
            </w:tcBorders>
            <w:shd w:val="clear" w:color="auto" w:fill="auto"/>
            <w:noWrap/>
            <w:vAlign w:val="bottom"/>
            <w:hideMark/>
          </w:tcPr>
          <w:p w:rsidR="00522213" w:rsidRPr="00522213" w:rsidRDefault="00522213" w:rsidP="0076357A">
            <w:pPr>
              <w:spacing w:after="0" w:line="240" w:lineRule="auto"/>
              <w:rPr>
                <w:rFonts w:ascii="Calibri" w:eastAsia="Times New Roman" w:hAnsi="Calibri" w:cs="Calibri"/>
                <w:color w:val="000000"/>
                <w:lang w:eastAsia="en-GB"/>
              </w:rPr>
            </w:pPr>
            <w:r w:rsidRPr="00522213">
              <w:rPr>
                <w:rFonts w:ascii="Calibri" w:eastAsia="Times New Roman" w:hAnsi="Calibri" w:cs="Calibri"/>
                <w:color w:val="000000"/>
                <w:lang w:eastAsia="en-GB"/>
              </w:rPr>
              <w:t>Tonbridge &amp; Malling</w:t>
            </w:r>
          </w:p>
        </w:tc>
        <w:tc>
          <w:tcPr>
            <w:tcW w:w="284" w:type="dxa"/>
            <w:tcBorders>
              <w:top w:val="nil"/>
              <w:left w:val="nil"/>
              <w:bottom w:val="nil"/>
              <w:right w:val="single" w:sz="8" w:space="0" w:color="auto"/>
            </w:tcBorders>
            <w:shd w:val="clear" w:color="auto" w:fill="auto"/>
            <w:noWrap/>
            <w:vAlign w:val="bottom"/>
            <w:hideMark/>
          </w:tcPr>
          <w:p w:rsidR="00522213" w:rsidRPr="00522213" w:rsidRDefault="00522213" w:rsidP="0076357A">
            <w:pPr>
              <w:spacing w:after="0" w:line="240" w:lineRule="auto"/>
              <w:jc w:val="right"/>
              <w:rPr>
                <w:rFonts w:ascii="Calibri" w:eastAsia="Times New Roman" w:hAnsi="Calibri" w:cs="Calibri"/>
                <w:color w:val="000000"/>
                <w:lang w:eastAsia="en-GB"/>
              </w:rPr>
            </w:pPr>
            <w:r w:rsidRPr="00522213">
              <w:rPr>
                <w:rFonts w:ascii="Calibri" w:eastAsia="Times New Roman" w:hAnsi="Calibri" w:cs="Calibri"/>
                <w:color w:val="000000"/>
                <w:lang w:eastAsia="en-GB"/>
              </w:rPr>
              <w:t>£64,368.97</w:t>
            </w:r>
          </w:p>
        </w:tc>
      </w:tr>
      <w:tr w:rsidR="00522213" w:rsidRPr="00522213" w:rsidTr="0076357A">
        <w:trPr>
          <w:trHeight w:val="30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522213" w:rsidRPr="00522213" w:rsidRDefault="00522213" w:rsidP="0076357A">
            <w:pPr>
              <w:spacing w:after="0" w:line="240" w:lineRule="auto"/>
              <w:rPr>
                <w:rFonts w:ascii="Calibri" w:eastAsia="Times New Roman" w:hAnsi="Calibri" w:cs="Calibri"/>
                <w:color w:val="000000"/>
                <w:lang w:eastAsia="en-GB"/>
              </w:rPr>
            </w:pPr>
            <w:r w:rsidRPr="00522213">
              <w:rPr>
                <w:rFonts w:ascii="Calibri" w:eastAsia="Times New Roman" w:hAnsi="Calibri" w:cs="Calibri"/>
                <w:color w:val="000000"/>
                <w:lang w:eastAsia="en-GB"/>
              </w:rPr>
              <w:t>Tunbridge Wells</w:t>
            </w:r>
          </w:p>
        </w:tc>
        <w:tc>
          <w:tcPr>
            <w:tcW w:w="284" w:type="dxa"/>
            <w:tcBorders>
              <w:top w:val="nil"/>
              <w:left w:val="nil"/>
              <w:bottom w:val="single" w:sz="8" w:space="0" w:color="auto"/>
              <w:right w:val="single" w:sz="8" w:space="0" w:color="auto"/>
            </w:tcBorders>
            <w:shd w:val="clear" w:color="auto" w:fill="auto"/>
            <w:noWrap/>
            <w:vAlign w:val="bottom"/>
            <w:hideMark/>
          </w:tcPr>
          <w:p w:rsidR="00522213" w:rsidRPr="00522213" w:rsidRDefault="00522213" w:rsidP="0076357A">
            <w:pPr>
              <w:spacing w:after="0" w:line="240" w:lineRule="auto"/>
              <w:jc w:val="right"/>
              <w:rPr>
                <w:rFonts w:ascii="Calibri" w:eastAsia="Times New Roman" w:hAnsi="Calibri" w:cs="Calibri"/>
                <w:color w:val="000000"/>
                <w:lang w:eastAsia="en-GB"/>
              </w:rPr>
            </w:pPr>
            <w:r w:rsidRPr="00522213">
              <w:rPr>
                <w:rFonts w:ascii="Calibri" w:eastAsia="Times New Roman" w:hAnsi="Calibri" w:cs="Calibri"/>
                <w:color w:val="000000"/>
                <w:lang w:eastAsia="en-GB"/>
              </w:rPr>
              <w:t>£91,296.17</w:t>
            </w:r>
          </w:p>
        </w:tc>
      </w:tr>
    </w:tbl>
    <w:p w:rsidR="00522213" w:rsidRDefault="00522213" w:rsidP="00F23936">
      <w:pPr>
        <w:rPr>
          <w:rFonts w:cstheme="minorHAnsi"/>
        </w:rPr>
      </w:pPr>
    </w:p>
    <w:p w:rsidR="004E565C" w:rsidRPr="00D70059" w:rsidRDefault="00B81FB7" w:rsidP="004E565C">
      <w:pPr>
        <w:rPr>
          <w:rFonts w:cstheme="minorHAnsi"/>
        </w:rPr>
      </w:pPr>
      <w:r w:rsidRPr="00D70059">
        <w:rPr>
          <w:rFonts w:cstheme="minorHAnsi"/>
        </w:rPr>
        <w:t>LAs are asked to continue to submit their monthly data returns to HM by 14</w:t>
      </w:r>
      <w:r w:rsidRPr="00D70059">
        <w:rPr>
          <w:rFonts w:cstheme="minorHAnsi"/>
          <w:vertAlign w:val="superscript"/>
        </w:rPr>
        <w:t>th</w:t>
      </w:r>
      <w:r w:rsidR="00F23936" w:rsidRPr="00D70059">
        <w:rPr>
          <w:rFonts w:cstheme="minorHAnsi"/>
        </w:rPr>
        <w:t xml:space="preserve"> of each month.</w:t>
      </w:r>
      <w:bookmarkStart w:id="0" w:name="_GoBack"/>
      <w:bookmarkEnd w:id="0"/>
    </w:p>
    <w:p w:rsidR="004E565C" w:rsidRPr="00D70059" w:rsidRDefault="004E565C" w:rsidP="004E565C">
      <w:pPr>
        <w:spacing w:after="100" w:afterAutospacing="1" w:line="240" w:lineRule="auto"/>
        <w:rPr>
          <w:rFonts w:cstheme="minorHAnsi"/>
          <w:b/>
        </w:rPr>
      </w:pPr>
      <w:r w:rsidRPr="00D70059">
        <w:rPr>
          <w:rFonts w:cstheme="minorHAnsi"/>
          <w:b/>
        </w:rPr>
        <w:t xml:space="preserve">Maxims marketing update. </w:t>
      </w:r>
    </w:p>
    <w:p w:rsidR="00D70059" w:rsidRPr="00D70059" w:rsidRDefault="00D70059" w:rsidP="00D70059">
      <w:pPr>
        <w:spacing w:after="0" w:line="240" w:lineRule="auto"/>
        <w:rPr>
          <w:rFonts w:cstheme="minorHAnsi"/>
          <w:color w:val="000000"/>
        </w:rPr>
      </w:pPr>
      <w:r w:rsidRPr="00D70059">
        <w:rPr>
          <w:rFonts w:cstheme="minorHAnsi"/>
          <w:color w:val="000000"/>
        </w:rPr>
        <w:t xml:space="preserve">A press release has been drafted and recently issued to the local media on reaching £1.5 million spend. It was also added to the Support for Kent Landlords </w:t>
      </w:r>
      <w:hyperlink r:id="rId6" w:history="1">
        <w:r w:rsidRPr="00A81647">
          <w:rPr>
            <w:rStyle w:val="Hyperlink"/>
            <w:rFonts w:cstheme="minorHAnsi"/>
          </w:rPr>
          <w:t>website</w:t>
        </w:r>
      </w:hyperlink>
      <w:r w:rsidRPr="00D70059">
        <w:rPr>
          <w:rFonts w:cstheme="minorHAnsi"/>
          <w:color w:val="000000"/>
        </w:rPr>
        <w:t xml:space="preserve"> and shared on Kent Housing Group’s social channels</w:t>
      </w:r>
      <w:r w:rsidR="00A81647">
        <w:rPr>
          <w:rFonts w:cstheme="minorHAnsi"/>
          <w:color w:val="000000"/>
        </w:rPr>
        <w:t xml:space="preserve"> and </w:t>
      </w:r>
      <w:hyperlink r:id="rId7" w:history="1">
        <w:r w:rsidR="00A81647" w:rsidRPr="00A81647">
          <w:rPr>
            <w:rStyle w:val="Hyperlink"/>
            <w:rFonts w:cstheme="minorHAnsi"/>
          </w:rPr>
          <w:t>website</w:t>
        </w:r>
      </w:hyperlink>
      <w:r w:rsidRPr="00D70059">
        <w:rPr>
          <w:rFonts w:cstheme="minorHAnsi"/>
          <w:color w:val="000000"/>
        </w:rPr>
        <w:t>.</w:t>
      </w:r>
    </w:p>
    <w:p w:rsidR="00D70059" w:rsidRPr="00D70059" w:rsidRDefault="00D70059" w:rsidP="00D70059">
      <w:pPr>
        <w:rPr>
          <w:rFonts w:cstheme="minorHAnsi"/>
          <w:color w:val="000000"/>
        </w:rPr>
      </w:pPr>
    </w:p>
    <w:p w:rsidR="00D70059" w:rsidRPr="00D70059" w:rsidRDefault="00D70059" w:rsidP="00D70059">
      <w:pPr>
        <w:spacing w:after="0" w:line="240" w:lineRule="auto"/>
        <w:rPr>
          <w:rFonts w:cstheme="minorHAnsi"/>
          <w:color w:val="000000"/>
        </w:rPr>
      </w:pPr>
      <w:r w:rsidRPr="00D70059">
        <w:rPr>
          <w:rFonts w:cstheme="minorHAnsi"/>
          <w:color w:val="000000"/>
        </w:rPr>
        <w:t>The advertising campaign with KM Media Group (on KMfm and KentOnline) proved successful so the online element has been extended until the end of June.</w:t>
      </w:r>
    </w:p>
    <w:p w:rsidR="00D70059" w:rsidRPr="00D70059" w:rsidRDefault="00D70059" w:rsidP="00D70059">
      <w:pPr>
        <w:rPr>
          <w:rFonts w:cstheme="minorHAnsi"/>
          <w:color w:val="000000"/>
        </w:rPr>
      </w:pPr>
    </w:p>
    <w:p w:rsidR="00D70059" w:rsidRPr="00D70059" w:rsidRDefault="00D70059" w:rsidP="00D70059">
      <w:pPr>
        <w:spacing w:after="0" w:line="240" w:lineRule="auto"/>
        <w:rPr>
          <w:rFonts w:cstheme="minorHAnsi"/>
          <w:color w:val="000000"/>
        </w:rPr>
      </w:pPr>
      <w:r w:rsidRPr="00D70059">
        <w:rPr>
          <w:rFonts w:cstheme="minorHAnsi"/>
          <w:color w:val="000000"/>
        </w:rPr>
        <w:t xml:space="preserve">A new page has been created for the Support for Kent Landlords website which includes anonymised case studies from people who have benefited from COMF. These case studies have been used in a </w:t>
      </w:r>
      <w:r w:rsidRPr="00D70059">
        <w:rPr>
          <w:rFonts w:cstheme="minorHAnsi"/>
          <w:color w:val="000000"/>
        </w:rPr>
        <w:lastRenderedPageBreak/>
        <w:t xml:space="preserve">new animation. Paid for promotions on Facebook have greatly increased the views and this activity will shortly be replicated on YouTube. </w:t>
      </w:r>
    </w:p>
    <w:p w:rsidR="00D70059" w:rsidRPr="00D70059" w:rsidRDefault="00D70059" w:rsidP="004E565C">
      <w:pPr>
        <w:spacing w:after="100" w:afterAutospacing="1" w:line="240" w:lineRule="auto"/>
        <w:rPr>
          <w:rFonts w:cstheme="minorHAnsi"/>
          <w:color w:val="000000"/>
        </w:rPr>
      </w:pPr>
    </w:p>
    <w:p w:rsidR="00F23936" w:rsidRPr="00D70059" w:rsidRDefault="00F23936" w:rsidP="004E565C">
      <w:pPr>
        <w:spacing w:after="100" w:afterAutospacing="1" w:line="240" w:lineRule="auto"/>
        <w:rPr>
          <w:rFonts w:cstheme="minorHAnsi"/>
        </w:rPr>
      </w:pPr>
      <w:r w:rsidRPr="00D70059">
        <w:rPr>
          <w:rFonts w:cstheme="minorHAnsi"/>
          <w:color w:val="000000"/>
        </w:rPr>
        <w:t xml:space="preserve">KHG is working with our website provider and animation provider to update those resources so they will have value longer term, after this project has ended. </w:t>
      </w:r>
    </w:p>
    <w:p w:rsidR="005B722A" w:rsidRDefault="005B722A"/>
    <w:sectPr w:rsidR="005B7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2A"/>
    <w:rsid w:val="000D1A0B"/>
    <w:rsid w:val="004E565C"/>
    <w:rsid w:val="00522213"/>
    <w:rsid w:val="005B722A"/>
    <w:rsid w:val="00753A73"/>
    <w:rsid w:val="00796796"/>
    <w:rsid w:val="00A81647"/>
    <w:rsid w:val="00AC5691"/>
    <w:rsid w:val="00B70E83"/>
    <w:rsid w:val="00B81FB7"/>
    <w:rsid w:val="00BD4930"/>
    <w:rsid w:val="00C01BC0"/>
    <w:rsid w:val="00D31A52"/>
    <w:rsid w:val="00D70059"/>
    <w:rsid w:val="00F23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0366"/>
  <w15:chartTrackingRefBased/>
  <w15:docId w15:val="{6D9B409F-2C04-4DC9-BB62-27C395BF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22A"/>
    <w:pPr>
      <w:ind w:left="720"/>
      <w:contextualSpacing/>
    </w:pPr>
  </w:style>
  <w:style w:type="character" w:styleId="Hyperlink">
    <w:name w:val="Hyperlink"/>
    <w:basedOn w:val="DefaultParagraphFont"/>
    <w:uiPriority w:val="99"/>
    <w:unhideWhenUsed/>
    <w:rsid w:val="00C01BC0"/>
    <w:rPr>
      <w:color w:val="0563C1" w:themeColor="hyperlink"/>
      <w:u w:val="single"/>
    </w:rPr>
  </w:style>
  <w:style w:type="table" w:styleId="TableGrid">
    <w:name w:val="Table Grid"/>
    <w:basedOn w:val="TableNormal"/>
    <w:uiPriority w:val="39"/>
    <w:rsid w:val="004E56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4795">
      <w:bodyDiv w:val="1"/>
      <w:marLeft w:val="0"/>
      <w:marRight w:val="0"/>
      <w:marTop w:val="0"/>
      <w:marBottom w:val="0"/>
      <w:divBdr>
        <w:top w:val="none" w:sz="0" w:space="0" w:color="auto"/>
        <w:left w:val="none" w:sz="0" w:space="0" w:color="auto"/>
        <w:bottom w:val="none" w:sz="0" w:space="0" w:color="auto"/>
        <w:right w:val="none" w:sz="0" w:space="0" w:color="auto"/>
      </w:divBdr>
    </w:div>
    <w:div w:id="10512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housinggroup.org.uk/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forkentlandlords.co.uk/" TargetMode="External"/><Relationship Id="rId5" Type="http://schemas.openxmlformats.org/officeDocument/2006/relationships/hyperlink" Target="http://www.supportforkentlandlord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4</cp:revision>
  <dcterms:created xsi:type="dcterms:W3CDTF">2022-05-17T13:50:00Z</dcterms:created>
  <dcterms:modified xsi:type="dcterms:W3CDTF">2022-05-17T14:15:00Z</dcterms:modified>
</cp:coreProperties>
</file>