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E30D1D">
      <w:pPr>
        <w:jc w:val="both"/>
      </w:pPr>
      <w:r w:rsidRPr="00DF015F">
        <w:rPr>
          <w:b/>
        </w:rPr>
        <w:t>Present</w:t>
      </w:r>
      <w:r w:rsidR="006029C3" w:rsidRPr="000A08C6">
        <w:t xml:space="preserve">: </w:t>
      </w:r>
      <w:r w:rsidR="00817F12" w:rsidRPr="000A08C6">
        <w:t>Jo Ellis, Chair &amp; Town and Country Housing;</w:t>
      </w:r>
      <w:r w:rsidR="00981FF8" w:rsidRPr="00981FF8">
        <w:t xml:space="preserve"> </w:t>
      </w:r>
      <w:r w:rsidR="002F3E48" w:rsidRPr="002F3E48">
        <w:t>Sharon Williams, Vice Chair &amp; Ashford BC;</w:t>
      </w:r>
      <w:r w:rsidR="00B7703D">
        <w:t xml:space="preserve"> </w:t>
      </w:r>
      <w:r w:rsidR="00B9105F">
        <w:t>D</w:t>
      </w:r>
      <w:r w:rsidR="00F51148">
        <w:t>ebra Exall</w:t>
      </w:r>
      <w:r w:rsidR="005B4CDB">
        <w:t xml:space="preserve">, Christy Holden &amp; </w:t>
      </w:r>
      <w:r w:rsidR="00205AB1">
        <w:t xml:space="preserve">Melanie Anthony, </w:t>
      </w:r>
      <w:r w:rsidR="00817F12" w:rsidRPr="000A08C6">
        <w:t>KCC; Mark Breathwick, Medway Council; Brian Horton, SELEP;</w:t>
      </w:r>
      <w:r w:rsidR="007C6822">
        <w:t xml:space="preserve"> </w:t>
      </w:r>
      <w:r w:rsidR="00205AB1">
        <w:t xml:space="preserve">Kerry Newbury, KHG Events &amp; Optivo; </w:t>
      </w:r>
      <w:r w:rsidR="005B4CDB">
        <w:t xml:space="preserve">Jane Lang, TWBC; </w:t>
      </w:r>
      <w:r w:rsidR="00E132A6">
        <w:t xml:space="preserve">Tim Woolmer, KCC; </w:t>
      </w:r>
      <w:bookmarkStart w:id="0" w:name="_GoBack"/>
      <w:bookmarkEnd w:id="0"/>
      <w:r w:rsidR="007C6822">
        <w:t>Rebecca Smith, KHG</w:t>
      </w:r>
    </w:p>
    <w:p w:rsidR="000564F4" w:rsidRPr="000A08C6" w:rsidRDefault="00DF015F" w:rsidP="00E30D1D">
      <w:pPr>
        <w:jc w:val="both"/>
      </w:pPr>
      <w:r>
        <w:rPr>
          <w:b/>
        </w:rPr>
        <w:t>Apologies</w:t>
      </w:r>
      <w:r w:rsidR="007330A4">
        <w:rPr>
          <w:b/>
        </w:rPr>
        <w:t xml:space="preserve">: </w:t>
      </w:r>
      <w:r w:rsidR="00F212FB" w:rsidRPr="003935E9">
        <w:t xml:space="preserve">Clare Maynard, KCC; </w:t>
      </w:r>
      <w:r w:rsidR="003935E9" w:rsidRPr="003935E9">
        <w:t xml:space="preserve">Brian Horton, SELEP; Nick Fenton, KDG; </w:t>
      </w:r>
      <w:r w:rsidR="003935E9">
        <w:t>Charlotte Hudson, Swale BC; Nick Fenton, KDG; Debra Exall, KCC</w:t>
      </w:r>
    </w:p>
    <w:tbl>
      <w:tblPr>
        <w:tblStyle w:val="TableGrid"/>
        <w:tblW w:w="15877" w:type="dxa"/>
        <w:tblInd w:w="-998" w:type="dxa"/>
        <w:tblLayout w:type="fixed"/>
        <w:tblLook w:val="04A0" w:firstRow="1" w:lastRow="0" w:firstColumn="1" w:lastColumn="0" w:noHBand="0" w:noVBand="1"/>
      </w:tblPr>
      <w:tblGrid>
        <w:gridCol w:w="1560"/>
        <w:gridCol w:w="9214"/>
        <w:gridCol w:w="851"/>
        <w:gridCol w:w="708"/>
        <w:gridCol w:w="3544"/>
      </w:tblGrid>
      <w:tr w:rsidR="00490760" w:rsidRPr="00745BAC" w:rsidTr="00D26C95">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214"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1" w:type="dxa"/>
            <w:shd w:val="clear" w:color="auto" w:fill="DBE5F1" w:themeFill="accent1" w:themeFillTint="33"/>
          </w:tcPr>
          <w:p w:rsidR="00432F07" w:rsidRPr="00745BAC" w:rsidRDefault="00D42118" w:rsidP="00F72A3A">
            <w:pPr>
              <w:rPr>
                <w:b/>
              </w:rPr>
            </w:pPr>
            <w:r>
              <w:rPr>
                <w:b/>
              </w:rPr>
              <w:t xml:space="preserve"> When</w:t>
            </w:r>
          </w:p>
        </w:tc>
        <w:tc>
          <w:tcPr>
            <w:tcW w:w="708" w:type="dxa"/>
            <w:shd w:val="clear" w:color="auto" w:fill="DBE5F1" w:themeFill="accent1" w:themeFillTint="33"/>
          </w:tcPr>
          <w:p w:rsidR="00432F07" w:rsidRPr="00745BAC" w:rsidRDefault="009F047F" w:rsidP="009F047F">
            <w:pPr>
              <w:jc w:val="center"/>
              <w:rPr>
                <w:b/>
              </w:rPr>
            </w:pPr>
            <w:r w:rsidRPr="009F047F">
              <w:rPr>
                <w:b/>
                <w:sz w:val="20"/>
              </w:rPr>
              <w:t>Who</w:t>
            </w:r>
            <w:r w:rsidR="00D42118">
              <w:rPr>
                <w:b/>
              </w:rPr>
              <w:t xml:space="preserve"> </w:t>
            </w:r>
          </w:p>
        </w:tc>
        <w:tc>
          <w:tcPr>
            <w:tcW w:w="3544" w:type="dxa"/>
            <w:shd w:val="clear" w:color="auto" w:fill="DBE5F1" w:themeFill="accent1" w:themeFillTint="33"/>
          </w:tcPr>
          <w:p w:rsidR="00432F07" w:rsidRPr="00745BAC" w:rsidRDefault="00164913" w:rsidP="00205AB1">
            <w:pPr>
              <w:jc w:val="both"/>
              <w:rPr>
                <w:b/>
              </w:rPr>
            </w:pPr>
            <w:r w:rsidRPr="00745BAC">
              <w:rPr>
                <w:b/>
              </w:rPr>
              <w:t>Action/Decision</w:t>
            </w:r>
          </w:p>
        </w:tc>
      </w:tr>
      <w:tr w:rsidR="00596AC7" w:rsidRPr="00745BAC" w:rsidTr="00D26C95">
        <w:tc>
          <w:tcPr>
            <w:tcW w:w="1560" w:type="dxa"/>
          </w:tcPr>
          <w:p w:rsidR="00596AC7" w:rsidRDefault="00596AC7" w:rsidP="003935E9">
            <w:pPr>
              <w:tabs>
                <w:tab w:val="left" w:pos="1092"/>
              </w:tabs>
              <w:rPr>
                <w:b/>
              </w:rPr>
            </w:pPr>
            <w:r>
              <w:rPr>
                <w:b/>
              </w:rPr>
              <w:t>Introduction</w:t>
            </w:r>
            <w:r w:rsidR="003935E9">
              <w:rPr>
                <w:b/>
              </w:rPr>
              <w:t>s</w:t>
            </w:r>
          </w:p>
        </w:tc>
        <w:tc>
          <w:tcPr>
            <w:tcW w:w="9214" w:type="dxa"/>
            <w:shd w:val="clear" w:color="auto" w:fill="auto"/>
          </w:tcPr>
          <w:p w:rsidR="00596AC7" w:rsidRDefault="005B4CDB" w:rsidP="00981FF8">
            <w:pPr>
              <w:jc w:val="both"/>
            </w:pPr>
            <w:r>
              <w:t>Introductions and apologies shared, Jo welcomed all colleagues to the meeting.</w:t>
            </w:r>
          </w:p>
          <w:p w:rsidR="005B4CDB" w:rsidRDefault="005B4CDB" w:rsidP="00981FF8">
            <w:pPr>
              <w:jc w:val="both"/>
            </w:pPr>
          </w:p>
        </w:tc>
        <w:tc>
          <w:tcPr>
            <w:tcW w:w="851" w:type="dxa"/>
            <w:shd w:val="clear" w:color="auto" w:fill="auto"/>
          </w:tcPr>
          <w:p w:rsidR="00596AC7" w:rsidRPr="00FE118F" w:rsidRDefault="00596AC7" w:rsidP="00B9105F">
            <w:pPr>
              <w:rPr>
                <w:b/>
              </w:rPr>
            </w:pPr>
          </w:p>
        </w:tc>
        <w:tc>
          <w:tcPr>
            <w:tcW w:w="708" w:type="dxa"/>
            <w:shd w:val="clear" w:color="auto" w:fill="auto"/>
          </w:tcPr>
          <w:p w:rsidR="00596AC7" w:rsidRPr="00BA3231" w:rsidRDefault="00596AC7" w:rsidP="008669A9">
            <w:pPr>
              <w:jc w:val="both"/>
              <w:rPr>
                <w:b/>
              </w:rPr>
            </w:pPr>
          </w:p>
        </w:tc>
        <w:tc>
          <w:tcPr>
            <w:tcW w:w="3544" w:type="dxa"/>
            <w:shd w:val="clear" w:color="auto" w:fill="auto"/>
          </w:tcPr>
          <w:p w:rsidR="00596AC7" w:rsidRPr="00142F77" w:rsidRDefault="00596AC7" w:rsidP="00205AB1">
            <w:pPr>
              <w:jc w:val="both"/>
              <w:rPr>
                <w:b/>
                <w:color w:val="FF0000"/>
              </w:rPr>
            </w:pPr>
          </w:p>
        </w:tc>
      </w:tr>
      <w:tr w:rsidR="00FE602C" w:rsidRPr="00745BAC" w:rsidTr="00D26C95">
        <w:tc>
          <w:tcPr>
            <w:tcW w:w="1560" w:type="dxa"/>
          </w:tcPr>
          <w:p w:rsidR="00527061" w:rsidRPr="00DD4308" w:rsidRDefault="007C6822" w:rsidP="00B9105F">
            <w:pPr>
              <w:rPr>
                <w:b/>
              </w:rPr>
            </w:pPr>
            <w:r>
              <w:rPr>
                <w:b/>
              </w:rPr>
              <w:t xml:space="preserve">Matters Arising </w:t>
            </w:r>
            <w:r w:rsidR="00B9105F">
              <w:rPr>
                <w:b/>
              </w:rPr>
              <w:t>and General Updates</w:t>
            </w:r>
          </w:p>
        </w:tc>
        <w:tc>
          <w:tcPr>
            <w:tcW w:w="9214" w:type="dxa"/>
            <w:shd w:val="clear" w:color="auto" w:fill="auto"/>
          </w:tcPr>
          <w:p w:rsidR="00D26C95" w:rsidRDefault="003935E9" w:rsidP="00540DC7">
            <w:pPr>
              <w:jc w:val="both"/>
            </w:pPr>
            <w:r>
              <w:t xml:space="preserve">The meeting worked well, agreed to build in a refreshment/comfort break into the agenda.   </w:t>
            </w:r>
            <w:r w:rsidR="00D26C95">
              <w:t>TA suggested a new format to include joint scene setting and then facilitated breakout if specific topics/themes for discussion.  Agreed to consider for future meetings, first test run for December 2020 – to introduce the questions or themes ahead of the meeting and focus the discussion.</w:t>
            </w:r>
          </w:p>
          <w:p w:rsidR="00D26C95" w:rsidRDefault="00D26C95" w:rsidP="00540DC7">
            <w:pPr>
              <w:jc w:val="both"/>
            </w:pPr>
          </w:p>
          <w:p w:rsidR="00D26C95" w:rsidRDefault="00D26C95" w:rsidP="00540DC7">
            <w:pPr>
              <w:jc w:val="both"/>
            </w:pPr>
            <w:r>
              <w:t>To survey the membership about the presentations/topics and to get overall feedback to help shape future meetings.</w:t>
            </w:r>
          </w:p>
          <w:p w:rsidR="00D26C95" w:rsidRDefault="00D26C95" w:rsidP="00540DC7">
            <w:pPr>
              <w:jc w:val="both"/>
            </w:pPr>
          </w:p>
          <w:p w:rsidR="00D26C95" w:rsidRDefault="00D26C95" w:rsidP="00540DC7">
            <w:pPr>
              <w:jc w:val="both"/>
            </w:pPr>
            <w:r>
              <w:t>TA offered to run a master class session on the augmented reality session with a breakout session.   To set up another Top Tips event to share this and any other information, what are the top areas of discussion and how to manage the next stage of lockdown/remote workin</w:t>
            </w:r>
            <w:r w:rsidR="00A52535">
              <w:t xml:space="preserve">g.  </w:t>
            </w:r>
          </w:p>
          <w:p w:rsidR="00A52535" w:rsidRDefault="00A52535" w:rsidP="00540DC7">
            <w:pPr>
              <w:jc w:val="both"/>
            </w:pPr>
          </w:p>
          <w:p w:rsidR="00A52535" w:rsidRDefault="00A52535" w:rsidP="00540DC7">
            <w:pPr>
              <w:jc w:val="both"/>
            </w:pPr>
            <w:r>
              <w:t xml:space="preserve">JE asked colleagues about whether colleagues are reimbursing staff to cover costs associated with working from home.   </w:t>
            </w:r>
          </w:p>
          <w:p w:rsidR="00D26C95" w:rsidRPr="00D84EA9" w:rsidRDefault="00D26C95" w:rsidP="00540DC7">
            <w:pPr>
              <w:jc w:val="both"/>
            </w:pPr>
          </w:p>
        </w:tc>
        <w:tc>
          <w:tcPr>
            <w:tcW w:w="851" w:type="dxa"/>
            <w:shd w:val="clear" w:color="auto" w:fill="auto"/>
          </w:tcPr>
          <w:p w:rsidR="00540DC7" w:rsidRDefault="00540DC7" w:rsidP="00B9105F">
            <w:pPr>
              <w:rPr>
                <w:b/>
              </w:rPr>
            </w:pPr>
          </w:p>
          <w:p w:rsidR="00D26C95" w:rsidRDefault="00D26C95" w:rsidP="00B9105F">
            <w:pPr>
              <w:rPr>
                <w:b/>
              </w:rPr>
            </w:pPr>
          </w:p>
          <w:p w:rsidR="00D26C95" w:rsidRDefault="00D26C95" w:rsidP="00B9105F">
            <w:pPr>
              <w:rPr>
                <w:b/>
              </w:rPr>
            </w:pPr>
            <w:r>
              <w:rPr>
                <w:b/>
              </w:rPr>
              <w:t>For Dec</w:t>
            </w:r>
          </w:p>
          <w:p w:rsidR="00D26C95" w:rsidRDefault="00D26C95" w:rsidP="00B9105F">
            <w:pPr>
              <w:rPr>
                <w:b/>
              </w:rPr>
            </w:pPr>
          </w:p>
          <w:p w:rsidR="00D26C95" w:rsidRDefault="00D26C95" w:rsidP="00B9105F">
            <w:pPr>
              <w:rPr>
                <w:b/>
              </w:rPr>
            </w:pPr>
            <w:r>
              <w:rPr>
                <w:b/>
              </w:rPr>
              <w:t>ASAP</w:t>
            </w:r>
          </w:p>
          <w:p w:rsidR="00D26C95" w:rsidRDefault="00D26C95" w:rsidP="00B9105F">
            <w:pPr>
              <w:rPr>
                <w:b/>
              </w:rPr>
            </w:pPr>
          </w:p>
          <w:p w:rsidR="00D26C95" w:rsidRDefault="00D26C95" w:rsidP="00B9105F">
            <w:pPr>
              <w:rPr>
                <w:b/>
              </w:rPr>
            </w:pPr>
          </w:p>
          <w:p w:rsidR="00D26C95" w:rsidRPr="00FE118F" w:rsidRDefault="00D26C95" w:rsidP="00B9105F">
            <w:pPr>
              <w:rPr>
                <w:b/>
              </w:rPr>
            </w:pPr>
            <w:r>
              <w:rPr>
                <w:b/>
              </w:rPr>
              <w:t>ASAP</w:t>
            </w:r>
          </w:p>
        </w:tc>
        <w:tc>
          <w:tcPr>
            <w:tcW w:w="708" w:type="dxa"/>
            <w:shd w:val="clear" w:color="auto" w:fill="auto"/>
          </w:tcPr>
          <w:p w:rsidR="00540DC7" w:rsidRDefault="00540DC7" w:rsidP="008669A9">
            <w:pPr>
              <w:jc w:val="both"/>
              <w:rPr>
                <w:b/>
              </w:rPr>
            </w:pPr>
          </w:p>
          <w:p w:rsidR="00D26C95" w:rsidRDefault="00D26C95" w:rsidP="008669A9">
            <w:pPr>
              <w:jc w:val="both"/>
              <w:rPr>
                <w:b/>
              </w:rPr>
            </w:pPr>
          </w:p>
          <w:p w:rsidR="00D26C95" w:rsidRDefault="00D26C95" w:rsidP="008669A9">
            <w:pPr>
              <w:jc w:val="both"/>
              <w:rPr>
                <w:b/>
              </w:rPr>
            </w:pPr>
            <w:r>
              <w:rPr>
                <w:b/>
              </w:rPr>
              <w:t>JE/</w:t>
            </w:r>
          </w:p>
          <w:p w:rsidR="00D26C95" w:rsidRDefault="00D26C95" w:rsidP="008669A9">
            <w:pPr>
              <w:jc w:val="both"/>
              <w:rPr>
                <w:b/>
              </w:rPr>
            </w:pPr>
            <w:r>
              <w:rPr>
                <w:b/>
              </w:rPr>
              <w:t>RS</w:t>
            </w:r>
          </w:p>
          <w:p w:rsidR="00D26C95" w:rsidRDefault="00D26C95" w:rsidP="008669A9">
            <w:pPr>
              <w:jc w:val="both"/>
              <w:rPr>
                <w:b/>
              </w:rPr>
            </w:pPr>
          </w:p>
          <w:p w:rsidR="00D26C95" w:rsidRDefault="00D26C95" w:rsidP="008669A9">
            <w:pPr>
              <w:jc w:val="both"/>
              <w:rPr>
                <w:b/>
              </w:rPr>
            </w:pPr>
            <w:r>
              <w:rPr>
                <w:b/>
              </w:rPr>
              <w:t>RS</w:t>
            </w:r>
          </w:p>
          <w:p w:rsidR="00D26C95" w:rsidRDefault="00D26C95" w:rsidP="008669A9">
            <w:pPr>
              <w:jc w:val="both"/>
              <w:rPr>
                <w:b/>
              </w:rPr>
            </w:pPr>
          </w:p>
          <w:p w:rsidR="00D26C95" w:rsidRDefault="00D26C95" w:rsidP="008669A9">
            <w:pPr>
              <w:jc w:val="both"/>
              <w:rPr>
                <w:b/>
              </w:rPr>
            </w:pPr>
          </w:p>
          <w:p w:rsidR="00D26C95" w:rsidRDefault="00D26C95" w:rsidP="008669A9">
            <w:pPr>
              <w:jc w:val="both"/>
              <w:rPr>
                <w:b/>
              </w:rPr>
            </w:pPr>
            <w:r>
              <w:rPr>
                <w:b/>
              </w:rPr>
              <w:t>RS/</w:t>
            </w:r>
          </w:p>
          <w:p w:rsidR="00D26C95" w:rsidRPr="00BA3231" w:rsidRDefault="00D26C95" w:rsidP="008669A9">
            <w:pPr>
              <w:jc w:val="both"/>
              <w:rPr>
                <w:b/>
              </w:rPr>
            </w:pPr>
            <w:r>
              <w:rPr>
                <w:b/>
              </w:rPr>
              <w:t>TA/ KN</w:t>
            </w:r>
          </w:p>
        </w:tc>
        <w:tc>
          <w:tcPr>
            <w:tcW w:w="3544" w:type="dxa"/>
            <w:shd w:val="clear" w:color="auto" w:fill="auto"/>
          </w:tcPr>
          <w:p w:rsidR="00D26C95" w:rsidRDefault="00D26C95" w:rsidP="00205AB1">
            <w:pPr>
              <w:jc w:val="both"/>
              <w:rPr>
                <w:b/>
                <w:color w:val="FF0000"/>
              </w:rPr>
            </w:pPr>
          </w:p>
          <w:p w:rsidR="00D26C95" w:rsidRDefault="00D26C95" w:rsidP="00205AB1">
            <w:pPr>
              <w:jc w:val="both"/>
              <w:rPr>
                <w:b/>
                <w:color w:val="FF0000"/>
              </w:rPr>
            </w:pPr>
          </w:p>
          <w:p w:rsidR="00D26C95" w:rsidRDefault="00D26C95" w:rsidP="00205AB1">
            <w:pPr>
              <w:jc w:val="both"/>
              <w:rPr>
                <w:b/>
                <w:color w:val="FF0000"/>
              </w:rPr>
            </w:pPr>
            <w:r>
              <w:rPr>
                <w:b/>
                <w:color w:val="FF0000"/>
              </w:rPr>
              <w:t>JE to note for December agenda 2020</w:t>
            </w:r>
          </w:p>
          <w:p w:rsidR="00D26C95" w:rsidRDefault="00D26C95" w:rsidP="00205AB1">
            <w:pPr>
              <w:jc w:val="both"/>
              <w:rPr>
                <w:b/>
                <w:color w:val="FF0000"/>
              </w:rPr>
            </w:pPr>
          </w:p>
          <w:p w:rsidR="00D26C95" w:rsidRDefault="00D26C95" w:rsidP="00205AB1">
            <w:pPr>
              <w:jc w:val="both"/>
              <w:rPr>
                <w:b/>
                <w:color w:val="FF0000"/>
              </w:rPr>
            </w:pPr>
            <w:r>
              <w:rPr>
                <w:b/>
                <w:color w:val="FF0000"/>
              </w:rPr>
              <w:t>RS to draw up survey and share with membership</w:t>
            </w:r>
          </w:p>
          <w:p w:rsidR="00D26C95" w:rsidRDefault="00D26C95" w:rsidP="00205AB1">
            <w:pPr>
              <w:jc w:val="both"/>
              <w:rPr>
                <w:b/>
                <w:color w:val="FF0000"/>
              </w:rPr>
            </w:pPr>
          </w:p>
          <w:p w:rsidR="00D26C95" w:rsidRDefault="00D26C95" w:rsidP="00205AB1">
            <w:pPr>
              <w:jc w:val="both"/>
              <w:rPr>
                <w:b/>
                <w:color w:val="FF0000"/>
              </w:rPr>
            </w:pPr>
            <w:r>
              <w:rPr>
                <w:b/>
                <w:color w:val="FF0000"/>
              </w:rPr>
              <w:t>RS to liaise with TA about setting up this session &amp; liaise with KN through the Events group</w:t>
            </w:r>
          </w:p>
          <w:p w:rsidR="00D26C95" w:rsidRPr="00142F77" w:rsidRDefault="00D26C95" w:rsidP="00205AB1">
            <w:pPr>
              <w:jc w:val="both"/>
              <w:rPr>
                <w:b/>
                <w:color w:val="FF0000"/>
              </w:rPr>
            </w:pPr>
          </w:p>
        </w:tc>
      </w:tr>
      <w:tr w:rsidR="00601117" w:rsidRPr="00745BAC" w:rsidTr="00D26C95">
        <w:tc>
          <w:tcPr>
            <w:tcW w:w="1560" w:type="dxa"/>
          </w:tcPr>
          <w:p w:rsidR="00601117" w:rsidRDefault="00D87E91" w:rsidP="009E49FB">
            <w:pPr>
              <w:rPr>
                <w:b/>
              </w:rPr>
            </w:pPr>
            <w:r>
              <w:rPr>
                <w:b/>
              </w:rPr>
              <w:t>KHG Budget</w:t>
            </w:r>
          </w:p>
        </w:tc>
        <w:tc>
          <w:tcPr>
            <w:tcW w:w="9214" w:type="dxa"/>
            <w:shd w:val="clear" w:color="auto" w:fill="auto"/>
          </w:tcPr>
          <w:p w:rsidR="00535D4D" w:rsidRDefault="00535D4D" w:rsidP="00D87E91">
            <w:pPr>
              <w:jc w:val="both"/>
            </w:pPr>
            <w:r>
              <w:t>Budget sheet and supporting paper shared ahead of the meeting, a new updated sheet to be shared by ABC Finance with RS w/c 5</w:t>
            </w:r>
            <w:r w:rsidRPr="00535D4D">
              <w:rPr>
                <w:vertAlign w:val="superscript"/>
              </w:rPr>
              <w:t>th</w:t>
            </w:r>
            <w:r>
              <w:t xml:space="preserve"> October, RS will share for November KHG meeting.   </w:t>
            </w:r>
          </w:p>
          <w:p w:rsidR="00A52535" w:rsidRDefault="00A52535" w:rsidP="00D87E91">
            <w:pPr>
              <w:jc w:val="both"/>
            </w:pPr>
          </w:p>
          <w:p w:rsidR="00A52535" w:rsidRDefault="00A52535" w:rsidP="00D87E91">
            <w:pPr>
              <w:jc w:val="both"/>
            </w:pPr>
            <w:r>
              <w:t>SW raised the challenge around the anticipated income for this current financial year, and whether we need to review the budget accordingly.  The reserve position currently is ok.</w:t>
            </w:r>
          </w:p>
          <w:p w:rsidR="00A52535" w:rsidRDefault="00A52535" w:rsidP="00D87E91">
            <w:pPr>
              <w:jc w:val="both"/>
            </w:pPr>
          </w:p>
          <w:p w:rsidR="008D59A1" w:rsidRDefault="00A52535" w:rsidP="00D87E91">
            <w:pPr>
              <w:jc w:val="both"/>
            </w:pPr>
            <w:r>
              <w:t xml:space="preserve">One action to undertake is the future funding from Kent Public Health, supporting the part time post for the HHSC SG.   It was agreed that JE, HB and SW to meet and discuss the approach for the KPH </w:t>
            </w:r>
            <w:r>
              <w:lastRenderedPageBreak/>
              <w:t xml:space="preserve">funding, there work remains on going for the sub group.  HB advised that Sarah Tickner is working on a report based on the top priorities for Public Health to support the conversation with ASC.   </w:t>
            </w:r>
          </w:p>
          <w:p w:rsidR="008D59A1" w:rsidRDefault="008D59A1" w:rsidP="00D87E91">
            <w:pPr>
              <w:jc w:val="both"/>
            </w:pPr>
          </w:p>
          <w:p w:rsidR="00A52535" w:rsidRDefault="008D59A1" w:rsidP="00D87E91">
            <w:pPr>
              <w:jc w:val="both"/>
            </w:pPr>
            <w:r>
              <w:t>RS</w:t>
            </w:r>
            <w:r w:rsidR="00476E2D">
              <w:t>/KN</w:t>
            </w:r>
            <w:r>
              <w:t xml:space="preserve"> updated that the events group of KHG are considering a new approach where all organisations are given the opportunity to nominate.  TA suggested asking a client, tenant to assist with who and how on the nomination, to help promote the work of the organisation.  There was a discussion about GDPR and sharing of personal information for gifting</w:t>
            </w:r>
            <w:r w:rsidR="00476E2D">
              <w:t xml:space="preserve">.  </w:t>
            </w:r>
            <w:r w:rsidR="00476E2D" w:rsidRPr="00476E2D">
              <w:t xml:space="preserve">Will see </w:t>
            </w:r>
            <w:r w:rsidR="00476E2D">
              <w:t>if sponsorship will</w:t>
            </w:r>
            <w:r w:rsidR="00476E2D" w:rsidRPr="00476E2D">
              <w:t xml:space="preserve"> cover cost of recognition awards.   Not to be restricted to the Coronavirus response and recovery, this is about the ‘extraordinary’.</w:t>
            </w:r>
          </w:p>
          <w:p w:rsidR="00535D4D" w:rsidRDefault="00535D4D" w:rsidP="00D87E91">
            <w:pPr>
              <w:jc w:val="both"/>
            </w:pPr>
          </w:p>
        </w:tc>
        <w:tc>
          <w:tcPr>
            <w:tcW w:w="851" w:type="dxa"/>
            <w:shd w:val="clear" w:color="auto" w:fill="auto"/>
          </w:tcPr>
          <w:p w:rsidR="00012955" w:rsidRDefault="00012955" w:rsidP="00B9105F">
            <w:pPr>
              <w:rPr>
                <w:b/>
              </w:rPr>
            </w:pPr>
          </w:p>
          <w:p w:rsidR="00A52535" w:rsidRDefault="00A52535" w:rsidP="00B9105F">
            <w:pPr>
              <w:rPr>
                <w:b/>
              </w:rPr>
            </w:pPr>
          </w:p>
          <w:p w:rsidR="00A52535" w:rsidRDefault="00A52535" w:rsidP="00B9105F">
            <w:pPr>
              <w:rPr>
                <w:b/>
              </w:rPr>
            </w:pPr>
          </w:p>
          <w:p w:rsidR="00A52535" w:rsidRDefault="00A52535" w:rsidP="00B9105F">
            <w:pPr>
              <w:rPr>
                <w:b/>
              </w:rPr>
            </w:pPr>
          </w:p>
          <w:p w:rsidR="00A52535" w:rsidRDefault="00A52535" w:rsidP="00B9105F">
            <w:pPr>
              <w:rPr>
                <w:b/>
              </w:rPr>
            </w:pPr>
          </w:p>
          <w:p w:rsidR="00A52535" w:rsidRDefault="00A52535" w:rsidP="00B9105F">
            <w:pPr>
              <w:rPr>
                <w:b/>
              </w:rPr>
            </w:pPr>
          </w:p>
          <w:p w:rsidR="00A52535" w:rsidRPr="009179A4" w:rsidRDefault="00A52535" w:rsidP="00B9105F">
            <w:pPr>
              <w:rPr>
                <w:b/>
              </w:rPr>
            </w:pPr>
            <w:r>
              <w:rPr>
                <w:b/>
              </w:rPr>
              <w:t>ASAP</w:t>
            </w:r>
          </w:p>
        </w:tc>
        <w:tc>
          <w:tcPr>
            <w:tcW w:w="708" w:type="dxa"/>
            <w:shd w:val="clear" w:color="auto" w:fill="auto"/>
          </w:tcPr>
          <w:p w:rsidR="00012955" w:rsidRDefault="00012955" w:rsidP="00454E00">
            <w:pPr>
              <w:rPr>
                <w:b/>
              </w:rPr>
            </w:pPr>
          </w:p>
          <w:p w:rsidR="00A52535" w:rsidRDefault="00A52535" w:rsidP="00454E00">
            <w:pPr>
              <w:rPr>
                <w:b/>
              </w:rPr>
            </w:pPr>
          </w:p>
          <w:p w:rsidR="00A52535" w:rsidRDefault="00A52535" w:rsidP="00454E00">
            <w:pPr>
              <w:rPr>
                <w:b/>
              </w:rPr>
            </w:pPr>
          </w:p>
          <w:p w:rsidR="00A52535" w:rsidRDefault="00A52535" w:rsidP="00454E00">
            <w:pPr>
              <w:rPr>
                <w:b/>
              </w:rPr>
            </w:pPr>
          </w:p>
          <w:p w:rsidR="00A52535" w:rsidRDefault="00A52535" w:rsidP="00454E00">
            <w:pPr>
              <w:rPr>
                <w:b/>
              </w:rPr>
            </w:pPr>
          </w:p>
          <w:p w:rsidR="00A52535" w:rsidRDefault="00A52535" w:rsidP="00454E00">
            <w:pPr>
              <w:rPr>
                <w:b/>
              </w:rPr>
            </w:pPr>
          </w:p>
          <w:p w:rsidR="00A52535" w:rsidRPr="007F161E" w:rsidRDefault="00A52535" w:rsidP="00454E00">
            <w:pPr>
              <w:rPr>
                <w:b/>
              </w:rPr>
            </w:pPr>
            <w:r>
              <w:rPr>
                <w:b/>
              </w:rPr>
              <w:t>RS</w:t>
            </w:r>
          </w:p>
        </w:tc>
        <w:tc>
          <w:tcPr>
            <w:tcW w:w="3544" w:type="dxa"/>
            <w:shd w:val="clear" w:color="auto" w:fill="auto"/>
          </w:tcPr>
          <w:p w:rsidR="00012955" w:rsidRDefault="00012955" w:rsidP="00205AB1">
            <w:pPr>
              <w:jc w:val="both"/>
              <w:rPr>
                <w:b/>
                <w:color w:val="FF0000"/>
              </w:rPr>
            </w:pPr>
          </w:p>
          <w:p w:rsidR="00A52535" w:rsidRDefault="00A52535" w:rsidP="00205AB1">
            <w:pPr>
              <w:jc w:val="both"/>
              <w:rPr>
                <w:b/>
                <w:color w:val="FF0000"/>
              </w:rPr>
            </w:pPr>
          </w:p>
          <w:p w:rsidR="00A52535" w:rsidRDefault="00A52535" w:rsidP="00205AB1">
            <w:pPr>
              <w:jc w:val="both"/>
              <w:rPr>
                <w:b/>
                <w:color w:val="FF0000"/>
              </w:rPr>
            </w:pPr>
          </w:p>
          <w:p w:rsidR="00A52535" w:rsidRDefault="00A52535" w:rsidP="00205AB1">
            <w:pPr>
              <w:jc w:val="both"/>
              <w:rPr>
                <w:b/>
                <w:color w:val="FF0000"/>
              </w:rPr>
            </w:pPr>
          </w:p>
          <w:p w:rsidR="00A52535" w:rsidRDefault="00A52535" w:rsidP="00205AB1">
            <w:pPr>
              <w:jc w:val="both"/>
              <w:rPr>
                <w:b/>
                <w:color w:val="FF0000"/>
              </w:rPr>
            </w:pPr>
          </w:p>
          <w:p w:rsidR="00A52535" w:rsidRDefault="00A52535" w:rsidP="00205AB1">
            <w:pPr>
              <w:jc w:val="both"/>
              <w:rPr>
                <w:b/>
                <w:color w:val="FF0000"/>
              </w:rPr>
            </w:pPr>
          </w:p>
          <w:p w:rsidR="00A52535" w:rsidRPr="00142F77" w:rsidRDefault="00A52535" w:rsidP="00205AB1">
            <w:pPr>
              <w:jc w:val="both"/>
              <w:rPr>
                <w:b/>
                <w:color w:val="FF0000"/>
              </w:rPr>
            </w:pPr>
            <w:r>
              <w:rPr>
                <w:b/>
                <w:color w:val="FF0000"/>
              </w:rPr>
              <w:t>RS to set up a meeting and then arrange a catch up with ASC</w:t>
            </w:r>
          </w:p>
        </w:tc>
      </w:tr>
      <w:tr w:rsidR="00D75843" w:rsidRPr="00745BAC" w:rsidTr="00D26C95">
        <w:tc>
          <w:tcPr>
            <w:tcW w:w="1560" w:type="dxa"/>
          </w:tcPr>
          <w:p w:rsidR="00D75843" w:rsidRDefault="00D87E91" w:rsidP="009E49FB">
            <w:pPr>
              <w:rPr>
                <w:b/>
              </w:rPr>
            </w:pPr>
            <w:r>
              <w:rPr>
                <w:b/>
                <w:sz w:val="20"/>
              </w:rPr>
              <w:t>SELEP Update</w:t>
            </w:r>
          </w:p>
        </w:tc>
        <w:tc>
          <w:tcPr>
            <w:tcW w:w="9214" w:type="dxa"/>
            <w:shd w:val="clear" w:color="auto" w:fill="auto"/>
          </w:tcPr>
          <w:p w:rsidR="0034074E" w:rsidRDefault="00D26C95" w:rsidP="00D87E91">
            <w:pPr>
              <w:jc w:val="both"/>
            </w:pPr>
            <w:r>
              <w:t>No update available.</w:t>
            </w:r>
          </w:p>
          <w:p w:rsidR="00D26C95" w:rsidRPr="00ED5DE0" w:rsidRDefault="00D26C95" w:rsidP="00D87E91">
            <w:pPr>
              <w:jc w:val="both"/>
            </w:pPr>
          </w:p>
        </w:tc>
        <w:tc>
          <w:tcPr>
            <w:tcW w:w="851" w:type="dxa"/>
            <w:shd w:val="clear" w:color="auto" w:fill="auto"/>
          </w:tcPr>
          <w:p w:rsidR="00012955" w:rsidRPr="009179A4" w:rsidRDefault="00012955" w:rsidP="00454E00">
            <w:pPr>
              <w:rPr>
                <w:b/>
              </w:rPr>
            </w:pPr>
          </w:p>
        </w:tc>
        <w:tc>
          <w:tcPr>
            <w:tcW w:w="708" w:type="dxa"/>
            <w:shd w:val="clear" w:color="auto" w:fill="auto"/>
          </w:tcPr>
          <w:p w:rsidR="00012955" w:rsidRPr="007F161E" w:rsidRDefault="00012955" w:rsidP="00454E00">
            <w:pPr>
              <w:rPr>
                <w:b/>
              </w:rPr>
            </w:pPr>
          </w:p>
        </w:tc>
        <w:tc>
          <w:tcPr>
            <w:tcW w:w="3544" w:type="dxa"/>
            <w:shd w:val="clear" w:color="auto" w:fill="auto"/>
          </w:tcPr>
          <w:p w:rsidR="00012955" w:rsidRDefault="00012955" w:rsidP="00205AB1">
            <w:pPr>
              <w:jc w:val="both"/>
              <w:rPr>
                <w:b/>
                <w:color w:val="FF0000"/>
              </w:rPr>
            </w:pPr>
            <w:r>
              <w:rPr>
                <w:b/>
                <w:color w:val="FF0000"/>
              </w:rPr>
              <w:t xml:space="preserve"> </w:t>
            </w:r>
          </w:p>
        </w:tc>
      </w:tr>
      <w:tr w:rsidR="00235BE7" w:rsidRPr="00745BAC" w:rsidTr="00D26C95">
        <w:tc>
          <w:tcPr>
            <w:tcW w:w="1560" w:type="dxa"/>
          </w:tcPr>
          <w:p w:rsidR="00235BE7" w:rsidRPr="00981FF8" w:rsidRDefault="00D87E91" w:rsidP="009E49FB">
            <w:pPr>
              <w:rPr>
                <w:b/>
                <w:sz w:val="20"/>
              </w:rPr>
            </w:pPr>
            <w:r>
              <w:rPr>
                <w:b/>
                <w:sz w:val="20"/>
              </w:rPr>
              <w:t>KRF Action Plan</w:t>
            </w:r>
          </w:p>
        </w:tc>
        <w:tc>
          <w:tcPr>
            <w:tcW w:w="9214" w:type="dxa"/>
            <w:shd w:val="clear" w:color="auto" w:fill="auto"/>
          </w:tcPr>
          <w:p w:rsidR="008D59A1" w:rsidRDefault="008D59A1" w:rsidP="00B24E64">
            <w:pPr>
              <w:jc w:val="both"/>
            </w:pPr>
            <w:r>
              <w:t xml:space="preserve">Going to fund social rent but not in Kent, there is regular dialogue between SELEP, KDG and MHCLG on this issue.  </w:t>
            </w:r>
            <w:r w:rsidR="00B24E64">
              <w:t xml:space="preserve">TA raised the concern about the Right to Acquire element, which is an issue being raised through the G15 and CASE regarding liabilities and maintenance, TA to share details of CASE with Bob Heapy at TCH where these discussions are being developed and shared.  </w:t>
            </w:r>
          </w:p>
          <w:p w:rsidR="00B24E64" w:rsidRDefault="00B24E64" w:rsidP="00B24E64">
            <w:pPr>
              <w:jc w:val="both"/>
            </w:pPr>
          </w:p>
          <w:p w:rsidR="00B24E64" w:rsidRDefault="00B24E64" w:rsidP="00B24E64">
            <w:pPr>
              <w:jc w:val="both"/>
            </w:pPr>
            <w:r>
              <w:t>Important that all messages are fed back via KDG in respect of this action plan.</w:t>
            </w:r>
          </w:p>
          <w:p w:rsidR="00B24E64" w:rsidRDefault="00B24E64" w:rsidP="00B24E64">
            <w:pPr>
              <w:jc w:val="both"/>
            </w:pPr>
          </w:p>
          <w:p w:rsidR="00B24E64" w:rsidRDefault="00B24E64" w:rsidP="00B24E64">
            <w:pPr>
              <w:jc w:val="both"/>
            </w:pPr>
            <w:r>
              <w:t>Action 11 – is overarching and broad action for KHG, a key action is how to deliver and if the sub groups are placed to deliver all actions.</w:t>
            </w:r>
          </w:p>
          <w:p w:rsidR="00B24E64" w:rsidRDefault="00B24E64" w:rsidP="00B24E64">
            <w:pPr>
              <w:jc w:val="both"/>
            </w:pPr>
          </w:p>
          <w:p w:rsidR="00B24E64" w:rsidRDefault="00B24E64" w:rsidP="00B24E64">
            <w:pPr>
              <w:jc w:val="both"/>
            </w:pPr>
            <w:r>
              <w:t>Action 10 – to be picked up by a mix of the HHSC SG and Kent PSHG.</w:t>
            </w:r>
          </w:p>
          <w:p w:rsidR="00B24E64" w:rsidRDefault="00B24E64" w:rsidP="00B24E64">
            <w:pPr>
              <w:jc w:val="both"/>
            </w:pPr>
          </w:p>
          <w:p w:rsidR="00B24E64" w:rsidRDefault="00B24E64" w:rsidP="00B24E64">
            <w:pPr>
              <w:jc w:val="both"/>
            </w:pPr>
            <w:r>
              <w:t xml:space="preserve">To have this as a standing item on the EXB agenda and to establish when the time frame for reporting back is.   JE urged colleagues to ensure that developer colleagues are engaged and sharing views via the KDG.  </w:t>
            </w:r>
          </w:p>
          <w:p w:rsidR="00B24E64" w:rsidRDefault="00B24E64" w:rsidP="00B24E64">
            <w:pPr>
              <w:jc w:val="both"/>
            </w:pPr>
          </w:p>
        </w:tc>
        <w:tc>
          <w:tcPr>
            <w:tcW w:w="851" w:type="dxa"/>
            <w:shd w:val="clear" w:color="auto" w:fill="auto"/>
          </w:tcPr>
          <w:p w:rsidR="00012955" w:rsidRDefault="00012955"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Pr="009179A4" w:rsidRDefault="00476E2D" w:rsidP="00454E00">
            <w:pPr>
              <w:rPr>
                <w:b/>
              </w:rPr>
            </w:pPr>
            <w:r>
              <w:rPr>
                <w:b/>
              </w:rPr>
              <w:t>ASAP</w:t>
            </w:r>
          </w:p>
        </w:tc>
        <w:tc>
          <w:tcPr>
            <w:tcW w:w="708" w:type="dxa"/>
            <w:shd w:val="clear" w:color="auto" w:fill="auto"/>
          </w:tcPr>
          <w:p w:rsidR="00012955" w:rsidRDefault="00012955"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Pr="007F161E" w:rsidRDefault="00476E2D" w:rsidP="00454E00">
            <w:pPr>
              <w:rPr>
                <w:b/>
              </w:rPr>
            </w:pPr>
            <w:r>
              <w:rPr>
                <w:b/>
              </w:rPr>
              <w:t>RS</w:t>
            </w:r>
          </w:p>
        </w:tc>
        <w:tc>
          <w:tcPr>
            <w:tcW w:w="3544" w:type="dxa"/>
            <w:shd w:val="clear" w:color="auto" w:fill="auto"/>
          </w:tcPr>
          <w:p w:rsidR="00012955" w:rsidRDefault="00012955" w:rsidP="00205AB1">
            <w:pPr>
              <w:jc w:val="both"/>
              <w:rPr>
                <w:b/>
                <w:color w:val="FF0000"/>
              </w:rPr>
            </w:pPr>
          </w:p>
          <w:p w:rsidR="00B24E64" w:rsidRDefault="00B24E64" w:rsidP="00205AB1">
            <w:pPr>
              <w:jc w:val="both"/>
              <w:rPr>
                <w:b/>
                <w:color w:val="FF0000"/>
              </w:rPr>
            </w:pPr>
          </w:p>
          <w:p w:rsidR="00B24E64" w:rsidRDefault="00B24E64" w:rsidP="00205AB1">
            <w:pPr>
              <w:jc w:val="both"/>
              <w:rPr>
                <w:b/>
                <w:color w:val="FF0000"/>
              </w:rPr>
            </w:pPr>
          </w:p>
          <w:p w:rsidR="00B24E64" w:rsidRDefault="00B24E64" w:rsidP="00205AB1">
            <w:pPr>
              <w:jc w:val="both"/>
              <w:rPr>
                <w:b/>
                <w:color w:val="FF0000"/>
              </w:rPr>
            </w:pPr>
          </w:p>
          <w:p w:rsidR="00B24E64" w:rsidRDefault="00B24E64" w:rsidP="00205AB1">
            <w:pPr>
              <w:jc w:val="both"/>
              <w:rPr>
                <w:b/>
                <w:color w:val="FF0000"/>
              </w:rPr>
            </w:pPr>
          </w:p>
          <w:p w:rsidR="00B24E64" w:rsidRDefault="00B24E64" w:rsidP="00205AB1">
            <w:pPr>
              <w:jc w:val="both"/>
              <w:rPr>
                <w:b/>
                <w:color w:val="FF0000"/>
              </w:rPr>
            </w:pPr>
          </w:p>
          <w:p w:rsidR="00B24E64" w:rsidRDefault="00B24E64" w:rsidP="00205AB1">
            <w:pPr>
              <w:jc w:val="both"/>
              <w:rPr>
                <w:b/>
                <w:color w:val="FF0000"/>
              </w:rPr>
            </w:pPr>
          </w:p>
          <w:p w:rsidR="00B24E64" w:rsidRDefault="00B24E64" w:rsidP="00205AB1">
            <w:pPr>
              <w:jc w:val="both"/>
              <w:rPr>
                <w:b/>
                <w:color w:val="FF0000"/>
              </w:rPr>
            </w:pPr>
          </w:p>
          <w:p w:rsidR="00B24E64" w:rsidRDefault="00B24E64" w:rsidP="00205AB1">
            <w:pPr>
              <w:jc w:val="both"/>
              <w:rPr>
                <w:b/>
                <w:color w:val="FF0000"/>
              </w:rPr>
            </w:pPr>
          </w:p>
          <w:p w:rsidR="00B24E64" w:rsidRDefault="00B24E64" w:rsidP="00205AB1">
            <w:pPr>
              <w:jc w:val="both"/>
              <w:rPr>
                <w:b/>
                <w:color w:val="FF0000"/>
              </w:rPr>
            </w:pPr>
          </w:p>
          <w:p w:rsidR="00B24E64" w:rsidRDefault="00B24E64" w:rsidP="00205AB1">
            <w:pPr>
              <w:jc w:val="both"/>
              <w:rPr>
                <w:b/>
                <w:color w:val="FF0000"/>
              </w:rPr>
            </w:pPr>
          </w:p>
          <w:p w:rsidR="00B24E64" w:rsidRDefault="00B24E64" w:rsidP="00205AB1">
            <w:pPr>
              <w:jc w:val="both"/>
              <w:rPr>
                <w:b/>
                <w:color w:val="FF0000"/>
              </w:rPr>
            </w:pPr>
          </w:p>
          <w:p w:rsidR="00B24E64" w:rsidRDefault="00B24E64" w:rsidP="00205AB1">
            <w:pPr>
              <w:jc w:val="both"/>
              <w:rPr>
                <w:b/>
                <w:color w:val="FF0000"/>
              </w:rPr>
            </w:pPr>
            <w:r>
              <w:rPr>
                <w:b/>
                <w:color w:val="FF0000"/>
              </w:rPr>
              <w:t>RS to share a copy of the letter and KRF Action Plan with summary meeting notes.</w:t>
            </w:r>
          </w:p>
        </w:tc>
      </w:tr>
      <w:tr w:rsidR="00981FF8" w:rsidRPr="00745BAC" w:rsidTr="00D26C95">
        <w:tc>
          <w:tcPr>
            <w:tcW w:w="1560" w:type="dxa"/>
          </w:tcPr>
          <w:p w:rsidR="00981FF8" w:rsidRPr="00981FF8" w:rsidRDefault="00D87E91" w:rsidP="009E49FB">
            <w:pPr>
              <w:rPr>
                <w:b/>
                <w:sz w:val="20"/>
              </w:rPr>
            </w:pPr>
            <w:r>
              <w:rPr>
                <w:b/>
                <w:sz w:val="20"/>
              </w:rPr>
              <w:t>Succession Planning for KHG</w:t>
            </w:r>
          </w:p>
        </w:tc>
        <w:tc>
          <w:tcPr>
            <w:tcW w:w="9214" w:type="dxa"/>
            <w:shd w:val="clear" w:color="auto" w:fill="auto"/>
          </w:tcPr>
          <w:p w:rsidR="00BB3C27" w:rsidRDefault="00B24E64" w:rsidP="00D87E91">
            <w:pPr>
              <w:jc w:val="both"/>
            </w:pPr>
            <w:r>
              <w:t>JE to step down from Chair at the end of year, SW will then become Chair of KHG from January 2021.  There will be a need for a new HA Vice Chair from J</w:t>
            </w:r>
            <w:r w:rsidR="00BB3C27">
              <w:t>anuary 2021 and to also consider the HA representation of HA’s on the EXB.</w:t>
            </w:r>
          </w:p>
          <w:p w:rsidR="00BB3C27" w:rsidRDefault="00BB3C27" w:rsidP="00D87E91">
            <w:pPr>
              <w:jc w:val="both"/>
            </w:pPr>
          </w:p>
          <w:p w:rsidR="00BB3C27" w:rsidRDefault="00BB3C27" w:rsidP="00D87E91">
            <w:pPr>
              <w:jc w:val="both"/>
            </w:pPr>
            <w:r>
              <w:t xml:space="preserve">RS explained that the Chair is asked to step away from the EXB to enable other housing associations or local authorities to be part of the EXB, there is also the HA seat that was taken by Sasha Harrison is also vacant as Sasha has stepped down.  </w:t>
            </w:r>
          </w:p>
          <w:p w:rsidR="00BB3C27" w:rsidRDefault="00BB3C27" w:rsidP="00D87E91">
            <w:pPr>
              <w:jc w:val="both"/>
            </w:pPr>
          </w:p>
          <w:p w:rsidR="00BB3C27" w:rsidRDefault="00BB3C27" w:rsidP="00D87E91">
            <w:pPr>
              <w:jc w:val="both"/>
            </w:pPr>
            <w:r>
              <w:t>SW commented that we may need to consider a review of the TOR for the EXB, especially in light of the changes in personnel as many of the EXB members are relatively new to it, TA suggested co-opting options to enable continuity.   It is really important for both local authorities and housing associations.</w:t>
            </w:r>
          </w:p>
          <w:p w:rsidR="00BB3C27" w:rsidRDefault="00BB3C27" w:rsidP="00D87E91">
            <w:pPr>
              <w:jc w:val="both"/>
            </w:pPr>
          </w:p>
          <w:p w:rsidR="00BB3C27" w:rsidRDefault="00BB3C27" w:rsidP="00D87E91">
            <w:pPr>
              <w:jc w:val="both"/>
            </w:pPr>
            <w:r>
              <w:t>MB raised the point of diversity and if there are other colleagues within membership organisations who could bring knowledge/view/experience from outside of the housing arena, are we representative of the communities that we serve, a lot of value from effective boards is the story or input of service users.   Should we consider the role of a tenant representative?</w:t>
            </w:r>
          </w:p>
          <w:p w:rsidR="00BB3C27" w:rsidRDefault="00BB3C27" w:rsidP="00D87E91">
            <w:pPr>
              <w:jc w:val="both"/>
            </w:pPr>
          </w:p>
          <w:p w:rsidR="00BB3C27" w:rsidRDefault="00407092" w:rsidP="00D87E91">
            <w:pPr>
              <w:jc w:val="both"/>
            </w:pPr>
            <w:r>
              <w:t xml:space="preserve">Agreed to get views about the TOR, to invite the remainder of the EXB not at the meeting today to take into account their views, consider the skills set and how to supplement any that are missing and whether independent input would be useful.    </w:t>
            </w:r>
          </w:p>
          <w:p w:rsidR="00407092" w:rsidRDefault="00407092" w:rsidP="00D87E91">
            <w:pPr>
              <w:jc w:val="both"/>
            </w:pPr>
          </w:p>
          <w:p w:rsidR="00407092" w:rsidRDefault="00407092" w:rsidP="00D87E91">
            <w:pPr>
              <w:jc w:val="both"/>
            </w:pPr>
            <w:r>
              <w:t xml:space="preserve">RS to liaise with TA about Governance for Boards and to help shape/discuss the TOR and to ensure fit for purpose. </w:t>
            </w:r>
          </w:p>
          <w:p w:rsidR="00BB3C27" w:rsidRPr="00ED5DE0" w:rsidRDefault="00BB3C27" w:rsidP="00D87E91">
            <w:pPr>
              <w:jc w:val="both"/>
            </w:pPr>
          </w:p>
        </w:tc>
        <w:tc>
          <w:tcPr>
            <w:tcW w:w="851" w:type="dxa"/>
            <w:shd w:val="clear" w:color="auto" w:fill="auto"/>
          </w:tcPr>
          <w:p w:rsidR="00981FF8" w:rsidRDefault="00981FF8"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Pr="009179A4" w:rsidRDefault="00476E2D" w:rsidP="00454E00">
            <w:pPr>
              <w:rPr>
                <w:b/>
              </w:rPr>
            </w:pPr>
            <w:r>
              <w:rPr>
                <w:b/>
              </w:rPr>
              <w:t>ASAP</w:t>
            </w:r>
          </w:p>
        </w:tc>
        <w:tc>
          <w:tcPr>
            <w:tcW w:w="708" w:type="dxa"/>
            <w:shd w:val="clear" w:color="auto" w:fill="auto"/>
          </w:tcPr>
          <w:p w:rsidR="00981FF8" w:rsidRDefault="00981FF8"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Pr="007F161E" w:rsidRDefault="00476E2D" w:rsidP="00454E00">
            <w:pPr>
              <w:rPr>
                <w:b/>
              </w:rPr>
            </w:pPr>
            <w:r>
              <w:rPr>
                <w:b/>
              </w:rPr>
              <w:t>RS</w:t>
            </w:r>
          </w:p>
        </w:tc>
        <w:tc>
          <w:tcPr>
            <w:tcW w:w="3544" w:type="dxa"/>
            <w:shd w:val="clear" w:color="auto" w:fill="auto"/>
          </w:tcPr>
          <w:p w:rsidR="00981FF8" w:rsidRDefault="00981FF8"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r>
              <w:rPr>
                <w:b/>
                <w:color w:val="FF0000"/>
              </w:rPr>
              <w:t>RS to liaise with TA</w:t>
            </w:r>
          </w:p>
        </w:tc>
      </w:tr>
      <w:tr w:rsidR="00981FF8" w:rsidRPr="00745BAC" w:rsidTr="00D26C95">
        <w:tc>
          <w:tcPr>
            <w:tcW w:w="1560" w:type="dxa"/>
          </w:tcPr>
          <w:p w:rsidR="00981FF8" w:rsidRDefault="00D87E91" w:rsidP="009E49FB">
            <w:pPr>
              <w:rPr>
                <w:b/>
                <w:sz w:val="20"/>
              </w:rPr>
            </w:pPr>
            <w:r>
              <w:rPr>
                <w:b/>
                <w:sz w:val="20"/>
              </w:rPr>
              <w:lastRenderedPageBreak/>
              <w:t>AOB</w:t>
            </w:r>
          </w:p>
        </w:tc>
        <w:tc>
          <w:tcPr>
            <w:tcW w:w="9214" w:type="dxa"/>
            <w:shd w:val="clear" w:color="auto" w:fill="auto"/>
          </w:tcPr>
          <w:p w:rsidR="00535D4D" w:rsidRDefault="00535D4D" w:rsidP="00ED5DE0">
            <w:pPr>
              <w:jc w:val="both"/>
            </w:pPr>
          </w:p>
          <w:p w:rsidR="00407092" w:rsidRDefault="000E57C5" w:rsidP="00ED5DE0">
            <w:pPr>
              <w:jc w:val="both"/>
            </w:pPr>
            <w:r>
              <w:t>Any suggestions for final full membership meeting of KHG (2</w:t>
            </w:r>
            <w:r w:rsidRPr="000E57C5">
              <w:rPr>
                <w:vertAlign w:val="superscript"/>
              </w:rPr>
              <w:t>nd</w:t>
            </w:r>
            <w:r>
              <w:t xml:space="preserve"> December)? </w:t>
            </w:r>
            <w:r w:rsidR="00407092">
              <w:t xml:space="preserve">  Could replace with the suggested workshop as discussed earlier in the meeting, regarding changes, implementation in response to change, with breakout sessions, sharing best practice.</w:t>
            </w:r>
          </w:p>
          <w:p w:rsidR="00C91A4B" w:rsidRPr="00ED5DE0" w:rsidRDefault="00C91A4B" w:rsidP="006E189C">
            <w:pPr>
              <w:jc w:val="both"/>
            </w:pPr>
          </w:p>
        </w:tc>
        <w:tc>
          <w:tcPr>
            <w:tcW w:w="851" w:type="dxa"/>
            <w:shd w:val="clear" w:color="auto" w:fill="auto"/>
          </w:tcPr>
          <w:p w:rsidR="00012955" w:rsidRPr="009179A4" w:rsidRDefault="00012955" w:rsidP="00454E00">
            <w:pPr>
              <w:rPr>
                <w:b/>
              </w:rPr>
            </w:pPr>
            <w:r>
              <w:rPr>
                <w:b/>
              </w:rPr>
              <w:t xml:space="preserve"> </w:t>
            </w:r>
          </w:p>
        </w:tc>
        <w:tc>
          <w:tcPr>
            <w:tcW w:w="708" w:type="dxa"/>
            <w:shd w:val="clear" w:color="auto" w:fill="auto"/>
          </w:tcPr>
          <w:p w:rsidR="00012955" w:rsidRPr="007F161E" w:rsidRDefault="00012955" w:rsidP="00454E00">
            <w:pPr>
              <w:rPr>
                <w:b/>
              </w:rPr>
            </w:pPr>
          </w:p>
        </w:tc>
        <w:tc>
          <w:tcPr>
            <w:tcW w:w="3544" w:type="dxa"/>
            <w:shd w:val="clear" w:color="auto" w:fill="auto"/>
          </w:tcPr>
          <w:p w:rsidR="00935404" w:rsidRDefault="00935404" w:rsidP="00205AB1">
            <w:pPr>
              <w:jc w:val="both"/>
              <w:rPr>
                <w:b/>
                <w:color w:val="FF0000"/>
              </w:rPr>
            </w:pPr>
          </w:p>
        </w:tc>
      </w:tr>
      <w:tr w:rsidR="00407092" w:rsidRPr="00745BAC" w:rsidTr="00D26C95">
        <w:tc>
          <w:tcPr>
            <w:tcW w:w="1560" w:type="dxa"/>
          </w:tcPr>
          <w:p w:rsidR="00407092" w:rsidRDefault="00407092" w:rsidP="009E49FB">
            <w:pPr>
              <w:rPr>
                <w:b/>
                <w:sz w:val="20"/>
              </w:rPr>
            </w:pPr>
            <w:r>
              <w:rPr>
                <w:b/>
                <w:sz w:val="20"/>
              </w:rPr>
              <w:t>BLM</w:t>
            </w:r>
          </w:p>
        </w:tc>
        <w:tc>
          <w:tcPr>
            <w:tcW w:w="9214" w:type="dxa"/>
            <w:shd w:val="clear" w:color="auto" w:fill="auto"/>
          </w:tcPr>
          <w:p w:rsidR="00407092" w:rsidRDefault="00407092" w:rsidP="00ED5DE0">
            <w:pPr>
              <w:jc w:val="both"/>
            </w:pPr>
            <w:r>
              <w:t xml:space="preserve">Colleagues at the morning meeting were happy with the draft response from KHG about BLM, due to feedback the draft statement has been updated slightly, as follows – </w:t>
            </w:r>
          </w:p>
          <w:p w:rsidR="00407092" w:rsidRDefault="00407092" w:rsidP="00ED5DE0">
            <w:pPr>
              <w:jc w:val="both"/>
            </w:pPr>
          </w:p>
          <w:p w:rsidR="00407092" w:rsidRDefault="00407092" w:rsidP="00407092">
            <w:pPr>
              <w:jc w:val="both"/>
            </w:pPr>
            <w:r w:rsidRPr="00407092">
              <w:t xml:space="preserve">In response to the Black Lives Matter campaign Kent Housing Group members have agreed that we must take a key role in leading the necessary change within our communities across Kent to combat racism in </w:t>
            </w:r>
            <w:r>
              <w:t>all its forms. We wish to</w:t>
            </w:r>
            <w:r w:rsidRPr="00407092">
              <w:t xml:space="preserve"> increase our BAME representation within Kent Housing Group and that we and our members make changes that benefit our BAME staff and tenants within Kent. We want to hear from our members for ideas on how we can effectively do this. If you ha</w:t>
            </w:r>
            <w:r>
              <w:t xml:space="preserve">ve any comments, please email </w:t>
            </w:r>
            <w:hyperlink r:id="rId8" w:history="1">
              <w:r w:rsidRPr="001B6B42">
                <w:rPr>
                  <w:rStyle w:val="Hyperlink"/>
                </w:rPr>
                <w:t>rebecca.smith@ashford.gov.uk</w:t>
              </w:r>
            </w:hyperlink>
          </w:p>
          <w:p w:rsidR="00407092" w:rsidRDefault="00407092" w:rsidP="00407092">
            <w:pPr>
              <w:jc w:val="both"/>
            </w:pPr>
          </w:p>
          <w:p w:rsidR="00407092" w:rsidRDefault="00407092" w:rsidP="00407092">
            <w:pPr>
              <w:jc w:val="both"/>
            </w:pPr>
            <w:r>
              <w:t>JE asked for a volunteer to help work with a group to take this agenda item forward.  TA put herself forward in respect of getting support from colleagues within WKHA.</w:t>
            </w:r>
          </w:p>
        </w:tc>
        <w:tc>
          <w:tcPr>
            <w:tcW w:w="851" w:type="dxa"/>
            <w:shd w:val="clear" w:color="auto" w:fill="auto"/>
          </w:tcPr>
          <w:p w:rsidR="00407092" w:rsidRDefault="00407092" w:rsidP="00454E00">
            <w:pPr>
              <w:rPr>
                <w:b/>
              </w:rPr>
            </w:pPr>
          </w:p>
          <w:p w:rsidR="00407092" w:rsidRDefault="00407092"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07092" w:rsidRDefault="00476E2D" w:rsidP="00454E00">
            <w:pPr>
              <w:rPr>
                <w:b/>
              </w:rPr>
            </w:pPr>
            <w:r>
              <w:rPr>
                <w:b/>
              </w:rPr>
              <w:t>ASAP</w:t>
            </w:r>
          </w:p>
          <w:p w:rsidR="00407092" w:rsidRDefault="00407092" w:rsidP="00454E00">
            <w:pPr>
              <w:rPr>
                <w:b/>
              </w:rPr>
            </w:pPr>
          </w:p>
        </w:tc>
        <w:tc>
          <w:tcPr>
            <w:tcW w:w="708" w:type="dxa"/>
            <w:shd w:val="clear" w:color="auto" w:fill="auto"/>
          </w:tcPr>
          <w:p w:rsidR="00407092" w:rsidRDefault="00407092"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p>
          <w:p w:rsidR="00476E2D" w:rsidRDefault="00476E2D" w:rsidP="00454E00">
            <w:pPr>
              <w:rPr>
                <w:b/>
              </w:rPr>
            </w:pPr>
            <w:r>
              <w:rPr>
                <w:b/>
              </w:rPr>
              <w:t>TA/</w:t>
            </w:r>
          </w:p>
          <w:p w:rsidR="00476E2D" w:rsidRPr="007F161E" w:rsidRDefault="00476E2D" w:rsidP="00454E00">
            <w:pPr>
              <w:rPr>
                <w:b/>
              </w:rPr>
            </w:pPr>
            <w:r>
              <w:rPr>
                <w:b/>
              </w:rPr>
              <w:t>JE</w:t>
            </w:r>
          </w:p>
        </w:tc>
        <w:tc>
          <w:tcPr>
            <w:tcW w:w="3544" w:type="dxa"/>
            <w:shd w:val="clear" w:color="auto" w:fill="auto"/>
          </w:tcPr>
          <w:p w:rsidR="00407092" w:rsidRDefault="00407092" w:rsidP="00205AB1">
            <w:pPr>
              <w:jc w:val="both"/>
              <w:rPr>
                <w:b/>
                <w:color w:val="FF0000"/>
              </w:rPr>
            </w:pPr>
          </w:p>
          <w:p w:rsidR="00407092" w:rsidRDefault="00407092" w:rsidP="00205AB1">
            <w:pPr>
              <w:jc w:val="both"/>
              <w:rPr>
                <w:b/>
                <w:color w:val="FF0000"/>
              </w:rPr>
            </w:pPr>
          </w:p>
          <w:p w:rsidR="00407092" w:rsidRDefault="00407092" w:rsidP="00205AB1">
            <w:pPr>
              <w:jc w:val="both"/>
              <w:rPr>
                <w:b/>
                <w:color w:val="FF0000"/>
              </w:rPr>
            </w:pPr>
          </w:p>
          <w:p w:rsidR="00407092" w:rsidRDefault="00407092" w:rsidP="00205AB1">
            <w:pPr>
              <w:jc w:val="both"/>
              <w:rPr>
                <w:b/>
                <w:color w:val="FF0000"/>
              </w:rPr>
            </w:pPr>
          </w:p>
          <w:p w:rsidR="00407092" w:rsidRDefault="00407092" w:rsidP="00205AB1">
            <w:pPr>
              <w:jc w:val="both"/>
              <w:rPr>
                <w:b/>
                <w:color w:val="FF0000"/>
              </w:rPr>
            </w:pPr>
          </w:p>
          <w:p w:rsidR="00407092" w:rsidRDefault="00407092" w:rsidP="00205AB1">
            <w:pPr>
              <w:jc w:val="both"/>
              <w:rPr>
                <w:b/>
                <w:color w:val="FF0000"/>
              </w:rPr>
            </w:pPr>
            <w:r>
              <w:rPr>
                <w:b/>
                <w:color w:val="FF0000"/>
              </w:rPr>
              <w:t>Colleagues agreed to the revised statement.</w:t>
            </w:r>
            <w:r w:rsidR="00476E2D">
              <w:rPr>
                <w:b/>
                <w:color w:val="FF0000"/>
              </w:rPr>
              <w:t xml:space="preserve">  RS to add to the website</w:t>
            </w: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p>
          <w:p w:rsidR="00476E2D" w:rsidRDefault="00476E2D" w:rsidP="00205AB1">
            <w:pPr>
              <w:jc w:val="both"/>
              <w:rPr>
                <w:b/>
                <w:color w:val="FF0000"/>
              </w:rPr>
            </w:pPr>
            <w:r>
              <w:rPr>
                <w:b/>
                <w:color w:val="FF0000"/>
              </w:rPr>
              <w:t>TA &amp; JE to liaise about moving forward BLM work for KHG</w:t>
            </w:r>
          </w:p>
        </w:tc>
      </w:tr>
    </w:tbl>
    <w:p w:rsidR="00F418B5" w:rsidRDefault="00F418B5" w:rsidP="00E21560">
      <w:pPr>
        <w:rPr>
          <w:b/>
        </w:rPr>
      </w:pPr>
    </w:p>
    <w:sectPr w:rsidR="00F418B5" w:rsidSect="0016325A">
      <w:headerReference w:type="default" r:id="rId9"/>
      <w:footerReference w:type="default" r:id="rId1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021" w:rsidRDefault="00B25021" w:rsidP="001D0582">
      <w:pPr>
        <w:spacing w:after="0" w:line="240" w:lineRule="auto"/>
      </w:pPr>
      <w:r>
        <w:separator/>
      </w:r>
    </w:p>
  </w:endnote>
  <w:endnote w:type="continuationSeparator" w:id="0">
    <w:p w:rsidR="00B25021" w:rsidRDefault="00B2502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AA754C" w:rsidRDefault="00AA754C">
        <w:pPr>
          <w:pStyle w:val="Footer"/>
          <w:jc w:val="center"/>
        </w:pPr>
        <w:r>
          <w:fldChar w:fldCharType="begin"/>
        </w:r>
        <w:r>
          <w:instrText xml:space="preserve"> PAGE   \* MERGEFORMAT </w:instrText>
        </w:r>
        <w:r>
          <w:fldChar w:fldCharType="separate"/>
        </w:r>
        <w:r w:rsidR="00526D65">
          <w:rPr>
            <w:noProof/>
          </w:rPr>
          <w:t>2</w:t>
        </w:r>
        <w:r>
          <w:rPr>
            <w:noProof/>
          </w:rPr>
          <w:fldChar w:fldCharType="end"/>
        </w:r>
      </w:p>
    </w:sdtContent>
  </w:sdt>
  <w:p w:rsidR="00AA754C" w:rsidRDefault="00AA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021" w:rsidRDefault="00B25021" w:rsidP="001D0582">
      <w:pPr>
        <w:spacing w:after="0" w:line="240" w:lineRule="auto"/>
      </w:pPr>
      <w:r>
        <w:separator/>
      </w:r>
    </w:p>
  </w:footnote>
  <w:footnote w:type="continuationSeparator" w:id="0">
    <w:p w:rsidR="00B25021" w:rsidRDefault="00B25021"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4C" w:rsidRPr="00264669" w:rsidRDefault="00B25021">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A754C">
      <w:rPr>
        <w:b/>
      </w:rPr>
      <w:t xml:space="preserve">KHG EXB Meeting Notes </w:t>
    </w:r>
    <w:r w:rsidR="00D87E91">
      <w:rPr>
        <w:b/>
      </w:rPr>
      <w:t>30</w:t>
    </w:r>
    <w:r w:rsidR="00D87E91" w:rsidRPr="00D87E91">
      <w:rPr>
        <w:b/>
        <w:vertAlign w:val="superscript"/>
      </w:rPr>
      <w:t>th</w:t>
    </w:r>
    <w:r w:rsidR="00D87E91">
      <w:rPr>
        <w:b/>
      </w:rPr>
      <w:t xml:space="preserve"> September</w:t>
    </w:r>
    <w:r w:rsidR="00AA754C">
      <w:rPr>
        <w:b/>
      </w:rPr>
      <w:t xml:space="preserve"> 2020,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12955"/>
    <w:rsid w:val="00020283"/>
    <w:rsid w:val="00020716"/>
    <w:rsid w:val="00021BCC"/>
    <w:rsid w:val="000279B1"/>
    <w:rsid w:val="00031DE3"/>
    <w:rsid w:val="00031DE6"/>
    <w:rsid w:val="00031EC0"/>
    <w:rsid w:val="00037E13"/>
    <w:rsid w:val="00040551"/>
    <w:rsid w:val="00051D05"/>
    <w:rsid w:val="00052289"/>
    <w:rsid w:val="000564F4"/>
    <w:rsid w:val="00061235"/>
    <w:rsid w:val="000624FA"/>
    <w:rsid w:val="00062F79"/>
    <w:rsid w:val="00064A20"/>
    <w:rsid w:val="00075D2B"/>
    <w:rsid w:val="000778DD"/>
    <w:rsid w:val="00080CC5"/>
    <w:rsid w:val="0008129C"/>
    <w:rsid w:val="00081C12"/>
    <w:rsid w:val="00085473"/>
    <w:rsid w:val="000871E7"/>
    <w:rsid w:val="00087D03"/>
    <w:rsid w:val="0009046E"/>
    <w:rsid w:val="00091CE3"/>
    <w:rsid w:val="00093115"/>
    <w:rsid w:val="00094D7E"/>
    <w:rsid w:val="0009691C"/>
    <w:rsid w:val="000A08C6"/>
    <w:rsid w:val="000A7E2C"/>
    <w:rsid w:val="000B4C89"/>
    <w:rsid w:val="000B54B8"/>
    <w:rsid w:val="000B5B47"/>
    <w:rsid w:val="000C31B1"/>
    <w:rsid w:val="000C5D16"/>
    <w:rsid w:val="000C680D"/>
    <w:rsid w:val="000D1026"/>
    <w:rsid w:val="000D2F8E"/>
    <w:rsid w:val="000D3173"/>
    <w:rsid w:val="000E1ABA"/>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76801"/>
    <w:rsid w:val="0018042B"/>
    <w:rsid w:val="00181F41"/>
    <w:rsid w:val="00182B57"/>
    <w:rsid w:val="00182CF3"/>
    <w:rsid w:val="00185168"/>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5A29"/>
    <w:rsid w:val="001D78C0"/>
    <w:rsid w:val="001E1A44"/>
    <w:rsid w:val="001E4B9E"/>
    <w:rsid w:val="001E7873"/>
    <w:rsid w:val="001F00E7"/>
    <w:rsid w:val="001F15A2"/>
    <w:rsid w:val="001F399C"/>
    <w:rsid w:val="001F406A"/>
    <w:rsid w:val="001F687A"/>
    <w:rsid w:val="00200B68"/>
    <w:rsid w:val="002036A2"/>
    <w:rsid w:val="00205AB1"/>
    <w:rsid w:val="002147E0"/>
    <w:rsid w:val="0022435F"/>
    <w:rsid w:val="00231434"/>
    <w:rsid w:val="00235BE7"/>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4E2D"/>
    <w:rsid w:val="002F3E48"/>
    <w:rsid w:val="002F5226"/>
    <w:rsid w:val="00311C62"/>
    <w:rsid w:val="00313019"/>
    <w:rsid w:val="003144E8"/>
    <w:rsid w:val="00315121"/>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51B3"/>
    <w:rsid w:val="003767FE"/>
    <w:rsid w:val="003805C2"/>
    <w:rsid w:val="00387E78"/>
    <w:rsid w:val="003900EE"/>
    <w:rsid w:val="00390F0A"/>
    <w:rsid w:val="00391561"/>
    <w:rsid w:val="003935E9"/>
    <w:rsid w:val="00393BA4"/>
    <w:rsid w:val="0039592E"/>
    <w:rsid w:val="00395DB1"/>
    <w:rsid w:val="003A12E5"/>
    <w:rsid w:val="003A72C3"/>
    <w:rsid w:val="003B0473"/>
    <w:rsid w:val="003C2892"/>
    <w:rsid w:val="003C3BFF"/>
    <w:rsid w:val="003C4E1E"/>
    <w:rsid w:val="003C5FDA"/>
    <w:rsid w:val="003D7D3A"/>
    <w:rsid w:val="003E3984"/>
    <w:rsid w:val="003F5CB0"/>
    <w:rsid w:val="004000CA"/>
    <w:rsid w:val="00401453"/>
    <w:rsid w:val="00407092"/>
    <w:rsid w:val="004140BD"/>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2674"/>
    <w:rsid w:val="004B6795"/>
    <w:rsid w:val="004B7489"/>
    <w:rsid w:val="004C0DFB"/>
    <w:rsid w:val="004C404D"/>
    <w:rsid w:val="004C57A0"/>
    <w:rsid w:val="004C5AF0"/>
    <w:rsid w:val="004C7313"/>
    <w:rsid w:val="004D0171"/>
    <w:rsid w:val="004D1D2D"/>
    <w:rsid w:val="004D577A"/>
    <w:rsid w:val="004D7203"/>
    <w:rsid w:val="004F12C7"/>
    <w:rsid w:val="004F3279"/>
    <w:rsid w:val="00511E5E"/>
    <w:rsid w:val="00514165"/>
    <w:rsid w:val="005217C1"/>
    <w:rsid w:val="00521852"/>
    <w:rsid w:val="0052288E"/>
    <w:rsid w:val="005233B2"/>
    <w:rsid w:val="00526D65"/>
    <w:rsid w:val="00527061"/>
    <w:rsid w:val="0053334D"/>
    <w:rsid w:val="00535839"/>
    <w:rsid w:val="00535D4D"/>
    <w:rsid w:val="00540DC7"/>
    <w:rsid w:val="005427B0"/>
    <w:rsid w:val="00542E92"/>
    <w:rsid w:val="00543109"/>
    <w:rsid w:val="00543D2C"/>
    <w:rsid w:val="005462D1"/>
    <w:rsid w:val="00552F8D"/>
    <w:rsid w:val="00565E65"/>
    <w:rsid w:val="00570CCD"/>
    <w:rsid w:val="00572CEB"/>
    <w:rsid w:val="005755F2"/>
    <w:rsid w:val="00576705"/>
    <w:rsid w:val="00576D19"/>
    <w:rsid w:val="00582AE3"/>
    <w:rsid w:val="00582EA5"/>
    <w:rsid w:val="0058619F"/>
    <w:rsid w:val="005866D1"/>
    <w:rsid w:val="005917CC"/>
    <w:rsid w:val="00592AC2"/>
    <w:rsid w:val="00596291"/>
    <w:rsid w:val="00596AC7"/>
    <w:rsid w:val="005A05D2"/>
    <w:rsid w:val="005A31FF"/>
    <w:rsid w:val="005A7FF7"/>
    <w:rsid w:val="005B0792"/>
    <w:rsid w:val="005B0F8F"/>
    <w:rsid w:val="005B28F8"/>
    <w:rsid w:val="005B495B"/>
    <w:rsid w:val="005B4CDB"/>
    <w:rsid w:val="005B7F31"/>
    <w:rsid w:val="005C2B08"/>
    <w:rsid w:val="005C799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3F16"/>
    <w:rsid w:val="006A6BF9"/>
    <w:rsid w:val="006B672B"/>
    <w:rsid w:val="006C2E89"/>
    <w:rsid w:val="006C2EBB"/>
    <w:rsid w:val="006C34AE"/>
    <w:rsid w:val="006C456B"/>
    <w:rsid w:val="006C5C2B"/>
    <w:rsid w:val="006C635E"/>
    <w:rsid w:val="006D52CE"/>
    <w:rsid w:val="006D5504"/>
    <w:rsid w:val="006D6D36"/>
    <w:rsid w:val="006E189C"/>
    <w:rsid w:val="006E2643"/>
    <w:rsid w:val="006E7F9D"/>
    <w:rsid w:val="006F190F"/>
    <w:rsid w:val="006F33CE"/>
    <w:rsid w:val="006F41D3"/>
    <w:rsid w:val="006F7B7C"/>
    <w:rsid w:val="007029C8"/>
    <w:rsid w:val="00707E57"/>
    <w:rsid w:val="00710536"/>
    <w:rsid w:val="0071159B"/>
    <w:rsid w:val="00714B07"/>
    <w:rsid w:val="007156DF"/>
    <w:rsid w:val="00717518"/>
    <w:rsid w:val="0071764F"/>
    <w:rsid w:val="00717AEF"/>
    <w:rsid w:val="007330A4"/>
    <w:rsid w:val="00734603"/>
    <w:rsid w:val="00734D65"/>
    <w:rsid w:val="00735129"/>
    <w:rsid w:val="00736BBC"/>
    <w:rsid w:val="00736D0D"/>
    <w:rsid w:val="00737FBB"/>
    <w:rsid w:val="00741E23"/>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2A71"/>
    <w:rsid w:val="007C47C8"/>
    <w:rsid w:val="007C6822"/>
    <w:rsid w:val="007D12F2"/>
    <w:rsid w:val="007D3984"/>
    <w:rsid w:val="007D68B3"/>
    <w:rsid w:val="007E10D1"/>
    <w:rsid w:val="007F0D66"/>
    <w:rsid w:val="007F161E"/>
    <w:rsid w:val="007F6D5D"/>
    <w:rsid w:val="00800E06"/>
    <w:rsid w:val="0080322B"/>
    <w:rsid w:val="008032AC"/>
    <w:rsid w:val="00803549"/>
    <w:rsid w:val="008146CD"/>
    <w:rsid w:val="00817160"/>
    <w:rsid w:val="00817F12"/>
    <w:rsid w:val="00821D19"/>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6D1B"/>
    <w:rsid w:val="00887A39"/>
    <w:rsid w:val="00887E4E"/>
    <w:rsid w:val="0089332E"/>
    <w:rsid w:val="0089337E"/>
    <w:rsid w:val="00895424"/>
    <w:rsid w:val="008A472D"/>
    <w:rsid w:val="008A4FAD"/>
    <w:rsid w:val="008B2794"/>
    <w:rsid w:val="008B2BAE"/>
    <w:rsid w:val="008B438C"/>
    <w:rsid w:val="008B7426"/>
    <w:rsid w:val="008C0BF7"/>
    <w:rsid w:val="008C704F"/>
    <w:rsid w:val="008D2124"/>
    <w:rsid w:val="008D33AE"/>
    <w:rsid w:val="008D4BE9"/>
    <w:rsid w:val="008D59A1"/>
    <w:rsid w:val="008D7427"/>
    <w:rsid w:val="008D7AE8"/>
    <w:rsid w:val="008E711F"/>
    <w:rsid w:val="008E7E63"/>
    <w:rsid w:val="008F1C98"/>
    <w:rsid w:val="008F2A5E"/>
    <w:rsid w:val="008F4007"/>
    <w:rsid w:val="008F58E7"/>
    <w:rsid w:val="008F621A"/>
    <w:rsid w:val="008F7807"/>
    <w:rsid w:val="008F7F4C"/>
    <w:rsid w:val="009010A3"/>
    <w:rsid w:val="00905C95"/>
    <w:rsid w:val="00911690"/>
    <w:rsid w:val="00915066"/>
    <w:rsid w:val="009179A4"/>
    <w:rsid w:val="00921F5E"/>
    <w:rsid w:val="009231EE"/>
    <w:rsid w:val="0092624C"/>
    <w:rsid w:val="00935404"/>
    <w:rsid w:val="009371B1"/>
    <w:rsid w:val="009420AC"/>
    <w:rsid w:val="009433A2"/>
    <w:rsid w:val="0094414E"/>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B03DB"/>
    <w:rsid w:val="009B60B4"/>
    <w:rsid w:val="009C2F99"/>
    <w:rsid w:val="009C4262"/>
    <w:rsid w:val="009C548C"/>
    <w:rsid w:val="009C5ABD"/>
    <w:rsid w:val="009D05E3"/>
    <w:rsid w:val="009D22D0"/>
    <w:rsid w:val="009D3F0E"/>
    <w:rsid w:val="009D494E"/>
    <w:rsid w:val="009D4A4C"/>
    <w:rsid w:val="009D4DD9"/>
    <w:rsid w:val="009D65BB"/>
    <w:rsid w:val="009D7CF1"/>
    <w:rsid w:val="009E1DCB"/>
    <w:rsid w:val="009E49FB"/>
    <w:rsid w:val="009E732B"/>
    <w:rsid w:val="009F047F"/>
    <w:rsid w:val="009F248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87C6C"/>
    <w:rsid w:val="00A91826"/>
    <w:rsid w:val="00A91E04"/>
    <w:rsid w:val="00A9440C"/>
    <w:rsid w:val="00A94617"/>
    <w:rsid w:val="00A96EDB"/>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31B4"/>
    <w:rsid w:val="00B94C69"/>
    <w:rsid w:val="00BA3231"/>
    <w:rsid w:val="00BA3D16"/>
    <w:rsid w:val="00BA46D6"/>
    <w:rsid w:val="00BA7C08"/>
    <w:rsid w:val="00BB0F15"/>
    <w:rsid w:val="00BB1648"/>
    <w:rsid w:val="00BB3C27"/>
    <w:rsid w:val="00BB652C"/>
    <w:rsid w:val="00BC4E81"/>
    <w:rsid w:val="00BC7803"/>
    <w:rsid w:val="00BD14A6"/>
    <w:rsid w:val="00BD3127"/>
    <w:rsid w:val="00BD315C"/>
    <w:rsid w:val="00BE1A47"/>
    <w:rsid w:val="00BE1A78"/>
    <w:rsid w:val="00BE5D7D"/>
    <w:rsid w:val="00BE750C"/>
    <w:rsid w:val="00BF07DA"/>
    <w:rsid w:val="00BF31E9"/>
    <w:rsid w:val="00BF546C"/>
    <w:rsid w:val="00C01161"/>
    <w:rsid w:val="00C02218"/>
    <w:rsid w:val="00C039B7"/>
    <w:rsid w:val="00C166F9"/>
    <w:rsid w:val="00C22AE3"/>
    <w:rsid w:val="00C26706"/>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A7F"/>
    <w:rsid w:val="00CC0CB0"/>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620D"/>
    <w:rsid w:val="00CF7190"/>
    <w:rsid w:val="00D03209"/>
    <w:rsid w:val="00D03CE7"/>
    <w:rsid w:val="00D06ACE"/>
    <w:rsid w:val="00D103B4"/>
    <w:rsid w:val="00D110D6"/>
    <w:rsid w:val="00D17D37"/>
    <w:rsid w:val="00D22FFF"/>
    <w:rsid w:val="00D26C95"/>
    <w:rsid w:val="00D31709"/>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2FAC"/>
    <w:rsid w:val="00DF5A67"/>
    <w:rsid w:val="00E02FF5"/>
    <w:rsid w:val="00E128D7"/>
    <w:rsid w:val="00E132A6"/>
    <w:rsid w:val="00E143E8"/>
    <w:rsid w:val="00E21560"/>
    <w:rsid w:val="00E238E9"/>
    <w:rsid w:val="00E25DAC"/>
    <w:rsid w:val="00E26344"/>
    <w:rsid w:val="00E30D1D"/>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39CE"/>
    <w:rsid w:val="00E86720"/>
    <w:rsid w:val="00E9367E"/>
    <w:rsid w:val="00E93FA9"/>
    <w:rsid w:val="00E97F02"/>
    <w:rsid w:val="00EA1956"/>
    <w:rsid w:val="00EA349D"/>
    <w:rsid w:val="00EA6CDC"/>
    <w:rsid w:val="00EB1CF0"/>
    <w:rsid w:val="00EB5229"/>
    <w:rsid w:val="00EB594A"/>
    <w:rsid w:val="00EC1DA4"/>
    <w:rsid w:val="00ED12D0"/>
    <w:rsid w:val="00ED2FEC"/>
    <w:rsid w:val="00ED37D8"/>
    <w:rsid w:val="00ED5C0C"/>
    <w:rsid w:val="00ED5DE0"/>
    <w:rsid w:val="00EE4DF0"/>
    <w:rsid w:val="00EF1965"/>
    <w:rsid w:val="00F03221"/>
    <w:rsid w:val="00F04F04"/>
    <w:rsid w:val="00F106D2"/>
    <w:rsid w:val="00F10803"/>
    <w:rsid w:val="00F10EF9"/>
    <w:rsid w:val="00F13A74"/>
    <w:rsid w:val="00F212FB"/>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254F"/>
    <w:rsid w:val="00F64E91"/>
    <w:rsid w:val="00F706E2"/>
    <w:rsid w:val="00F7118B"/>
    <w:rsid w:val="00F72A3A"/>
    <w:rsid w:val="00F76478"/>
    <w:rsid w:val="00F87203"/>
    <w:rsid w:val="00F87CBC"/>
    <w:rsid w:val="00F923D8"/>
    <w:rsid w:val="00F924FD"/>
    <w:rsid w:val="00F96F70"/>
    <w:rsid w:val="00FA2BF4"/>
    <w:rsid w:val="00FA3F4C"/>
    <w:rsid w:val="00FA5FAC"/>
    <w:rsid w:val="00FB113B"/>
    <w:rsid w:val="00FB3AB9"/>
    <w:rsid w:val="00FB5370"/>
    <w:rsid w:val="00FC4C7B"/>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110302"/>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smith@ash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1FEE9-3F58-4D6D-ADEA-6451AA9C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2</cp:revision>
  <cp:lastPrinted>2020-01-29T14:29:00Z</cp:lastPrinted>
  <dcterms:created xsi:type="dcterms:W3CDTF">2020-10-02T11:53:00Z</dcterms:created>
  <dcterms:modified xsi:type="dcterms:W3CDTF">2020-10-02T11:53:00Z</dcterms:modified>
</cp:coreProperties>
</file>