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5F" w:rsidRDefault="00DF015F" w:rsidP="00DC2DDD">
      <w:pPr>
        <w:jc w:val="center"/>
        <w:rPr>
          <w:b/>
          <w:u w:val="single"/>
        </w:rPr>
      </w:pPr>
      <w:bookmarkStart w:id="0" w:name="_GoBack"/>
      <w:bookmarkEnd w:id="0"/>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p>
    <w:p w:rsidR="00DC2DDD" w:rsidRPr="00DF015F" w:rsidRDefault="000229FA" w:rsidP="00DC2DDD">
      <w:pPr>
        <w:jc w:val="center"/>
        <w:rPr>
          <w:b/>
          <w:u w:val="single"/>
        </w:rPr>
      </w:pPr>
      <w:r>
        <w:rPr>
          <w:b/>
          <w:u w:val="single"/>
        </w:rPr>
        <w:t>4</w:t>
      </w:r>
      <w:r w:rsidRPr="000229FA">
        <w:rPr>
          <w:b/>
          <w:u w:val="single"/>
          <w:vertAlign w:val="superscript"/>
        </w:rPr>
        <w:t>th</w:t>
      </w:r>
      <w:r>
        <w:rPr>
          <w:b/>
          <w:u w:val="single"/>
        </w:rPr>
        <w:t xml:space="preserve"> April 2019 </w:t>
      </w:r>
      <w:r w:rsidR="00DC2DDD" w:rsidRPr="00DF015F">
        <w:rPr>
          <w:b/>
          <w:u w:val="single"/>
        </w:rPr>
        <w:t xml:space="preserve">Held at </w:t>
      </w:r>
      <w:r w:rsidR="00DF015F" w:rsidRPr="00DF015F">
        <w:rPr>
          <w:b/>
          <w:u w:val="single"/>
        </w:rPr>
        <w:t>Maidstone BC Office, Maidstone House, Maidstone</w:t>
      </w:r>
    </w:p>
    <w:p w:rsidR="000229FA" w:rsidRDefault="00DF015F" w:rsidP="00DF015F">
      <w:r w:rsidRPr="00DF015F">
        <w:rPr>
          <w:b/>
        </w:rPr>
        <w:t>Present:</w:t>
      </w:r>
      <w:r w:rsidR="00552DBC">
        <w:rPr>
          <w:b/>
        </w:rPr>
        <w:t xml:space="preserve"> </w:t>
      </w:r>
      <w:r w:rsidR="00842D44" w:rsidRPr="007B1A6D">
        <w:t xml:space="preserve">Marie Gerald, </w:t>
      </w:r>
      <w:r w:rsidR="00E10026">
        <w:t>Chair, Dartford BC; Stuar</w:t>
      </w:r>
      <w:r w:rsidR="0031242F">
        <w:t xml:space="preserve">t Clifton, Vice Chair, Maidstone BC; </w:t>
      </w:r>
      <w:r w:rsidR="00E140D0">
        <w:t xml:space="preserve"> Ray Easdown, Medway Council; Claire Keeling, TMBC</w:t>
      </w:r>
      <w:r w:rsidR="006B5F27">
        <w:t xml:space="preserve">; Rav Kensrey, Gravesham BC; Sylvia Roberts, Ashford BC; Pam Millington &amp; Elly Toye, Dover DC; Mark Damiral, F&amp;HDC; Sophie Valentine, TWBC; </w:t>
      </w:r>
      <w:r w:rsidR="009A7BF2">
        <w:t xml:space="preserve">Richard Williams, MHCLG; </w:t>
      </w:r>
      <w:r w:rsidR="00EE6819">
        <w:t>Charles Sheene, Sevenoaks DC; Nina Colley, Sevenoaks DC; Bobbie-Jo Adams, Dartford BC; Rebecca Smith, KHG</w:t>
      </w:r>
    </w:p>
    <w:p w:rsidR="00DD7F1C" w:rsidRDefault="00DF015F" w:rsidP="00DF015F">
      <w:r>
        <w:rPr>
          <w:b/>
        </w:rPr>
        <w:t>Apologies:</w:t>
      </w:r>
      <w:r w:rsidR="00DB1DA3">
        <w:rPr>
          <w:b/>
        </w:rPr>
        <w:t xml:space="preserve"> </w:t>
      </w:r>
      <w:r w:rsidR="00181F41">
        <w:rPr>
          <w:b/>
        </w:rPr>
        <w:t xml:space="preserve"> </w:t>
      </w:r>
      <w:r w:rsidR="00E10026">
        <w:t xml:space="preserve">Jane Lang TWBC; </w:t>
      </w:r>
      <w:r w:rsidR="000229FA">
        <w:t>Josh Mitchell, NPS; Vicky Hodson, Kent Homechoice</w:t>
      </w:r>
      <w:r w:rsidR="0031242F">
        <w:t xml:space="preserve">; Deborah White, West Kent HA; Lora McCourt, Canterbury CC; Victoria May, Thanet DC; </w:t>
      </w:r>
    </w:p>
    <w:p w:rsidR="00D03CE7" w:rsidRPr="00D03CE7" w:rsidRDefault="00D03CE7" w:rsidP="00DF015F">
      <w:r>
        <w:rPr>
          <w:b/>
        </w:rPr>
        <w:t xml:space="preserve">Guests: </w:t>
      </w:r>
      <w:r>
        <w:t xml:space="preserve"> </w:t>
      </w:r>
      <w:r w:rsidR="0031242F">
        <w:t>Natalie Hinchliffe, Enabling Homes</w:t>
      </w:r>
    </w:p>
    <w:tbl>
      <w:tblPr>
        <w:tblStyle w:val="TableGrid"/>
        <w:tblW w:w="15480" w:type="dxa"/>
        <w:tblInd w:w="-743" w:type="dxa"/>
        <w:tblLayout w:type="fixed"/>
        <w:tblLook w:val="04A0" w:firstRow="1" w:lastRow="0" w:firstColumn="1" w:lastColumn="0" w:noHBand="0" w:noVBand="1"/>
      </w:tblPr>
      <w:tblGrid>
        <w:gridCol w:w="1872"/>
        <w:gridCol w:w="8647"/>
        <w:gridCol w:w="878"/>
        <w:gridCol w:w="864"/>
        <w:gridCol w:w="3219"/>
      </w:tblGrid>
      <w:tr w:rsidR="00432F07" w:rsidRPr="00745BAC" w:rsidTr="000229FA">
        <w:tc>
          <w:tcPr>
            <w:tcW w:w="1872" w:type="dxa"/>
            <w:shd w:val="clear" w:color="auto" w:fill="DBE5F1" w:themeFill="accent1" w:themeFillTint="33"/>
          </w:tcPr>
          <w:p w:rsidR="00432F07" w:rsidRPr="00745BAC" w:rsidRDefault="00432F07" w:rsidP="002B184E">
            <w:pPr>
              <w:jc w:val="center"/>
              <w:rPr>
                <w:b/>
              </w:rPr>
            </w:pPr>
            <w:r w:rsidRPr="00745BAC">
              <w:rPr>
                <w:b/>
              </w:rPr>
              <w:t>Reference</w:t>
            </w:r>
          </w:p>
        </w:tc>
        <w:tc>
          <w:tcPr>
            <w:tcW w:w="8647"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78" w:type="dxa"/>
            <w:shd w:val="clear" w:color="auto" w:fill="DBE5F1" w:themeFill="accent1" w:themeFillTint="33"/>
          </w:tcPr>
          <w:p w:rsidR="00432F07" w:rsidRPr="00FF3609" w:rsidRDefault="000229FA" w:rsidP="002B184E">
            <w:pPr>
              <w:jc w:val="center"/>
              <w:rPr>
                <w:b/>
              </w:rPr>
            </w:pPr>
            <w:r w:rsidRPr="00FF3609">
              <w:rPr>
                <w:b/>
              </w:rPr>
              <w:t>When</w:t>
            </w:r>
          </w:p>
        </w:tc>
        <w:tc>
          <w:tcPr>
            <w:tcW w:w="864" w:type="dxa"/>
            <w:shd w:val="clear" w:color="auto" w:fill="DBE5F1" w:themeFill="accent1" w:themeFillTint="33"/>
          </w:tcPr>
          <w:p w:rsidR="00432F07" w:rsidRPr="00745BAC" w:rsidRDefault="000229FA" w:rsidP="002B184E">
            <w:pPr>
              <w:jc w:val="center"/>
              <w:rPr>
                <w:b/>
              </w:rPr>
            </w:pPr>
            <w:r>
              <w:rPr>
                <w:b/>
              </w:rPr>
              <w:t xml:space="preserve">Lead </w:t>
            </w:r>
          </w:p>
        </w:tc>
        <w:tc>
          <w:tcPr>
            <w:tcW w:w="3219" w:type="dxa"/>
            <w:shd w:val="clear" w:color="auto" w:fill="DBE5F1" w:themeFill="accent1" w:themeFillTint="33"/>
          </w:tcPr>
          <w:p w:rsidR="00432F07" w:rsidRPr="00FF3609" w:rsidRDefault="00164913" w:rsidP="002B184E">
            <w:pPr>
              <w:jc w:val="center"/>
              <w:rPr>
                <w:b/>
              </w:rPr>
            </w:pPr>
            <w:r w:rsidRPr="00FF3609">
              <w:rPr>
                <w:b/>
              </w:rPr>
              <w:t>Action/Decision</w:t>
            </w:r>
          </w:p>
        </w:tc>
      </w:tr>
      <w:tr w:rsidR="00527061" w:rsidRPr="00745BAC" w:rsidTr="000229FA">
        <w:tc>
          <w:tcPr>
            <w:tcW w:w="1872" w:type="dxa"/>
          </w:tcPr>
          <w:p w:rsidR="000229FA" w:rsidRPr="00DD4308" w:rsidRDefault="000229FA" w:rsidP="000229FA">
            <w:pPr>
              <w:rPr>
                <w:b/>
              </w:rPr>
            </w:pPr>
            <w:r>
              <w:rPr>
                <w:b/>
              </w:rPr>
              <w:t>Minutes/Matters Arising Feb 2019</w:t>
            </w:r>
          </w:p>
          <w:p w:rsidR="00527061" w:rsidRPr="00DD4308" w:rsidRDefault="00527061" w:rsidP="00F91C30">
            <w:pPr>
              <w:rPr>
                <w:b/>
              </w:rPr>
            </w:pPr>
          </w:p>
        </w:tc>
        <w:tc>
          <w:tcPr>
            <w:tcW w:w="8647" w:type="dxa"/>
            <w:shd w:val="clear" w:color="auto" w:fill="auto"/>
          </w:tcPr>
          <w:p w:rsidR="009A3FDB" w:rsidRDefault="00B04434" w:rsidP="009D1A6B">
            <w:pPr>
              <w:jc w:val="both"/>
            </w:pPr>
            <w:r>
              <w:t>Minute agreed as accurate, matters arising included:</w:t>
            </w:r>
          </w:p>
          <w:p w:rsidR="00B04434" w:rsidRDefault="00B04434" w:rsidP="009D1A6B">
            <w:pPr>
              <w:jc w:val="both"/>
            </w:pPr>
          </w:p>
          <w:p w:rsidR="00B04434" w:rsidRDefault="0031242F" w:rsidP="009D1A6B">
            <w:pPr>
              <w:jc w:val="both"/>
            </w:pPr>
            <w:r>
              <w:t>P</w:t>
            </w:r>
            <w:r w:rsidR="00B04434">
              <w:t>age</w:t>
            </w:r>
            <w:r>
              <w:t xml:space="preserve"> 1 – Colleagues to check Help for Council details.</w:t>
            </w:r>
          </w:p>
          <w:p w:rsidR="0031242F" w:rsidRDefault="0031242F" w:rsidP="009D1A6B">
            <w:pPr>
              <w:jc w:val="both"/>
            </w:pPr>
          </w:p>
          <w:p w:rsidR="0031242F" w:rsidRDefault="0031242F" w:rsidP="009D1A6B">
            <w:pPr>
              <w:jc w:val="both"/>
            </w:pPr>
            <w:r>
              <w:t>Page 2 – Entitled To – some districts are considering or reviewing the tool.  MG advised that Dartford BC using and find a useful tool.</w:t>
            </w:r>
          </w:p>
          <w:p w:rsidR="0031242F" w:rsidRDefault="0031242F" w:rsidP="009D1A6B">
            <w:pPr>
              <w:jc w:val="both"/>
            </w:pPr>
          </w:p>
          <w:p w:rsidR="0031242F" w:rsidRDefault="0031242F" w:rsidP="009D1A6B">
            <w:pPr>
              <w:jc w:val="both"/>
            </w:pPr>
            <w:r>
              <w:t>Page 4 – IH data – RS to send a reminder to all colleagues.</w:t>
            </w:r>
          </w:p>
          <w:p w:rsidR="0031242F" w:rsidRDefault="0031242F" w:rsidP="009D1A6B">
            <w:pPr>
              <w:jc w:val="both"/>
            </w:pPr>
          </w:p>
          <w:p w:rsidR="0031242F" w:rsidRDefault="0031242F" w:rsidP="009D1A6B">
            <w:pPr>
              <w:jc w:val="both"/>
            </w:pPr>
            <w:r>
              <w:t>Page 7 – MG has not completed briefing paper, to take forward.   TA stats shared with colleagues as part of the meeting papers.  There was a discussion about use and cost of travel warrants.</w:t>
            </w:r>
          </w:p>
          <w:p w:rsidR="0031242F" w:rsidRPr="00FD7045" w:rsidRDefault="0031242F" w:rsidP="009D1A6B">
            <w:pPr>
              <w:jc w:val="both"/>
            </w:pPr>
          </w:p>
        </w:tc>
        <w:tc>
          <w:tcPr>
            <w:tcW w:w="878" w:type="dxa"/>
            <w:shd w:val="clear" w:color="auto" w:fill="auto"/>
          </w:tcPr>
          <w:p w:rsidR="00BD14A6" w:rsidRPr="00FF3609" w:rsidRDefault="00BD14A6" w:rsidP="008669A9">
            <w:pPr>
              <w:rPr>
                <w:b/>
              </w:rPr>
            </w:pPr>
          </w:p>
          <w:p w:rsidR="0031242F" w:rsidRPr="00FF3609" w:rsidRDefault="0031242F" w:rsidP="008669A9">
            <w:pPr>
              <w:rPr>
                <w:b/>
              </w:rPr>
            </w:pPr>
          </w:p>
          <w:p w:rsidR="0031242F" w:rsidRPr="00FF3609" w:rsidRDefault="0031242F" w:rsidP="008669A9">
            <w:pPr>
              <w:rPr>
                <w:b/>
              </w:rPr>
            </w:pPr>
            <w:r w:rsidRPr="00FF3609">
              <w:rPr>
                <w:b/>
              </w:rPr>
              <w:t>ASAP</w:t>
            </w:r>
          </w:p>
          <w:p w:rsidR="00E140D0" w:rsidRPr="00FF3609" w:rsidRDefault="00E140D0" w:rsidP="008669A9">
            <w:pPr>
              <w:rPr>
                <w:b/>
              </w:rPr>
            </w:pPr>
          </w:p>
          <w:p w:rsidR="00E140D0" w:rsidRPr="00FF3609" w:rsidRDefault="00E140D0" w:rsidP="008669A9">
            <w:pPr>
              <w:rPr>
                <w:b/>
              </w:rPr>
            </w:pPr>
          </w:p>
          <w:p w:rsidR="00E140D0" w:rsidRPr="00FF3609" w:rsidRDefault="00E140D0" w:rsidP="008669A9">
            <w:pPr>
              <w:rPr>
                <w:b/>
              </w:rPr>
            </w:pPr>
          </w:p>
          <w:p w:rsidR="00E140D0" w:rsidRPr="00FF3609" w:rsidRDefault="00E140D0" w:rsidP="008669A9">
            <w:pPr>
              <w:rPr>
                <w:b/>
              </w:rPr>
            </w:pPr>
          </w:p>
          <w:p w:rsidR="00E140D0" w:rsidRPr="00FF3609" w:rsidRDefault="00E140D0" w:rsidP="008669A9">
            <w:pPr>
              <w:rPr>
                <w:b/>
              </w:rPr>
            </w:pPr>
          </w:p>
          <w:p w:rsidR="00E140D0" w:rsidRPr="00FF3609" w:rsidRDefault="00E140D0" w:rsidP="008669A9">
            <w:pPr>
              <w:rPr>
                <w:b/>
              </w:rPr>
            </w:pPr>
          </w:p>
          <w:p w:rsidR="0031242F" w:rsidRPr="00FF3609" w:rsidRDefault="00E140D0" w:rsidP="008669A9">
            <w:pPr>
              <w:rPr>
                <w:b/>
              </w:rPr>
            </w:pPr>
            <w:r w:rsidRPr="00FF3609">
              <w:rPr>
                <w:b/>
              </w:rPr>
              <w:t>When avail</w:t>
            </w:r>
          </w:p>
          <w:p w:rsidR="0031242F" w:rsidRPr="00FF3609" w:rsidRDefault="0031242F" w:rsidP="008669A9">
            <w:pPr>
              <w:rPr>
                <w:b/>
              </w:rPr>
            </w:pPr>
          </w:p>
          <w:p w:rsidR="0031242F" w:rsidRPr="00FF3609" w:rsidRDefault="0031242F" w:rsidP="008669A9">
            <w:pPr>
              <w:rPr>
                <w:b/>
              </w:rPr>
            </w:pPr>
          </w:p>
        </w:tc>
        <w:tc>
          <w:tcPr>
            <w:tcW w:w="864" w:type="dxa"/>
            <w:shd w:val="clear" w:color="auto" w:fill="auto"/>
          </w:tcPr>
          <w:p w:rsidR="00BD14A6" w:rsidRDefault="00BD14A6" w:rsidP="008669A9">
            <w:pPr>
              <w:jc w:val="both"/>
              <w:rPr>
                <w:b/>
              </w:rPr>
            </w:pPr>
          </w:p>
          <w:p w:rsidR="003502C4" w:rsidRDefault="003502C4" w:rsidP="008669A9">
            <w:pPr>
              <w:jc w:val="both"/>
              <w:rPr>
                <w:b/>
              </w:rPr>
            </w:pPr>
          </w:p>
          <w:p w:rsidR="0031242F" w:rsidRDefault="0031242F" w:rsidP="00F91C30">
            <w:pPr>
              <w:jc w:val="both"/>
              <w:rPr>
                <w:b/>
              </w:rPr>
            </w:pPr>
            <w:r>
              <w:rPr>
                <w:b/>
              </w:rPr>
              <w:t>ALL</w:t>
            </w:r>
          </w:p>
          <w:p w:rsidR="00E140D0" w:rsidRDefault="00E140D0" w:rsidP="00F91C30">
            <w:pPr>
              <w:jc w:val="both"/>
              <w:rPr>
                <w:b/>
              </w:rPr>
            </w:pPr>
          </w:p>
          <w:p w:rsidR="00E140D0" w:rsidRDefault="00E140D0" w:rsidP="00F91C30">
            <w:pPr>
              <w:jc w:val="both"/>
              <w:rPr>
                <w:b/>
              </w:rPr>
            </w:pPr>
          </w:p>
          <w:p w:rsidR="00E140D0" w:rsidRDefault="00E140D0" w:rsidP="00F91C30">
            <w:pPr>
              <w:jc w:val="both"/>
              <w:rPr>
                <w:b/>
              </w:rPr>
            </w:pPr>
          </w:p>
          <w:p w:rsidR="00E140D0" w:rsidRDefault="00E140D0" w:rsidP="00F91C30">
            <w:pPr>
              <w:jc w:val="both"/>
              <w:rPr>
                <w:b/>
              </w:rPr>
            </w:pPr>
          </w:p>
          <w:p w:rsidR="00E140D0" w:rsidRDefault="00E140D0" w:rsidP="00F91C30">
            <w:pPr>
              <w:jc w:val="both"/>
              <w:rPr>
                <w:b/>
              </w:rPr>
            </w:pPr>
          </w:p>
          <w:p w:rsidR="00E140D0" w:rsidRDefault="00E140D0" w:rsidP="00F91C30">
            <w:pPr>
              <w:jc w:val="both"/>
              <w:rPr>
                <w:b/>
              </w:rPr>
            </w:pPr>
          </w:p>
          <w:p w:rsidR="00E140D0" w:rsidRPr="00BA3231" w:rsidRDefault="00E140D0" w:rsidP="00F91C30">
            <w:pPr>
              <w:jc w:val="both"/>
              <w:rPr>
                <w:b/>
              </w:rPr>
            </w:pPr>
            <w:r>
              <w:rPr>
                <w:b/>
              </w:rPr>
              <w:t>MG</w:t>
            </w:r>
          </w:p>
        </w:tc>
        <w:tc>
          <w:tcPr>
            <w:tcW w:w="3219" w:type="dxa"/>
            <w:shd w:val="clear" w:color="auto" w:fill="auto"/>
          </w:tcPr>
          <w:p w:rsidR="00BD14A6" w:rsidRPr="00FF3609" w:rsidRDefault="00BD14A6" w:rsidP="00311C62">
            <w:pPr>
              <w:rPr>
                <w:b/>
              </w:rPr>
            </w:pPr>
          </w:p>
          <w:p w:rsidR="003502C4" w:rsidRPr="00FF3609" w:rsidRDefault="003502C4" w:rsidP="00311C62">
            <w:pPr>
              <w:rPr>
                <w:b/>
              </w:rPr>
            </w:pPr>
          </w:p>
          <w:p w:rsidR="0031242F" w:rsidRPr="00FF3609" w:rsidRDefault="0031242F" w:rsidP="00311C62">
            <w:pPr>
              <w:rPr>
                <w:b/>
              </w:rPr>
            </w:pPr>
            <w:r w:rsidRPr="00FF3609">
              <w:rPr>
                <w:b/>
              </w:rPr>
              <w:t>Check details on line are correct</w:t>
            </w:r>
          </w:p>
          <w:p w:rsidR="00E140D0" w:rsidRPr="00FF3609" w:rsidRDefault="00E140D0" w:rsidP="00311C62">
            <w:pPr>
              <w:rPr>
                <w:b/>
              </w:rPr>
            </w:pPr>
          </w:p>
          <w:p w:rsidR="00E140D0" w:rsidRPr="00FF3609" w:rsidRDefault="00E140D0" w:rsidP="00311C62">
            <w:pPr>
              <w:rPr>
                <w:b/>
              </w:rPr>
            </w:pPr>
          </w:p>
          <w:p w:rsidR="00E140D0" w:rsidRPr="00FF3609" w:rsidRDefault="00E140D0" w:rsidP="00311C62">
            <w:pPr>
              <w:rPr>
                <w:b/>
              </w:rPr>
            </w:pPr>
          </w:p>
          <w:p w:rsidR="00E140D0" w:rsidRPr="00FF3609" w:rsidRDefault="00E140D0" w:rsidP="00311C62">
            <w:pPr>
              <w:rPr>
                <w:b/>
              </w:rPr>
            </w:pPr>
          </w:p>
          <w:p w:rsidR="00E140D0" w:rsidRPr="00FF3609" w:rsidRDefault="00E140D0" w:rsidP="00311C62">
            <w:pPr>
              <w:rPr>
                <w:b/>
              </w:rPr>
            </w:pPr>
          </w:p>
          <w:p w:rsidR="00E140D0" w:rsidRPr="00FF3609" w:rsidRDefault="00E140D0" w:rsidP="00311C62">
            <w:pPr>
              <w:rPr>
                <w:b/>
              </w:rPr>
            </w:pPr>
          </w:p>
          <w:p w:rsidR="00E140D0" w:rsidRPr="00FF3609" w:rsidRDefault="00E140D0" w:rsidP="00311C62">
            <w:pPr>
              <w:rPr>
                <w:b/>
              </w:rPr>
            </w:pPr>
            <w:r w:rsidRPr="00FF3609">
              <w:rPr>
                <w:b/>
              </w:rPr>
              <w:t>To share briefing paper ahead of next meeting</w:t>
            </w:r>
          </w:p>
        </w:tc>
      </w:tr>
      <w:tr w:rsidR="00527061" w:rsidRPr="00745BAC" w:rsidTr="000229FA">
        <w:tc>
          <w:tcPr>
            <w:tcW w:w="1872" w:type="dxa"/>
          </w:tcPr>
          <w:p w:rsidR="00F91C30" w:rsidRPr="004A56D4" w:rsidRDefault="00B04434" w:rsidP="00F91C30">
            <w:pPr>
              <w:rPr>
                <w:rFonts w:ascii="Verdana" w:hAnsi="Verdana"/>
                <w:b/>
                <w:sz w:val="18"/>
                <w:szCs w:val="18"/>
              </w:rPr>
            </w:pPr>
            <w:r>
              <w:rPr>
                <w:rFonts w:ascii="Verdana" w:hAnsi="Verdana"/>
                <w:b/>
                <w:sz w:val="18"/>
                <w:szCs w:val="18"/>
              </w:rPr>
              <w:t>Enabling Homes</w:t>
            </w:r>
            <w:r w:rsidR="000229FA">
              <w:rPr>
                <w:rFonts w:ascii="Verdana" w:hAnsi="Verdana"/>
                <w:b/>
                <w:sz w:val="18"/>
                <w:szCs w:val="18"/>
              </w:rPr>
              <w:t xml:space="preserve"> – Natalie Hinchliffe</w:t>
            </w:r>
            <w:r w:rsidR="00F91C30" w:rsidRPr="004A56D4">
              <w:rPr>
                <w:rFonts w:ascii="Verdana" w:hAnsi="Verdana"/>
                <w:b/>
                <w:sz w:val="18"/>
                <w:szCs w:val="18"/>
              </w:rPr>
              <w:t xml:space="preserve"> </w:t>
            </w:r>
          </w:p>
          <w:p w:rsidR="00527061" w:rsidRPr="00DD4308" w:rsidRDefault="00527061" w:rsidP="00F91C30">
            <w:pPr>
              <w:rPr>
                <w:b/>
              </w:rPr>
            </w:pPr>
          </w:p>
        </w:tc>
        <w:tc>
          <w:tcPr>
            <w:tcW w:w="8647" w:type="dxa"/>
            <w:shd w:val="clear" w:color="auto" w:fill="auto"/>
          </w:tcPr>
          <w:p w:rsidR="00046D1E" w:rsidRDefault="0005798E" w:rsidP="009D1A6B">
            <w:pPr>
              <w:jc w:val="both"/>
            </w:pPr>
            <w:r>
              <w:t>NH provided an overview of Enabling Homes.</w:t>
            </w:r>
            <w:r w:rsidR="00465EBD">
              <w:t xml:space="preserve">  </w:t>
            </w:r>
          </w:p>
          <w:p w:rsidR="001F2A06" w:rsidRDefault="001F2A06" w:rsidP="009D1A6B">
            <w:pPr>
              <w:jc w:val="both"/>
            </w:pPr>
          </w:p>
          <w:p w:rsidR="001F2A06" w:rsidRDefault="009E25A6" w:rsidP="009D1A6B">
            <w:pPr>
              <w:jc w:val="both"/>
            </w:pPr>
            <w:r>
              <w:t xml:space="preserve">Enabling Homes is a Manchester based company but with investment is looking to move into the South East and Kent.  The work of the group is across a range of partners.  The organisation will source land or buildings, will engage with local authorities or </w:t>
            </w:r>
            <w:r w:rsidR="006A3909">
              <w:t>housing associations and have a</w:t>
            </w:r>
            <w:r>
              <w:t xml:space="preserve"> hedge fund investor who is keen to move the organisations objectives to Kent.  </w:t>
            </w:r>
          </w:p>
          <w:p w:rsidR="009E25A6" w:rsidRDefault="009E25A6" w:rsidP="009D1A6B">
            <w:pPr>
              <w:jc w:val="both"/>
            </w:pPr>
          </w:p>
          <w:p w:rsidR="009E25A6" w:rsidRDefault="009E25A6" w:rsidP="009D1A6B">
            <w:pPr>
              <w:jc w:val="both"/>
            </w:pPr>
            <w:r>
              <w:t xml:space="preserve">Accommodation provided is fully furnished with a repairs service and up to 3 hours support per week, provided by one of the two housing associations that they are currently working with.  </w:t>
            </w:r>
          </w:p>
          <w:p w:rsidR="006A3909" w:rsidRDefault="006A3909" w:rsidP="009D1A6B">
            <w:pPr>
              <w:jc w:val="both"/>
            </w:pPr>
            <w:r>
              <w:lastRenderedPageBreak/>
              <w:t>The minimum number of units developed or refurbished is 6, the only cost to the local authority is met by housing benefit, and there is no required investment by the local authority.</w:t>
            </w:r>
          </w:p>
          <w:p w:rsidR="006A3909" w:rsidRDefault="006A3909" w:rsidP="009D1A6B">
            <w:pPr>
              <w:jc w:val="both"/>
            </w:pPr>
          </w:p>
          <w:p w:rsidR="006A3909" w:rsidRDefault="006A3909" w:rsidP="009D1A6B">
            <w:pPr>
              <w:jc w:val="both"/>
            </w:pPr>
            <w:r>
              <w:t>Local authorities, if interested, should contact Natalie with information about the areas and client type that they are seeking to find accommodation for.  There is no minimum stay for residents and it can be used or designed to accommodation families or single people.  The tenancy is granted on a licence basis.</w:t>
            </w:r>
          </w:p>
          <w:p w:rsidR="006A3909" w:rsidRPr="00745BAC" w:rsidRDefault="006A3909" w:rsidP="009D1A6B">
            <w:pPr>
              <w:jc w:val="both"/>
            </w:pPr>
          </w:p>
        </w:tc>
        <w:tc>
          <w:tcPr>
            <w:tcW w:w="878" w:type="dxa"/>
            <w:shd w:val="clear" w:color="auto" w:fill="auto"/>
          </w:tcPr>
          <w:p w:rsidR="000B54B8" w:rsidRPr="00FF3609" w:rsidRDefault="001F2A06" w:rsidP="008669A9">
            <w:pPr>
              <w:rPr>
                <w:b/>
              </w:rPr>
            </w:pPr>
            <w:r w:rsidRPr="00FF3609">
              <w:rPr>
                <w:b/>
              </w:rPr>
              <w:lastRenderedPageBreak/>
              <w:t>ASAP</w:t>
            </w:r>
          </w:p>
          <w:p w:rsidR="001F2A06" w:rsidRPr="00FF3609" w:rsidRDefault="001F2A06" w:rsidP="008669A9">
            <w:pPr>
              <w:rPr>
                <w:b/>
              </w:rPr>
            </w:pPr>
          </w:p>
          <w:p w:rsidR="001F2A06" w:rsidRPr="00FF3609" w:rsidRDefault="001F2A06" w:rsidP="008669A9">
            <w:pPr>
              <w:rPr>
                <w:b/>
              </w:rPr>
            </w:pPr>
          </w:p>
          <w:p w:rsidR="001F2A06" w:rsidRPr="00FF3609" w:rsidRDefault="001F2A06" w:rsidP="008669A9">
            <w:pPr>
              <w:rPr>
                <w:b/>
              </w:rPr>
            </w:pPr>
          </w:p>
          <w:p w:rsidR="001F2A06" w:rsidRPr="00FF3609" w:rsidRDefault="001F2A06" w:rsidP="008669A9">
            <w:pPr>
              <w:rPr>
                <w:b/>
              </w:rPr>
            </w:pPr>
          </w:p>
          <w:p w:rsidR="001F2A06" w:rsidRPr="00FF3609" w:rsidRDefault="001F2A06" w:rsidP="008669A9">
            <w:pPr>
              <w:rPr>
                <w:b/>
              </w:rPr>
            </w:pPr>
          </w:p>
          <w:p w:rsidR="00C74F23" w:rsidRPr="00FF3609" w:rsidRDefault="001F2A06" w:rsidP="008669A9">
            <w:pPr>
              <w:rPr>
                <w:b/>
              </w:rPr>
            </w:pPr>
            <w:r w:rsidRPr="00FF3609">
              <w:rPr>
                <w:b/>
              </w:rPr>
              <w:t>With notes</w:t>
            </w:r>
          </w:p>
        </w:tc>
        <w:tc>
          <w:tcPr>
            <w:tcW w:w="864" w:type="dxa"/>
            <w:shd w:val="clear" w:color="auto" w:fill="auto"/>
          </w:tcPr>
          <w:p w:rsidR="00FE43DB" w:rsidRDefault="001F2A06" w:rsidP="008669A9">
            <w:pPr>
              <w:jc w:val="both"/>
              <w:rPr>
                <w:b/>
              </w:rPr>
            </w:pPr>
            <w:r>
              <w:rPr>
                <w:b/>
              </w:rPr>
              <w:t>NH</w:t>
            </w:r>
          </w:p>
          <w:p w:rsidR="001F2A06" w:rsidRDefault="001F2A06" w:rsidP="008669A9">
            <w:pPr>
              <w:jc w:val="both"/>
              <w:rPr>
                <w:b/>
              </w:rPr>
            </w:pPr>
          </w:p>
          <w:p w:rsidR="001F2A06" w:rsidRDefault="001F2A06" w:rsidP="008669A9">
            <w:pPr>
              <w:jc w:val="both"/>
              <w:rPr>
                <w:b/>
              </w:rPr>
            </w:pPr>
          </w:p>
          <w:p w:rsidR="001F2A06" w:rsidRDefault="001F2A06" w:rsidP="008669A9">
            <w:pPr>
              <w:jc w:val="both"/>
              <w:rPr>
                <w:b/>
              </w:rPr>
            </w:pPr>
          </w:p>
          <w:p w:rsidR="001F2A06" w:rsidRDefault="001F2A06" w:rsidP="008669A9">
            <w:pPr>
              <w:jc w:val="both"/>
              <w:rPr>
                <w:b/>
              </w:rPr>
            </w:pPr>
          </w:p>
          <w:p w:rsidR="001F2A06" w:rsidRDefault="001F2A06" w:rsidP="008669A9">
            <w:pPr>
              <w:jc w:val="both"/>
              <w:rPr>
                <w:b/>
              </w:rPr>
            </w:pPr>
          </w:p>
          <w:p w:rsidR="001F2A06" w:rsidRPr="000B54B8" w:rsidRDefault="001F2A06" w:rsidP="008669A9">
            <w:pPr>
              <w:jc w:val="both"/>
              <w:rPr>
                <w:b/>
              </w:rPr>
            </w:pPr>
            <w:r>
              <w:rPr>
                <w:b/>
              </w:rPr>
              <w:t>RS</w:t>
            </w:r>
          </w:p>
        </w:tc>
        <w:tc>
          <w:tcPr>
            <w:tcW w:w="3219" w:type="dxa"/>
            <w:shd w:val="clear" w:color="auto" w:fill="auto"/>
          </w:tcPr>
          <w:p w:rsidR="00FE43DB" w:rsidRPr="00FF3609" w:rsidRDefault="0005798E" w:rsidP="00311C62">
            <w:pPr>
              <w:rPr>
                <w:b/>
              </w:rPr>
            </w:pPr>
            <w:r w:rsidRPr="00FF3609">
              <w:rPr>
                <w:b/>
              </w:rPr>
              <w:t>NH to share digital versions of the leaflets so colleagues can look at current accommodation and can provide a list of LA’s currently working with.</w:t>
            </w:r>
          </w:p>
          <w:p w:rsidR="001F2A06" w:rsidRPr="00FF3609" w:rsidRDefault="001F2A06" w:rsidP="00311C62">
            <w:pPr>
              <w:rPr>
                <w:b/>
              </w:rPr>
            </w:pPr>
          </w:p>
          <w:p w:rsidR="001F2A06" w:rsidRPr="00FF3609" w:rsidRDefault="001F2A06" w:rsidP="00311C62">
            <w:pPr>
              <w:rPr>
                <w:b/>
              </w:rPr>
            </w:pPr>
            <w:r w:rsidRPr="00FF3609">
              <w:rPr>
                <w:b/>
              </w:rPr>
              <w:t>RS to share presentation</w:t>
            </w:r>
          </w:p>
        </w:tc>
      </w:tr>
      <w:tr w:rsidR="00B04434" w:rsidRPr="00745BAC" w:rsidTr="000229FA">
        <w:tc>
          <w:tcPr>
            <w:tcW w:w="1872" w:type="dxa"/>
          </w:tcPr>
          <w:p w:rsidR="00B04434" w:rsidRDefault="00B04434" w:rsidP="00F91C30">
            <w:pPr>
              <w:rPr>
                <w:rFonts w:ascii="Verdana" w:hAnsi="Verdana"/>
                <w:b/>
                <w:sz w:val="18"/>
                <w:szCs w:val="18"/>
              </w:rPr>
            </w:pPr>
            <w:r>
              <w:rPr>
                <w:rFonts w:ascii="Verdana" w:hAnsi="Verdana"/>
                <w:b/>
                <w:sz w:val="18"/>
                <w:szCs w:val="18"/>
              </w:rPr>
              <w:t>Homelessness Commissioning Discussion</w:t>
            </w:r>
          </w:p>
          <w:p w:rsidR="00B04434" w:rsidRDefault="00B04434" w:rsidP="00F91C30">
            <w:pPr>
              <w:rPr>
                <w:rFonts w:ascii="Verdana" w:hAnsi="Verdana"/>
                <w:b/>
                <w:sz w:val="18"/>
                <w:szCs w:val="18"/>
              </w:rPr>
            </w:pPr>
          </w:p>
        </w:tc>
        <w:tc>
          <w:tcPr>
            <w:tcW w:w="8647" w:type="dxa"/>
            <w:shd w:val="clear" w:color="auto" w:fill="auto"/>
          </w:tcPr>
          <w:p w:rsidR="00465EBD" w:rsidRDefault="00465EBD" w:rsidP="00465EBD">
            <w:pPr>
              <w:jc w:val="both"/>
            </w:pPr>
            <w:r>
              <w:t xml:space="preserve">DDC have both Porchlight and Look Ahead services set up in their area, a presentation with referral details etc was shared at the Seniors meeting yesterday.  There is a reduction in units over all 175 down to 68 units across YP.  </w:t>
            </w:r>
          </w:p>
          <w:p w:rsidR="00465EBD" w:rsidRDefault="00465EBD" w:rsidP="00465EBD">
            <w:pPr>
              <w:jc w:val="both"/>
            </w:pPr>
          </w:p>
          <w:p w:rsidR="00465EBD" w:rsidRDefault="00465EBD" w:rsidP="00465EBD">
            <w:pPr>
              <w:jc w:val="both"/>
            </w:pPr>
            <w:r>
              <w:t>Joint Housing Panels – these are not taking place moving forward.</w:t>
            </w:r>
          </w:p>
          <w:p w:rsidR="00465EBD" w:rsidRDefault="00465EBD" w:rsidP="00465EBD">
            <w:pPr>
              <w:jc w:val="both"/>
            </w:pPr>
          </w:p>
          <w:p w:rsidR="00465EBD" w:rsidRDefault="00465EBD" w:rsidP="00465EBD">
            <w:pPr>
              <w:jc w:val="both"/>
            </w:pPr>
            <w:r>
              <w:t>Offender accommodation – MG attending Kent Chiefs and Leaders meeting on 27</w:t>
            </w:r>
            <w:r w:rsidRPr="00465EBD">
              <w:rPr>
                <w:vertAlign w:val="superscript"/>
              </w:rPr>
              <w:t>th</w:t>
            </w:r>
            <w:r>
              <w:t xml:space="preserve"> March, invited by William Benson, CEX of TWBC.  KCC Commissioning attended this meeting also to share the engagement and process around the decision.  The message from the briefing paper from districts to the Leaders was not a change to the decision but time to consider transition from existing to new.  </w:t>
            </w:r>
          </w:p>
          <w:p w:rsidR="00465EBD" w:rsidRDefault="00465EBD" w:rsidP="00465EBD">
            <w:pPr>
              <w:jc w:val="both"/>
            </w:pPr>
          </w:p>
          <w:p w:rsidR="00465EBD" w:rsidRDefault="00465EBD" w:rsidP="00465EBD">
            <w:pPr>
              <w:jc w:val="both"/>
            </w:pPr>
            <w:r>
              <w:t xml:space="preserve">It was agreed that there is an extension of 6 months to existing contracts.  MG advised Leaders that districts had not been made aware of the implications from the decision of the commissioning. </w:t>
            </w:r>
            <w:r w:rsidR="001F2A06">
              <w:t xml:space="preserve">  There are now limited numbers of offenders in situ of existing schemes, many schemes have closed already.</w:t>
            </w:r>
          </w:p>
          <w:p w:rsidR="00452A77" w:rsidRDefault="00452A77" w:rsidP="00465EBD">
            <w:pPr>
              <w:jc w:val="both"/>
            </w:pPr>
          </w:p>
          <w:p w:rsidR="00452A77" w:rsidRDefault="00452A77" w:rsidP="00465EBD">
            <w:pPr>
              <w:jc w:val="both"/>
            </w:pPr>
            <w:r>
              <w:t xml:space="preserve">Letter from Graham Gibbens at KCC has been sent to all Kent Chief Executives following the meeting of the Kent Chief Executives and Leaders, which doesn’t </w:t>
            </w:r>
            <w:r w:rsidR="001F2A06">
              <w:t>mention an extension of existing contracts.</w:t>
            </w:r>
          </w:p>
          <w:p w:rsidR="00452A77" w:rsidRDefault="00452A77" w:rsidP="00465EBD">
            <w:pPr>
              <w:jc w:val="both"/>
            </w:pPr>
          </w:p>
          <w:p w:rsidR="001F2A06" w:rsidRDefault="00452A77" w:rsidP="00465EBD">
            <w:pPr>
              <w:jc w:val="both"/>
            </w:pPr>
            <w:r>
              <w:t xml:space="preserve">SC advised that KCC have agreed a three month extension on the YP scheme, Trinity Foyer.  MG is meeting with </w:t>
            </w:r>
            <w:r w:rsidR="001F2A06">
              <w:t xml:space="preserve">Clare Maynard (Commissioning) at KCC tomorrow.   </w:t>
            </w:r>
          </w:p>
          <w:p w:rsidR="005A24BF" w:rsidRDefault="005A24BF" w:rsidP="00465EBD">
            <w:pPr>
              <w:jc w:val="both"/>
            </w:pPr>
          </w:p>
          <w:p w:rsidR="005A24BF" w:rsidRDefault="005A24BF" w:rsidP="00465EBD">
            <w:pPr>
              <w:jc w:val="both"/>
            </w:pPr>
            <w:r>
              <w:t>RE advised that not currently impact from the commissioning arrangements on Medway, but all areas are at risk of the implications from de-commissioning.</w:t>
            </w:r>
          </w:p>
          <w:p w:rsidR="00465EBD" w:rsidRPr="00745BAC" w:rsidRDefault="00465EBD" w:rsidP="00465EBD">
            <w:pPr>
              <w:jc w:val="both"/>
            </w:pPr>
          </w:p>
        </w:tc>
        <w:tc>
          <w:tcPr>
            <w:tcW w:w="878" w:type="dxa"/>
            <w:shd w:val="clear" w:color="auto" w:fill="auto"/>
          </w:tcPr>
          <w:p w:rsidR="00B04434" w:rsidRPr="00FF3609" w:rsidRDefault="00C74F23" w:rsidP="008669A9">
            <w:pPr>
              <w:rPr>
                <w:b/>
              </w:rPr>
            </w:pPr>
            <w:r>
              <w:rPr>
                <w:b/>
              </w:rPr>
              <w:t>ASAP</w:t>
            </w:r>
          </w:p>
        </w:tc>
        <w:tc>
          <w:tcPr>
            <w:tcW w:w="864" w:type="dxa"/>
            <w:shd w:val="clear" w:color="auto" w:fill="auto"/>
          </w:tcPr>
          <w:p w:rsidR="00B04434" w:rsidRPr="000B54B8" w:rsidRDefault="00C74F23" w:rsidP="008669A9">
            <w:pPr>
              <w:jc w:val="both"/>
              <w:rPr>
                <w:b/>
              </w:rPr>
            </w:pPr>
            <w:r>
              <w:rPr>
                <w:b/>
              </w:rPr>
              <w:t>MG</w:t>
            </w:r>
          </w:p>
        </w:tc>
        <w:tc>
          <w:tcPr>
            <w:tcW w:w="3219" w:type="dxa"/>
            <w:shd w:val="clear" w:color="auto" w:fill="auto"/>
          </w:tcPr>
          <w:p w:rsidR="00B04434" w:rsidRPr="00FF3609" w:rsidRDefault="00452A77" w:rsidP="00311C62">
            <w:pPr>
              <w:rPr>
                <w:b/>
              </w:rPr>
            </w:pPr>
            <w:r w:rsidRPr="00FF3609">
              <w:rPr>
                <w:b/>
              </w:rPr>
              <w:t xml:space="preserve">MG to share copy of letter back to Paul Carter/Graham Gibbens in response to recent correspondence out.  </w:t>
            </w:r>
          </w:p>
        </w:tc>
      </w:tr>
      <w:tr w:rsidR="00527061" w:rsidRPr="00745BAC" w:rsidTr="000229FA">
        <w:tc>
          <w:tcPr>
            <w:tcW w:w="1872" w:type="dxa"/>
          </w:tcPr>
          <w:p w:rsidR="00F91C30" w:rsidRPr="004A56D4" w:rsidRDefault="00F91C30" w:rsidP="00F91C30">
            <w:pPr>
              <w:rPr>
                <w:rFonts w:ascii="Verdana" w:hAnsi="Verdana"/>
                <w:b/>
                <w:sz w:val="18"/>
                <w:szCs w:val="18"/>
              </w:rPr>
            </w:pPr>
            <w:r w:rsidRPr="004A56D4">
              <w:rPr>
                <w:rFonts w:ascii="Verdana" w:hAnsi="Verdana"/>
                <w:b/>
                <w:sz w:val="18"/>
                <w:szCs w:val="18"/>
              </w:rPr>
              <w:lastRenderedPageBreak/>
              <w:t>MHCLG Update – Richard Williams, MHCLG</w:t>
            </w:r>
          </w:p>
          <w:p w:rsidR="00527061" w:rsidRDefault="00527061" w:rsidP="00F91C30">
            <w:pPr>
              <w:rPr>
                <w:b/>
              </w:rPr>
            </w:pPr>
          </w:p>
        </w:tc>
        <w:tc>
          <w:tcPr>
            <w:tcW w:w="8647" w:type="dxa"/>
            <w:shd w:val="clear" w:color="auto" w:fill="auto"/>
          </w:tcPr>
          <w:p w:rsidR="00A16672" w:rsidRDefault="00A16672" w:rsidP="009D1A6B">
            <w:pPr>
              <w:jc w:val="both"/>
            </w:pPr>
            <w:r w:rsidRPr="006E2A58">
              <w:rPr>
                <w:b/>
              </w:rPr>
              <w:t>Flexible Homes Support Grant</w:t>
            </w:r>
            <w:r>
              <w:t xml:space="preserve"> – some authorities have received an additional sum, there has not been an announcement on this.  There are 3 pots of money, two essentially FSHG, split into two amounts to speed up the process of providing grant money.  </w:t>
            </w:r>
            <w:r w:rsidRPr="006E2A58">
              <w:rPr>
                <w:b/>
              </w:rPr>
              <w:t>H-Click legacy data</w:t>
            </w:r>
            <w:r>
              <w:t xml:space="preserve"> money also provided.  The Prevention Grant and FSHG are essentially the same grant, will allow you to cross out and carry over to the new financial year.  </w:t>
            </w:r>
          </w:p>
          <w:p w:rsidR="000C4F3C" w:rsidRDefault="00A16672" w:rsidP="009D1A6B">
            <w:pPr>
              <w:jc w:val="both"/>
            </w:pPr>
            <w:r>
              <w:t>Legacy Data for H-Click to help manage process and costing legacy data from P1E to H-Click so that authorities have a full set of H-Click data.   This can be spent on staffing or IT resources to help manage the resour</w:t>
            </w:r>
            <w:r w:rsidR="000C4F3C">
              <w:t>ces.  The amount provided is based upon what legacy data MHCLG anticipate that there left to transfer from P1E to H-Click.</w:t>
            </w:r>
            <w:r w:rsidR="00EE2432">
              <w:t xml:space="preserve">    Colleagues shared with RW examples of problems with entering data onto H-Click and error messages.</w:t>
            </w:r>
          </w:p>
          <w:p w:rsidR="00E140D0" w:rsidRDefault="00E140D0" w:rsidP="009D1A6B">
            <w:pPr>
              <w:jc w:val="both"/>
            </w:pPr>
          </w:p>
          <w:p w:rsidR="00E140D0" w:rsidRDefault="00E140D0" w:rsidP="009D1A6B">
            <w:pPr>
              <w:jc w:val="both"/>
            </w:pPr>
            <w:r>
              <w:t>MG commented whether through Locata it is possible to see what data is being submitted.</w:t>
            </w:r>
          </w:p>
          <w:p w:rsidR="00E140D0" w:rsidRDefault="00E140D0" w:rsidP="009D1A6B">
            <w:pPr>
              <w:jc w:val="both"/>
            </w:pPr>
          </w:p>
          <w:p w:rsidR="00E140D0" w:rsidRDefault="00E140D0" w:rsidP="009D1A6B">
            <w:pPr>
              <w:jc w:val="both"/>
            </w:pPr>
            <w:r>
              <w:t>RW to try and arrange training around technical issues for H-Click.  Colleagues would be expected to shar</w:t>
            </w:r>
            <w:r w:rsidR="007B7338">
              <w:t>e examples ahead of the meeting and also ID to enter the MHCLG building.</w:t>
            </w:r>
          </w:p>
          <w:p w:rsidR="007B7338" w:rsidRDefault="007B7338" w:rsidP="009D1A6B">
            <w:pPr>
              <w:jc w:val="both"/>
            </w:pPr>
          </w:p>
          <w:p w:rsidR="007B7338" w:rsidRDefault="007B7338" w:rsidP="009D1A6B">
            <w:pPr>
              <w:jc w:val="both"/>
            </w:pPr>
            <w:r>
              <w:t>MHCLG are checking websites regarding information about Homelessness and updates since the HRA 2018.  A good website with useful links may assi</w:t>
            </w:r>
            <w:r w:rsidR="006E2A58">
              <w:t xml:space="preserve">st with reduction in footfall and encourage some people to self-serve.  </w:t>
            </w:r>
            <w:r>
              <w:t>Newham, Brent have both got good examples of websites.</w:t>
            </w:r>
          </w:p>
          <w:p w:rsidR="007B7338" w:rsidRDefault="007B7338" w:rsidP="009D1A6B">
            <w:pPr>
              <w:jc w:val="both"/>
            </w:pPr>
          </w:p>
          <w:p w:rsidR="007B7338" w:rsidRDefault="007B7338" w:rsidP="009D1A6B">
            <w:pPr>
              <w:jc w:val="both"/>
            </w:pPr>
            <w:r w:rsidRPr="006E2A58">
              <w:rPr>
                <w:b/>
              </w:rPr>
              <w:t>Rapid Rehousing Pathway</w:t>
            </w:r>
            <w:r w:rsidRPr="007B7338">
              <w:t xml:space="preserve"> announcement due in Spring 2019</w:t>
            </w:r>
            <w:r w:rsidR="006E2A58">
              <w:t xml:space="preserve">.  Evaluations taking place of bids currently.  </w:t>
            </w:r>
          </w:p>
          <w:p w:rsidR="006E2A58" w:rsidRDefault="006E2A58" w:rsidP="009D1A6B">
            <w:pPr>
              <w:jc w:val="both"/>
            </w:pPr>
          </w:p>
          <w:p w:rsidR="006E2A58" w:rsidRDefault="006E2A58" w:rsidP="009D1A6B">
            <w:pPr>
              <w:jc w:val="both"/>
            </w:pPr>
            <w:r>
              <w:t xml:space="preserve">Second round of </w:t>
            </w:r>
            <w:r w:rsidRPr="0076350D">
              <w:rPr>
                <w:b/>
              </w:rPr>
              <w:t>R</w:t>
            </w:r>
            <w:r w:rsidR="0076350D" w:rsidRPr="0076350D">
              <w:rPr>
                <w:b/>
              </w:rPr>
              <w:t xml:space="preserve">ough </w:t>
            </w:r>
            <w:r w:rsidRPr="0076350D">
              <w:rPr>
                <w:b/>
              </w:rPr>
              <w:t>S</w:t>
            </w:r>
            <w:r w:rsidR="0076350D" w:rsidRPr="0076350D">
              <w:rPr>
                <w:b/>
              </w:rPr>
              <w:t xml:space="preserve">leeping </w:t>
            </w:r>
            <w:r w:rsidRPr="0076350D">
              <w:rPr>
                <w:b/>
              </w:rPr>
              <w:t>I</w:t>
            </w:r>
            <w:r w:rsidR="0076350D" w:rsidRPr="0076350D">
              <w:rPr>
                <w:b/>
              </w:rPr>
              <w:t>nnovation</w:t>
            </w:r>
            <w:r w:rsidR="0076350D">
              <w:t xml:space="preserve"> funding </w:t>
            </w:r>
            <w:r>
              <w:t>has been announced recently.</w:t>
            </w:r>
          </w:p>
          <w:p w:rsidR="0076350D" w:rsidRDefault="0076350D" w:rsidP="009D1A6B">
            <w:pPr>
              <w:jc w:val="both"/>
            </w:pPr>
          </w:p>
          <w:p w:rsidR="0076350D" w:rsidRDefault="0076350D" w:rsidP="009D1A6B">
            <w:pPr>
              <w:jc w:val="both"/>
            </w:pPr>
            <w:r w:rsidRPr="0076350D">
              <w:rPr>
                <w:b/>
              </w:rPr>
              <w:t>PRS funding</w:t>
            </w:r>
            <w:r>
              <w:t xml:space="preserve"> recently received, Government advice is to spend in the year allocated but Localism offers the opportunity for finance teams to manage the income as they see appropriate.  </w:t>
            </w:r>
          </w:p>
          <w:p w:rsidR="0076350D" w:rsidRDefault="0076350D" w:rsidP="009D1A6B">
            <w:pPr>
              <w:jc w:val="both"/>
            </w:pPr>
          </w:p>
          <w:p w:rsidR="0076350D" w:rsidRDefault="0076350D" w:rsidP="009D1A6B">
            <w:pPr>
              <w:jc w:val="both"/>
            </w:pPr>
            <w:r>
              <w:t>RW emailed colleagues about the amount of spend for accessing the PRS, colleagues encouraged to share this information asap with RW.  There are two options for MHCLG to consider, raising LHA rates or to increase funding directly to local authorities.</w:t>
            </w:r>
          </w:p>
          <w:p w:rsidR="009A7BF2" w:rsidRDefault="009A7BF2" w:rsidP="009D1A6B">
            <w:pPr>
              <w:jc w:val="both"/>
            </w:pPr>
          </w:p>
          <w:p w:rsidR="009A7BF2" w:rsidRDefault="009A7BF2" w:rsidP="009D1A6B">
            <w:pPr>
              <w:jc w:val="both"/>
            </w:pPr>
            <w:r>
              <w:lastRenderedPageBreak/>
              <w:t>MHCLG are meeting with MOJ about the offender accommodation issue in Kent, the right people are aware of the current situation.   RW to share details of a pilot for offender accommodation and who was eligible to bid.</w:t>
            </w:r>
          </w:p>
          <w:p w:rsidR="00E1288C" w:rsidRDefault="00E1288C" w:rsidP="009D1A6B">
            <w:pPr>
              <w:jc w:val="both"/>
            </w:pPr>
          </w:p>
          <w:p w:rsidR="009A7BF2" w:rsidRDefault="009A7BF2" w:rsidP="009D1A6B">
            <w:pPr>
              <w:jc w:val="both"/>
            </w:pPr>
            <w:r>
              <w:t xml:space="preserve">MHCLG are also </w:t>
            </w:r>
            <w:r w:rsidR="00A90EEC">
              <w:t xml:space="preserve">working and meeting </w:t>
            </w:r>
            <w:r>
              <w:t xml:space="preserve">with KCC </w:t>
            </w:r>
            <w:r w:rsidR="00A90EEC">
              <w:t>today regarding</w:t>
            </w:r>
            <w:r>
              <w:t xml:space="preserve"> 16 &amp; 17 year olds and the current issues with regards to accommodation, MHCLG are asking for anonymous examples or specific issues you are having with KCC and the ideal step they could take to assist local authorities.  There are advisors from DoE working on this specific issue.  </w:t>
            </w:r>
          </w:p>
          <w:p w:rsidR="00A90EEC" w:rsidRDefault="00A90EEC" w:rsidP="009D1A6B">
            <w:pPr>
              <w:jc w:val="both"/>
            </w:pPr>
          </w:p>
          <w:p w:rsidR="00A90EEC" w:rsidRDefault="00A90EEC" w:rsidP="009D1A6B">
            <w:pPr>
              <w:jc w:val="both"/>
            </w:pPr>
            <w:r>
              <w:t xml:space="preserve">KCC have recently commissioned a young person’s service that only they can refer into, so local authorities cannot refer into this service/supported housing.  SC has raised this directly with relevant KCC colleagues.     The protocol that exists in Kent currently states that referrals to districts will only be made when all other pathways have been explored.  This issue was raised at the Senior Housing Options Managers meeting yesterday.  Is there now a need for a joint housing assessment when the Southwark Judgement makes it is clear that the responsibility lies with Children’s services?  </w:t>
            </w:r>
            <w:r w:rsidR="009D1A6B">
              <w:t>There is a meeting in Kent about this on the 8</w:t>
            </w:r>
            <w:r w:rsidR="009D1A6B" w:rsidRPr="009D1A6B">
              <w:rPr>
                <w:vertAlign w:val="superscript"/>
              </w:rPr>
              <w:t>th</w:t>
            </w:r>
            <w:r w:rsidR="009D1A6B">
              <w:t xml:space="preserve"> May, MG and SC will attend for KHOG, Jo Ellis (Chair of KHG) will also be attending for KHG.</w:t>
            </w:r>
          </w:p>
          <w:p w:rsidR="009D1A6B" w:rsidRDefault="009D1A6B" w:rsidP="009D1A6B">
            <w:pPr>
              <w:jc w:val="both"/>
            </w:pPr>
          </w:p>
          <w:p w:rsidR="00FE48F8" w:rsidRDefault="00FE48F8" w:rsidP="009D1A6B">
            <w:pPr>
              <w:jc w:val="both"/>
            </w:pPr>
            <w:r>
              <w:t>RW advised that there will be clamp down on use of B&amp;B for TA, especially for 16 and 17 year olds.</w:t>
            </w:r>
            <w:r w:rsidR="003E6BED">
              <w:t xml:space="preserve">   MD mentioned an independent advisory organisation who has been used in F&amp;HDC, over the phone service currently ‘Young Lives’.</w:t>
            </w:r>
            <w:r w:rsidR="006B2626">
              <w:t xml:space="preserve">   Colleagues agreed an independent advocacy service would be useful across the board.</w:t>
            </w:r>
          </w:p>
          <w:p w:rsidR="000C4F3C" w:rsidRPr="00745BAC" w:rsidRDefault="00FE48F8" w:rsidP="009D1A6B">
            <w:pPr>
              <w:jc w:val="both"/>
            </w:pPr>
            <w:r>
              <w:t xml:space="preserve"> </w:t>
            </w:r>
          </w:p>
        </w:tc>
        <w:tc>
          <w:tcPr>
            <w:tcW w:w="878" w:type="dxa"/>
            <w:shd w:val="clear" w:color="auto" w:fill="auto"/>
          </w:tcPr>
          <w:p w:rsidR="007F161E" w:rsidRPr="00FF3609" w:rsidRDefault="00E140D0" w:rsidP="00454E00">
            <w:pPr>
              <w:rPr>
                <w:b/>
              </w:rPr>
            </w:pPr>
            <w:r w:rsidRPr="00FF3609">
              <w:rPr>
                <w:b/>
              </w:rPr>
              <w:lastRenderedPageBreak/>
              <w:t>As occurs</w:t>
            </w:r>
          </w:p>
          <w:p w:rsidR="007B7338" w:rsidRPr="00FF3609" w:rsidRDefault="007B7338" w:rsidP="00454E00">
            <w:pPr>
              <w:rPr>
                <w:b/>
              </w:rPr>
            </w:pPr>
          </w:p>
          <w:p w:rsidR="007B7338" w:rsidRPr="00FF3609" w:rsidRDefault="007B7338" w:rsidP="00454E00">
            <w:pPr>
              <w:rPr>
                <w:b/>
              </w:rPr>
            </w:pPr>
          </w:p>
          <w:p w:rsidR="007B7338" w:rsidRPr="00FF3609" w:rsidRDefault="007B7338" w:rsidP="00454E00">
            <w:pPr>
              <w:rPr>
                <w:b/>
              </w:rPr>
            </w:pPr>
          </w:p>
          <w:p w:rsidR="007B7338" w:rsidRPr="00FF3609" w:rsidRDefault="007B7338" w:rsidP="00454E00">
            <w:pPr>
              <w:rPr>
                <w:b/>
              </w:rPr>
            </w:pPr>
          </w:p>
          <w:p w:rsidR="007B7338" w:rsidRPr="00FF3609" w:rsidRDefault="007B7338" w:rsidP="00454E00">
            <w:pPr>
              <w:rPr>
                <w:b/>
              </w:rPr>
            </w:pPr>
          </w:p>
          <w:p w:rsidR="007B7338" w:rsidRPr="00FF3609" w:rsidRDefault="007B7338" w:rsidP="00454E00">
            <w:pPr>
              <w:rPr>
                <w:b/>
              </w:rPr>
            </w:pPr>
          </w:p>
          <w:p w:rsidR="007B7338" w:rsidRPr="00FF3609" w:rsidRDefault="007B7338" w:rsidP="00454E00">
            <w:pPr>
              <w:rPr>
                <w:b/>
              </w:rPr>
            </w:pPr>
          </w:p>
          <w:p w:rsidR="007B7338" w:rsidRPr="00FF3609" w:rsidRDefault="007B7338" w:rsidP="00454E00">
            <w:pPr>
              <w:rPr>
                <w:b/>
              </w:rPr>
            </w:pPr>
          </w:p>
          <w:p w:rsidR="007B7338" w:rsidRPr="00FF3609" w:rsidRDefault="007B7338" w:rsidP="00454E00">
            <w:pPr>
              <w:rPr>
                <w:b/>
              </w:rPr>
            </w:pPr>
          </w:p>
          <w:p w:rsidR="007B7338" w:rsidRDefault="007B7338" w:rsidP="00454E00">
            <w:pPr>
              <w:rPr>
                <w:b/>
              </w:rPr>
            </w:pPr>
          </w:p>
          <w:p w:rsidR="00C74F23" w:rsidRPr="00FF3609" w:rsidRDefault="00C74F23" w:rsidP="00454E00">
            <w:pPr>
              <w:rPr>
                <w:b/>
              </w:rPr>
            </w:pPr>
          </w:p>
          <w:p w:rsidR="007B7338" w:rsidRPr="00FF3609" w:rsidRDefault="007B7338" w:rsidP="00454E00">
            <w:pPr>
              <w:rPr>
                <w:b/>
              </w:rPr>
            </w:pPr>
          </w:p>
          <w:p w:rsidR="007B7338" w:rsidRPr="00FF3609" w:rsidRDefault="007B7338" w:rsidP="00454E00">
            <w:pPr>
              <w:rPr>
                <w:b/>
              </w:rPr>
            </w:pPr>
            <w:r w:rsidRPr="00FF3609">
              <w:rPr>
                <w:b/>
              </w:rPr>
              <w:t>ASAP</w:t>
            </w: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p>
          <w:p w:rsidR="0076350D" w:rsidRPr="00FF3609" w:rsidRDefault="0076350D" w:rsidP="00454E00">
            <w:pPr>
              <w:rPr>
                <w:b/>
              </w:rPr>
            </w:pPr>
            <w:r w:rsidRPr="00FF3609">
              <w:rPr>
                <w:b/>
              </w:rPr>
              <w:t>ASAP</w:t>
            </w:r>
          </w:p>
          <w:p w:rsidR="009A7BF2" w:rsidRPr="00FF3609" w:rsidRDefault="009A7BF2" w:rsidP="00454E00">
            <w:pPr>
              <w:rPr>
                <w:b/>
              </w:rPr>
            </w:pPr>
          </w:p>
          <w:p w:rsidR="009A7BF2" w:rsidRPr="00FF3609" w:rsidRDefault="009A7BF2" w:rsidP="00454E00">
            <w:pPr>
              <w:rPr>
                <w:b/>
              </w:rPr>
            </w:pPr>
          </w:p>
          <w:p w:rsidR="009A7BF2" w:rsidRPr="00FF3609" w:rsidRDefault="009A7BF2" w:rsidP="00454E00">
            <w:pPr>
              <w:rPr>
                <w:b/>
              </w:rPr>
            </w:pPr>
          </w:p>
          <w:p w:rsidR="009A7BF2" w:rsidRPr="00FF3609" w:rsidRDefault="009A7BF2" w:rsidP="00454E00">
            <w:pPr>
              <w:rPr>
                <w:b/>
              </w:rPr>
            </w:pPr>
            <w:r w:rsidRPr="00FF3609">
              <w:rPr>
                <w:b/>
              </w:rPr>
              <w:t>ASAP</w:t>
            </w:r>
          </w:p>
          <w:p w:rsidR="009D5D50" w:rsidRPr="00FF3609" w:rsidRDefault="009D5D50" w:rsidP="00454E00">
            <w:pPr>
              <w:rPr>
                <w:b/>
              </w:rPr>
            </w:pPr>
          </w:p>
          <w:p w:rsidR="009D5D50" w:rsidRPr="00FF3609" w:rsidRDefault="009D5D50" w:rsidP="00454E00">
            <w:pPr>
              <w:rPr>
                <w:b/>
              </w:rPr>
            </w:pPr>
          </w:p>
          <w:p w:rsidR="009D5D50" w:rsidRPr="00FF3609" w:rsidRDefault="009D5D50" w:rsidP="00454E00">
            <w:pPr>
              <w:rPr>
                <w:b/>
              </w:rPr>
            </w:pPr>
          </w:p>
          <w:p w:rsidR="009D5D50" w:rsidRPr="00FF3609" w:rsidRDefault="009D5D50" w:rsidP="00454E00">
            <w:pPr>
              <w:rPr>
                <w:b/>
              </w:rPr>
            </w:pPr>
          </w:p>
          <w:p w:rsidR="009D5D50" w:rsidRPr="00FF3609" w:rsidRDefault="009D5D50" w:rsidP="00454E00">
            <w:pPr>
              <w:rPr>
                <w:b/>
              </w:rPr>
            </w:pPr>
            <w:r w:rsidRPr="00FF3609">
              <w:rPr>
                <w:b/>
              </w:rPr>
              <w:t>By 3</w:t>
            </w:r>
            <w:r w:rsidRPr="00FF3609">
              <w:rPr>
                <w:b/>
                <w:vertAlign w:val="superscript"/>
              </w:rPr>
              <w:t>rd</w:t>
            </w:r>
            <w:r w:rsidRPr="00FF3609">
              <w:rPr>
                <w:b/>
              </w:rPr>
              <w:t xml:space="preserve"> May </w:t>
            </w:r>
          </w:p>
        </w:tc>
        <w:tc>
          <w:tcPr>
            <w:tcW w:w="864" w:type="dxa"/>
            <w:shd w:val="clear" w:color="auto" w:fill="auto"/>
          </w:tcPr>
          <w:p w:rsidR="007F161E" w:rsidRDefault="00E140D0" w:rsidP="00454E00">
            <w:pPr>
              <w:rPr>
                <w:b/>
              </w:rPr>
            </w:pPr>
            <w:r>
              <w:rPr>
                <w:b/>
              </w:rPr>
              <w:lastRenderedPageBreak/>
              <w:t>ALL</w:t>
            </w:r>
          </w:p>
          <w:p w:rsidR="007B7338" w:rsidRDefault="007B7338" w:rsidP="00454E00">
            <w:pPr>
              <w:rPr>
                <w:b/>
              </w:rPr>
            </w:pPr>
          </w:p>
          <w:p w:rsidR="007B7338" w:rsidRDefault="007B7338" w:rsidP="00454E00">
            <w:pPr>
              <w:rPr>
                <w:b/>
              </w:rPr>
            </w:pPr>
          </w:p>
          <w:p w:rsidR="007B7338" w:rsidRDefault="007B7338" w:rsidP="00454E00">
            <w:pPr>
              <w:rPr>
                <w:b/>
              </w:rPr>
            </w:pPr>
          </w:p>
          <w:p w:rsidR="007B7338" w:rsidRDefault="007B7338" w:rsidP="00454E00">
            <w:pPr>
              <w:rPr>
                <w:b/>
              </w:rPr>
            </w:pPr>
          </w:p>
          <w:p w:rsidR="007B7338" w:rsidRDefault="007B7338" w:rsidP="00454E00">
            <w:pPr>
              <w:rPr>
                <w:b/>
              </w:rPr>
            </w:pPr>
          </w:p>
          <w:p w:rsidR="007B7338" w:rsidRDefault="007B7338" w:rsidP="00454E00">
            <w:pPr>
              <w:rPr>
                <w:b/>
              </w:rPr>
            </w:pPr>
          </w:p>
          <w:p w:rsidR="007B7338" w:rsidRDefault="007B7338" w:rsidP="00454E00">
            <w:pPr>
              <w:rPr>
                <w:b/>
              </w:rPr>
            </w:pPr>
          </w:p>
          <w:p w:rsidR="007B7338" w:rsidRDefault="007B7338" w:rsidP="00454E00">
            <w:pPr>
              <w:rPr>
                <w:b/>
              </w:rPr>
            </w:pPr>
          </w:p>
          <w:p w:rsidR="007B7338" w:rsidRDefault="007B7338" w:rsidP="00454E00">
            <w:pPr>
              <w:rPr>
                <w:b/>
              </w:rPr>
            </w:pPr>
          </w:p>
          <w:p w:rsidR="007B7338" w:rsidRDefault="007B7338" w:rsidP="00454E00">
            <w:pPr>
              <w:rPr>
                <w:b/>
              </w:rPr>
            </w:pPr>
          </w:p>
          <w:p w:rsidR="007B7338" w:rsidRDefault="007B7338" w:rsidP="00454E00">
            <w:pPr>
              <w:rPr>
                <w:b/>
              </w:rPr>
            </w:pPr>
          </w:p>
          <w:p w:rsidR="00C74F23" w:rsidRDefault="00C74F23" w:rsidP="00454E00">
            <w:pPr>
              <w:rPr>
                <w:b/>
              </w:rPr>
            </w:pPr>
          </w:p>
          <w:p w:rsidR="007B7338" w:rsidRDefault="007B7338" w:rsidP="00454E00">
            <w:pPr>
              <w:rPr>
                <w:b/>
              </w:rPr>
            </w:pPr>
          </w:p>
          <w:p w:rsidR="007B7338" w:rsidRDefault="007B7338" w:rsidP="00454E00">
            <w:pPr>
              <w:rPr>
                <w:b/>
              </w:rPr>
            </w:pPr>
            <w:r>
              <w:rPr>
                <w:b/>
              </w:rPr>
              <w:t>RW</w:t>
            </w: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p>
          <w:p w:rsidR="0076350D" w:rsidRDefault="0076350D" w:rsidP="00454E00">
            <w:pPr>
              <w:rPr>
                <w:b/>
              </w:rPr>
            </w:pPr>
            <w:r>
              <w:rPr>
                <w:b/>
              </w:rPr>
              <w:t>ALL</w:t>
            </w:r>
          </w:p>
          <w:p w:rsidR="009A7BF2" w:rsidRDefault="009A7BF2" w:rsidP="00454E00">
            <w:pPr>
              <w:rPr>
                <w:b/>
              </w:rPr>
            </w:pPr>
          </w:p>
          <w:p w:rsidR="009A7BF2" w:rsidRDefault="009A7BF2" w:rsidP="00454E00">
            <w:pPr>
              <w:rPr>
                <w:b/>
              </w:rPr>
            </w:pPr>
          </w:p>
          <w:p w:rsidR="009A7BF2" w:rsidRDefault="009A7BF2" w:rsidP="00454E00">
            <w:pPr>
              <w:rPr>
                <w:b/>
              </w:rPr>
            </w:pPr>
          </w:p>
          <w:p w:rsidR="009A7BF2" w:rsidRDefault="009A7BF2" w:rsidP="00454E00">
            <w:pPr>
              <w:rPr>
                <w:b/>
              </w:rPr>
            </w:pPr>
            <w:r>
              <w:rPr>
                <w:b/>
              </w:rPr>
              <w:t>RW</w:t>
            </w:r>
          </w:p>
          <w:p w:rsidR="009D5D50" w:rsidRDefault="009D5D50" w:rsidP="00454E00">
            <w:pPr>
              <w:rPr>
                <w:b/>
              </w:rPr>
            </w:pPr>
          </w:p>
          <w:p w:rsidR="009D5D50" w:rsidRDefault="009D5D50" w:rsidP="00454E00">
            <w:pPr>
              <w:rPr>
                <w:b/>
              </w:rPr>
            </w:pPr>
          </w:p>
          <w:p w:rsidR="009D5D50" w:rsidRDefault="009D5D50" w:rsidP="00454E00">
            <w:pPr>
              <w:rPr>
                <w:b/>
              </w:rPr>
            </w:pPr>
          </w:p>
          <w:p w:rsidR="009D5D50" w:rsidRDefault="009D5D50" w:rsidP="00454E00">
            <w:pPr>
              <w:rPr>
                <w:b/>
              </w:rPr>
            </w:pPr>
          </w:p>
          <w:p w:rsidR="009D5D50" w:rsidRPr="007F161E" w:rsidRDefault="009D5D50" w:rsidP="00454E00">
            <w:pPr>
              <w:rPr>
                <w:b/>
              </w:rPr>
            </w:pPr>
            <w:r>
              <w:rPr>
                <w:b/>
              </w:rPr>
              <w:t>ALL</w:t>
            </w:r>
          </w:p>
        </w:tc>
        <w:tc>
          <w:tcPr>
            <w:tcW w:w="3219" w:type="dxa"/>
            <w:shd w:val="clear" w:color="auto" w:fill="auto"/>
          </w:tcPr>
          <w:p w:rsidR="000250C2" w:rsidRPr="00FF3609" w:rsidRDefault="00452A77" w:rsidP="00AC2608">
            <w:pPr>
              <w:jc w:val="both"/>
              <w:rPr>
                <w:b/>
              </w:rPr>
            </w:pPr>
            <w:r w:rsidRPr="00FF3609">
              <w:rPr>
                <w:b/>
              </w:rPr>
              <w:lastRenderedPageBreak/>
              <w:t>Colleagues</w:t>
            </w:r>
            <w:r w:rsidR="00E140D0" w:rsidRPr="00FF3609">
              <w:rPr>
                <w:b/>
              </w:rPr>
              <w:t xml:space="preserve"> to share examples of H-Click errors with RW and he will liaise with H-Click team</w:t>
            </w:r>
          </w:p>
          <w:p w:rsidR="007B7338" w:rsidRPr="00FF3609" w:rsidRDefault="007B7338" w:rsidP="00AC2608">
            <w:pPr>
              <w:jc w:val="both"/>
              <w:rPr>
                <w:b/>
              </w:rPr>
            </w:pPr>
          </w:p>
          <w:p w:rsidR="007B7338" w:rsidRPr="00FF3609" w:rsidRDefault="007B7338" w:rsidP="00AC2608">
            <w:pPr>
              <w:jc w:val="both"/>
              <w:rPr>
                <w:b/>
              </w:rPr>
            </w:pPr>
          </w:p>
          <w:p w:rsidR="007B7338" w:rsidRPr="00FF3609" w:rsidRDefault="007B7338" w:rsidP="00AC2608">
            <w:pPr>
              <w:jc w:val="both"/>
              <w:rPr>
                <w:b/>
              </w:rPr>
            </w:pPr>
          </w:p>
          <w:p w:rsidR="007B7338" w:rsidRPr="00FF3609" w:rsidRDefault="007B7338" w:rsidP="00AC2608">
            <w:pPr>
              <w:jc w:val="both"/>
              <w:rPr>
                <w:b/>
              </w:rPr>
            </w:pPr>
          </w:p>
          <w:p w:rsidR="007B7338" w:rsidRPr="00FF3609" w:rsidRDefault="007B7338" w:rsidP="00AC2608">
            <w:pPr>
              <w:jc w:val="both"/>
              <w:rPr>
                <w:b/>
              </w:rPr>
            </w:pPr>
          </w:p>
          <w:p w:rsidR="007B7338" w:rsidRPr="00FF3609" w:rsidRDefault="007B7338" w:rsidP="00AC2608">
            <w:pPr>
              <w:jc w:val="both"/>
              <w:rPr>
                <w:b/>
              </w:rPr>
            </w:pPr>
          </w:p>
          <w:p w:rsidR="007B7338" w:rsidRPr="00FF3609" w:rsidRDefault="007B7338" w:rsidP="00AC2608">
            <w:pPr>
              <w:jc w:val="both"/>
              <w:rPr>
                <w:b/>
              </w:rPr>
            </w:pPr>
          </w:p>
          <w:p w:rsidR="007B7338" w:rsidRPr="00FF3609" w:rsidRDefault="007B7338" w:rsidP="00AC2608">
            <w:pPr>
              <w:jc w:val="both"/>
              <w:rPr>
                <w:b/>
              </w:rPr>
            </w:pPr>
          </w:p>
          <w:p w:rsidR="007B7338" w:rsidRPr="00FF3609" w:rsidRDefault="007B7338" w:rsidP="00AC2608">
            <w:pPr>
              <w:jc w:val="both"/>
              <w:rPr>
                <w:b/>
              </w:rPr>
            </w:pPr>
          </w:p>
          <w:p w:rsidR="007B7338" w:rsidRDefault="007B7338" w:rsidP="00AC2608">
            <w:pPr>
              <w:jc w:val="both"/>
              <w:rPr>
                <w:b/>
              </w:rPr>
            </w:pPr>
          </w:p>
          <w:p w:rsidR="00C74F23" w:rsidRPr="00FF3609" w:rsidRDefault="00C74F23" w:rsidP="00AC2608">
            <w:pPr>
              <w:jc w:val="both"/>
              <w:rPr>
                <w:b/>
              </w:rPr>
            </w:pPr>
          </w:p>
          <w:p w:rsidR="0076350D" w:rsidRPr="00FF3609" w:rsidRDefault="007B7338" w:rsidP="00AC2608">
            <w:pPr>
              <w:jc w:val="both"/>
              <w:rPr>
                <w:b/>
              </w:rPr>
            </w:pPr>
            <w:r w:rsidRPr="00FF3609">
              <w:rPr>
                <w:b/>
              </w:rPr>
              <w:t xml:space="preserve">RW to feedback </w:t>
            </w:r>
            <w:r w:rsidR="0076350D" w:rsidRPr="00FF3609">
              <w:rPr>
                <w:b/>
              </w:rPr>
              <w:t>whether this is possible and suggest dates</w:t>
            </w: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p>
          <w:p w:rsidR="0076350D" w:rsidRPr="00FF3609" w:rsidRDefault="0076350D" w:rsidP="00AC2608">
            <w:pPr>
              <w:jc w:val="both"/>
              <w:rPr>
                <w:b/>
              </w:rPr>
            </w:pPr>
            <w:r w:rsidRPr="00FF3609">
              <w:rPr>
                <w:b/>
              </w:rPr>
              <w:t>Share data requested by RW at the earliest possible time</w:t>
            </w:r>
          </w:p>
          <w:p w:rsidR="009A7BF2" w:rsidRPr="00FF3609" w:rsidRDefault="009A7BF2" w:rsidP="00AC2608">
            <w:pPr>
              <w:jc w:val="both"/>
              <w:rPr>
                <w:b/>
              </w:rPr>
            </w:pPr>
          </w:p>
          <w:p w:rsidR="009A7BF2" w:rsidRPr="00FF3609" w:rsidRDefault="009A7BF2" w:rsidP="00AC2608">
            <w:pPr>
              <w:jc w:val="both"/>
              <w:rPr>
                <w:b/>
              </w:rPr>
            </w:pPr>
          </w:p>
          <w:p w:rsidR="009A7BF2" w:rsidRPr="00FF3609" w:rsidRDefault="009A7BF2" w:rsidP="00AC2608">
            <w:pPr>
              <w:jc w:val="both"/>
              <w:rPr>
                <w:b/>
              </w:rPr>
            </w:pPr>
            <w:r w:rsidRPr="00FF3609">
              <w:rPr>
                <w:b/>
              </w:rPr>
              <w:t>RW to share details of the pilot</w:t>
            </w:r>
          </w:p>
          <w:p w:rsidR="00FE48F8" w:rsidRPr="00FF3609" w:rsidRDefault="00FE48F8" w:rsidP="00AC2608">
            <w:pPr>
              <w:jc w:val="both"/>
              <w:rPr>
                <w:b/>
              </w:rPr>
            </w:pPr>
          </w:p>
          <w:p w:rsidR="00FE48F8" w:rsidRPr="00FF3609" w:rsidRDefault="00FE48F8" w:rsidP="00AC2608">
            <w:pPr>
              <w:jc w:val="both"/>
              <w:rPr>
                <w:b/>
              </w:rPr>
            </w:pPr>
          </w:p>
          <w:p w:rsidR="00FE48F8" w:rsidRPr="00FF3609" w:rsidRDefault="00FE48F8" w:rsidP="00AC2608">
            <w:pPr>
              <w:jc w:val="both"/>
              <w:rPr>
                <w:b/>
              </w:rPr>
            </w:pPr>
          </w:p>
          <w:p w:rsidR="00FE48F8" w:rsidRPr="00FF3609" w:rsidRDefault="00FE48F8" w:rsidP="00AC2608">
            <w:pPr>
              <w:jc w:val="both"/>
              <w:rPr>
                <w:b/>
              </w:rPr>
            </w:pPr>
          </w:p>
          <w:p w:rsidR="00FE48F8" w:rsidRPr="00FF3609" w:rsidRDefault="00FE48F8" w:rsidP="00AC2608">
            <w:pPr>
              <w:jc w:val="both"/>
              <w:rPr>
                <w:b/>
              </w:rPr>
            </w:pPr>
            <w:r w:rsidRPr="00FF3609">
              <w:rPr>
                <w:b/>
              </w:rPr>
              <w:t>Colleagues to share challenges with RW, cc RS to take to meeting planned for 8</w:t>
            </w:r>
            <w:r w:rsidRPr="00FF3609">
              <w:rPr>
                <w:b/>
                <w:vertAlign w:val="superscript"/>
              </w:rPr>
              <w:t>th</w:t>
            </w:r>
            <w:r w:rsidRPr="00FF3609">
              <w:rPr>
                <w:b/>
              </w:rPr>
              <w:t xml:space="preserve"> May</w:t>
            </w:r>
          </w:p>
        </w:tc>
      </w:tr>
      <w:tr w:rsidR="00D03CE7" w:rsidRPr="00745BAC" w:rsidTr="000229FA">
        <w:tc>
          <w:tcPr>
            <w:tcW w:w="1872" w:type="dxa"/>
          </w:tcPr>
          <w:p w:rsidR="00F91C30" w:rsidRPr="004A56D4" w:rsidRDefault="00F91C30" w:rsidP="00F91C30">
            <w:pPr>
              <w:rPr>
                <w:rFonts w:ascii="Verdana" w:hAnsi="Verdana"/>
                <w:b/>
                <w:sz w:val="18"/>
                <w:szCs w:val="18"/>
              </w:rPr>
            </w:pPr>
            <w:r w:rsidRPr="004A56D4">
              <w:rPr>
                <w:rFonts w:ascii="Verdana" w:hAnsi="Verdana"/>
                <w:b/>
                <w:sz w:val="18"/>
                <w:szCs w:val="18"/>
              </w:rPr>
              <w:lastRenderedPageBreak/>
              <w:t xml:space="preserve">Protocols – Standing Item      </w:t>
            </w:r>
          </w:p>
          <w:p w:rsidR="00F91C30" w:rsidRPr="004A56D4" w:rsidRDefault="00F91C30" w:rsidP="00F91C30">
            <w:pPr>
              <w:rPr>
                <w:rFonts w:ascii="Verdana" w:hAnsi="Verdana"/>
                <w:b/>
                <w:sz w:val="18"/>
                <w:szCs w:val="18"/>
              </w:rPr>
            </w:pPr>
            <w:r w:rsidRPr="004A56D4">
              <w:rPr>
                <w:rFonts w:ascii="Verdana" w:hAnsi="Verdana"/>
                <w:b/>
                <w:sz w:val="18"/>
                <w:szCs w:val="18"/>
              </w:rPr>
              <w:tab/>
            </w:r>
            <w:r w:rsidRPr="004A56D4">
              <w:rPr>
                <w:rFonts w:ascii="Verdana" w:hAnsi="Verdana"/>
                <w:b/>
                <w:sz w:val="18"/>
                <w:szCs w:val="18"/>
              </w:rPr>
              <w:tab/>
              <w:t xml:space="preserve">    </w:t>
            </w:r>
          </w:p>
          <w:p w:rsidR="00D03CE7" w:rsidRPr="004A56D4" w:rsidRDefault="00D03CE7" w:rsidP="00F91C30">
            <w:pPr>
              <w:rPr>
                <w:b/>
                <w:sz w:val="18"/>
                <w:szCs w:val="18"/>
              </w:rPr>
            </w:pPr>
          </w:p>
        </w:tc>
        <w:tc>
          <w:tcPr>
            <w:tcW w:w="8647" w:type="dxa"/>
            <w:shd w:val="clear" w:color="auto" w:fill="auto"/>
          </w:tcPr>
          <w:p w:rsidR="00DE4FA3" w:rsidRDefault="00B04434" w:rsidP="009D1A6B">
            <w:pPr>
              <w:jc w:val="both"/>
            </w:pPr>
            <w:r w:rsidRPr="005A24BF">
              <w:rPr>
                <w:b/>
              </w:rPr>
              <w:t>Reciprocal Protocol</w:t>
            </w:r>
            <w:r>
              <w:t xml:space="preserve"> – </w:t>
            </w:r>
            <w:r w:rsidR="005A24BF">
              <w:t xml:space="preserve">this has been revised and redrafted, based on comments from all colleagues who responded.  Monitoring kept by each individual authority and discussed at meeting.   The protocol is designed to assist in exceptional circumstances you can make a request for assistance and is not fixed or focused just on DV.  </w:t>
            </w:r>
          </w:p>
          <w:p w:rsidR="005A24BF" w:rsidRDefault="005A24BF" w:rsidP="009D1A6B">
            <w:pPr>
              <w:jc w:val="both"/>
            </w:pPr>
          </w:p>
          <w:p w:rsidR="005A24BF" w:rsidRDefault="005A24BF" w:rsidP="009D1A6B">
            <w:pPr>
              <w:jc w:val="both"/>
            </w:pPr>
            <w:r>
              <w:t>Agreed as final version, to be published by RS on the KHG website</w:t>
            </w:r>
            <w:r w:rsidR="00AE4A2A">
              <w:t xml:space="preserve">.  </w:t>
            </w:r>
          </w:p>
          <w:p w:rsidR="00B04434" w:rsidRDefault="00B04434" w:rsidP="009D1A6B">
            <w:pPr>
              <w:jc w:val="both"/>
            </w:pPr>
          </w:p>
          <w:p w:rsidR="00B04434" w:rsidRDefault="00B04434" w:rsidP="009D1A6B">
            <w:pPr>
              <w:jc w:val="both"/>
            </w:pPr>
            <w:r w:rsidRPr="00AE4A2A">
              <w:rPr>
                <w:b/>
              </w:rPr>
              <w:t>S.198 Protocol</w:t>
            </w:r>
            <w:r>
              <w:t xml:space="preserve"> – </w:t>
            </w:r>
            <w:r w:rsidR="005A24BF">
              <w:t>There has been a discussion about how to manage referrals, and commitment not to recharge TA provision, also refers to timescales and being proactive to respond.   RS to share draft and then for sign off in June.</w:t>
            </w:r>
          </w:p>
          <w:p w:rsidR="00B04434" w:rsidRDefault="00B04434" w:rsidP="009D1A6B">
            <w:pPr>
              <w:jc w:val="both"/>
            </w:pPr>
          </w:p>
          <w:p w:rsidR="00B04434" w:rsidRDefault="00B04434" w:rsidP="009D1A6B">
            <w:pPr>
              <w:jc w:val="both"/>
            </w:pPr>
            <w:r w:rsidRPr="00AE4A2A">
              <w:rPr>
                <w:b/>
              </w:rPr>
              <w:t>Pre-Eviction Protocol</w:t>
            </w:r>
            <w:r>
              <w:t xml:space="preserve"> –</w:t>
            </w:r>
            <w:r w:rsidR="005A24BF">
              <w:t xml:space="preserve"> </w:t>
            </w:r>
            <w:r w:rsidR="00AE4A2A">
              <w:t xml:space="preserve">RS fed back on the comments from NMSG about the revised Pre Eviction Protocol and that notice stage is too early to start the referral process with Housing Options.  It was suggested by MG that there is a need to work with RP’s and provide a session facilitated by NHF (MG to provide me with a contact).   </w:t>
            </w:r>
          </w:p>
          <w:p w:rsidR="00B04434" w:rsidRDefault="00B04434" w:rsidP="009D1A6B">
            <w:pPr>
              <w:jc w:val="both"/>
            </w:pPr>
          </w:p>
          <w:p w:rsidR="00B04434" w:rsidRDefault="00B04434" w:rsidP="009D1A6B">
            <w:pPr>
              <w:jc w:val="both"/>
            </w:pPr>
            <w:r w:rsidRPr="00AE4A2A">
              <w:rPr>
                <w:b/>
              </w:rPr>
              <w:t>Intentionally Homelessness Protocol</w:t>
            </w:r>
            <w:r>
              <w:t xml:space="preserve"> – </w:t>
            </w:r>
            <w:r w:rsidR="00AE4A2A">
              <w:t>Not moved forward with this currently.  Set up meeting with Early Help and Front Door at KCC, following their restructure.</w:t>
            </w:r>
          </w:p>
          <w:p w:rsidR="00AE4A2A" w:rsidRDefault="00AE4A2A" w:rsidP="009D1A6B">
            <w:pPr>
              <w:jc w:val="both"/>
            </w:pPr>
          </w:p>
          <w:p w:rsidR="00B04434" w:rsidRDefault="00AE4A2A" w:rsidP="009D1A6B">
            <w:pPr>
              <w:jc w:val="both"/>
            </w:pPr>
            <w:r w:rsidRPr="00D05950">
              <w:rPr>
                <w:b/>
              </w:rPr>
              <w:t>TA Placements Protocol</w:t>
            </w:r>
            <w:r>
              <w:t xml:space="preserve"> </w:t>
            </w:r>
            <w:r w:rsidR="007D54F8">
              <w:t>–</w:t>
            </w:r>
            <w:r>
              <w:t xml:space="preserve"> </w:t>
            </w:r>
            <w:r w:rsidR="007D54F8">
              <w:t>agreed to send out to colleagues for comment about relevance and necessity to update.</w:t>
            </w:r>
          </w:p>
          <w:p w:rsidR="00B04434" w:rsidRDefault="00B04434" w:rsidP="009D1A6B">
            <w:pPr>
              <w:jc w:val="both"/>
            </w:pPr>
          </w:p>
        </w:tc>
        <w:tc>
          <w:tcPr>
            <w:tcW w:w="878" w:type="dxa"/>
            <w:shd w:val="clear" w:color="auto" w:fill="auto"/>
          </w:tcPr>
          <w:p w:rsidR="00D03CE7" w:rsidRPr="00FF3609" w:rsidRDefault="00D03CE7" w:rsidP="00454E00">
            <w:pPr>
              <w:rPr>
                <w:b/>
              </w:rPr>
            </w:pPr>
          </w:p>
          <w:p w:rsidR="00AE4A2A" w:rsidRPr="00FF3609" w:rsidRDefault="00AE4A2A" w:rsidP="00454E00">
            <w:pPr>
              <w:rPr>
                <w:b/>
              </w:rPr>
            </w:pPr>
          </w:p>
          <w:p w:rsidR="00AE4A2A" w:rsidRPr="00FF3609" w:rsidRDefault="00AE4A2A" w:rsidP="00454E00">
            <w:pPr>
              <w:rPr>
                <w:b/>
              </w:rPr>
            </w:pPr>
          </w:p>
          <w:p w:rsidR="00AE4A2A" w:rsidRDefault="00AE4A2A" w:rsidP="00454E00">
            <w:pPr>
              <w:rPr>
                <w:b/>
              </w:rPr>
            </w:pPr>
          </w:p>
          <w:p w:rsidR="00C74F23" w:rsidRPr="00FF3609" w:rsidRDefault="00C74F23" w:rsidP="00454E00">
            <w:pPr>
              <w:rPr>
                <w:b/>
              </w:rPr>
            </w:pPr>
          </w:p>
          <w:p w:rsidR="00AE4A2A" w:rsidRPr="00FF3609" w:rsidRDefault="00C74F23" w:rsidP="00454E00">
            <w:pPr>
              <w:rPr>
                <w:b/>
              </w:rPr>
            </w:pPr>
            <w:r>
              <w:rPr>
                <w:b/>
              </w:rPr>
              <w:t>ASAP</w:t>
            </w:r>
          </w:p>
          <w:p w:rsidR="00AE4A2A" w:rsidRPr="00FF3609" w:rsidRDefault="00AE4A2A" w:rsidP="00454E00">
            <w:pPr>
              <w:rPr>
                <w:b/>
              </w:rPr>
            </w:pPr>
          </w:p>
          <w:p w:rsidR="00AE4A2A" w:rsidRPr="00FF3609" w:rsidRDefault="00AE4A2A" w:rsidP="00454E00">
            <w:pPr>
              <w:rPr>
                <w:b/>
              </w:rPr>
            </w:pPr>
          </w:p>
          <w:p w:rsidR="00AE4A2A" w:rsidRPr="00FF3609" w:rsidRDefault="00AE4A2A" w:rsidP="00454E00">
            <w:pPr>
              <w:rPr>
                <w:b/>
              </w:rPr>
            </w:pPr>
            <w:r w:rsidRPr="00FF3609">
              <w:rPr>
                <w:b/>
              </w:rPr>
              <w:t>With notes</w:t>
            </w:r>
          </w:p>
          <w:p w:rsidR="00AE4A2A" w:rsidRPr="00FF3609" w:rsidRDefault="00AE4A2A" w:rsidP="00454E00">
            <w:pPr>
              <w:rPr>
                <w:b/>
              </w:rPr>
            </w:pPr>
          </w:p>
          <w:p w:rsidR="00AE4A2A" w:rsidRPr="00FF3609" w:rsidRDefault="00AE4A2A" w:rsidP="00454E00">
            <w:pPr>
              <w:rPr>
                <w:b/>
              </w:rPr>
            </w:pPr>
            <w:r w:rsidRPr="00FF3609">
              <w:rPr>
                <w:b/>
              </w:rPr>
              <w:t>When avail</w:t>
            </w:r>
          </w:p>
          <w:p w:rsidR="007D54F8" w:rsidRDefault="007D54F8" w:rsidP="00454E00">
            <w:pPr>
              <w:rPr>
                <w:b/>
              </w:rPr>
            </w:pPr>
          </w:p>
          <w:p w:rsidR="00C74F23" w:rsidRDefault="00C74F23" w:rsidP="00454E00">
            <w:pPr>
              <w:rPr>
                <w:b/>
              </w:rPr>
            </w:pPr>
          </w:p>
          <w:p w:rsidR="00C74F23" w:rsidRDefault="00C74F23" w:rsidP="00454E00">
            <w:pPr>
              <w:rPr>
                <w:b/>
              </w:rPr>
            </w:pPr>
          </w:p>
          <w:p w:rsidR="00C74F23" w:rsidRDefault="00C74F23" w:rsidP="00454E00">
            <w:pPr>
              <w:rPr>
                <w:b/>
              </w:rPr>
            </w:pPr>
          </w:p>
          <w:p w:rsidR="00C74F23" w:rsidRDefault="00C74F23" w:rsidP="00454E00">
            <w:pPr>
              <w:rPr>
                <w:b/>
              </w:rPr>
            </w:pPr>
          </w:p>
          <w:p w:rsidR="00C74F23" w:rsidRPr="00FF3609" w:rsidRDefault="00C74F23" w:rsidP="00454E00">
            <w:pPr>
              <w:rPr>
                <w:b/>
              </w:rPr>
            </w:pPr>
          </w:p>
          <w:p w:rsidR="007D54F8" w:rsidRPr="00FF3609" w:rsidRDefault="007D54F8" w:rsidP="00454E00">
            <w:pPr>
              <w:rPr>
                <w:b/>
              </w:rPr>
            </w:pPr>
            <w:r w:rsidRPr="00FF3609">
              <w:rPr>
                <w:b/>
              </w:rPr>
              <w:t>With notes</w:t>
            </w:r>
          </w:p>
        </w:tc>
        <w:tc>
          <w:tcPr>
            <w:tcW w:w="864" w:type="dxa"/>
            <w:shd w:val="clear" w:color="auto" w:fill="auto"/>
          </w:tcPr>
          <w:p w:rsidR="00DE4FA3" w:rsidRDefault="00DE4FA3" w:rsidP="00454E00">
            <w:pPr>
              <w:rPr>
                <w:b/>
              </w:rPr>
            </w:pPr>
          </w:p>
          <w:p w:rsidR="00AE4A2A" w:rsidRDefault="00AE4A2A" w:rsidP="00454E00">
            <w:pPr>
              <w:rPr>
                <w:b/>
              </w:rPr>
            </w:pPr>
          </w:p>
          <w:p w:rsidR="00AE4A2A" w:rsidRDefault="00AE4A2A" w:rsidP="00454E00">
            <w:pPr>
              <w:rPr>
                <w:b/>
              </w:rPr>
            </w:pPr>
          </w:p>
          <w:p w:rsidR="00AE4A2A" w:rsidRDefault="00AE4A2A" w:rsidP="00454E00">
            <w:pPr>
              <w:rPr>
                <w:b/>
              </w:rPr>
            </w:pPr>
          </w:p>
          <w:p w:rsidR="00C74F23" w:rsidRDefault="00C74F23" w:rsidP="00454E00">
            <w:pPr>
              <w:rPr>
                <w:b/>
              </w:rPr>
            </w:pPr>
          </w:p>
          <w:p w:rsidR="00AE4A2A" w:rsidRDefault="00AE4A2A" w:rsidP="00454E00">
            <w:pPr>
              <w:rPr>
                <w:b/>
              </w:rPr>
            </w:pPr>
            <w:r>
              <w:rPr>
                <w:b/>
              </w:rPr>
              <w:t>RS</w:t>
            </w:r>
          </w:p>
          <w:p w:rsidR="00AE4A2A" w:rsidRDefault="00AE4A2A" w:rsidP="00454E00">
            <w:pPr>
              <w:rPr>
                <w:b/>
              </w:rPr>
            </w:pPr>
          </w:p>
          <w:p w:rsidR="00AE4A2A" w:rsidRDefault="00AE4A2A" w:rsidP="00454E00">
            <w:pPr>
              <w:rPr>
                <w:b/>
              </w:rPr>
            </w:pPr>
          </w:p>
          <w:p w:rsidR="00AE4A2A" w:rsidRDefault="00AE4A2A" w:rsidP="00454E00">
            <w:pPr>
              <w:rPr>
                <w:b/>
              </w:rPr>
            </w:pPr>
            <w:r>
              <w:rPr>
                <w:b/>
              </w:rPr>
              <w:t>RS</w:t>
            </w:r>
          </w:p>
          <w:p w:rsidR="00AE4A2A" w:rsidRDefault="00AE4A2A" w:rsidP="00454E00">
            <w:pPr>
              <w:rPr>
                <w:b/>
              </w:rPr>
            </w:pPr>
          </w:p>
          <w:p w:rsidR="00AE4A2A" w:rsidRDefault="00AE4A2A" w:rsidP="00454E00">
            <w:pPr>
              <w:rPr>
                <w:b/>
              </w:rPr>
            </w:pPr>
          </w:p>
          <w:p w:rsidR="00AE4A2A" w:rsidRDefault="00AE4A2A" w:rsidP="00454E00">
            <w:pPr>
              <w:rPr>
                <w:b/>
              </w:rPr>
            </w:pPr>
            <w:r>
              <w:rPr>
                <w:b/>
              </w:rPr>
              <w:t>RS/ MG</w:t>
            </w:r>
          </w:p>
          <w:p w:rsidR="00AE4A2A" w:rsidRDefault="00AE4A2A" w:rsidP="00454E00">
            <w:pPr>
              <w:rPr>
                <w:b/>
              </w:rPr>
            </w:pPr>
          </w:p>
          <w:p w:rsidR="00AE4A2A" w:rsidRDefault="00AE4A2A" w:rsidP="00454E00">
            <w:pPr>
              <w:rPr>
                <w:b/>
              </w:rPr>
            </w:pPr>
          </w:p>
          <w:p w:rsidR="00AE4A2A" w:rsidRDefault="00AE4A2A" w:rsidP="00454E00">
            <w:pPr>
              <w:rPr>
                <w:b/>
              </w:rPr>
            </w:pPr>
          </w:p>
          <w:p w:rsidR="00AE4A2A" w:rsidRDefault="007D54F8" w:rsidP="00454E00">
            <w:pPr>
              <w:rPr>
                <w:b/>
              </w:rPr>
            </w:pPr>
            <w:r>
              <w:rPr>
                <w:b/>
              </w:rPr>
              <w:t>MG/SC /RS</w:t>
            </w:r>
          </w:p>
          <w:p w:rsidR="007D54F8" w:rsidRDefault="007D54F8" w:rsidP="00454E00">
            <w:pPr>
              <w:rPr>
                <w:b/>
              </w:rPr>
            </w:pPr>
          </w:p>
          <w:p w:rsidR="007D54F8" w:rsidRDefault="007D54F8" w:rsidP="00454E00">
            <w:pPr>
              <w:rPr>
                <w:b/>
              </w:rPr>
            </w:pPr>
            <w:r>
              <w:rPr>
                <w:b/>
              </w:rPr>
              <w:t>RS</w:t>
            </w:r>
          </w:p>
          <w:p w:rsidR="007D54F8" w:rsidRPr="007F161E" w:rsidRDefault="007D54F8" w:rsidP="00454E00">
            <w:pPr>
              <w:rPr>
                <w:b/>
              </w:rPr>
            </w:pPr>
          </w:p>
        </w:tc>
        <w:tc>
          <w:tcPr>
            <w:tcW w:w="3219" w:type="dxa"/>
            <w:shd w:val="clear" w:color="auto" w:fill="auto"/>
          </w:tcPr>
          <w:p w:rsidR="008D5CB1" w:rsidRPr="00FF3609" w:rsidRDefault="008D5CB1" w:rsidP="00AC2608">
            <w:pPr>
              <w:jc w:val="both"/>
              <w:rPr>
                <w:b/>
              </w:rPr>
            </w:pPr>
          </w:p>
          <w:p w:rsidR="005A24BF" w:rsidRPr="00FF3609" w:rsidRDefault="005A24BF" w:rsidP="00AC2608">
            <w:pPr>
              <w:jc w:val="both"/>
              <w:rPr>
                <w:b/>
              </w:rPr>
            </w:pPr>
          </w:p>
          <w:p w:rsidR="00AE4A2A" w:rsidRPr="00FF3609" w:rsidRDefault="00AE4A2A" w:rsidP="00AC2608">
            <w:pPr>
              <w:jc w:val="both"/>
              <w:rPr>
                <w:b/>
              </w:rPr>
            </w:pPr>
          </w:p>
          <w:p w:rsidR="00AE4A2A" w:rsidRDefault="00AE4A2A" w:rsidP="00AC2608">
            <w:pPr>
              <w:jc w:val="both"/>
              <w:rPr>
                <w:b/>
              </w:rPr>
            </w:pPr>
          </w:p>
          <w:p w:rsidR="00C74F23" w:rsidRPr="00FF3609" w:rsidRDefault="00C74F23" w:rsidP="00AC2608">
            <w:pPr>
              <w:jc w:val="both"/>
              <w:rPr>
                <w:b/>
              </w:rPr>
            </w:pPr>
          </w:p>
          <w:p w:rsidR="005A24BF" w:rsidRPr="00FF3609" w:rsidRDefault="00AE4A2A" w:rsidP="00AC2608">
            <w:pPr>
              <w:jc w:val="both"/>
              <w:rPr>
                <w:b/>
              </w:rPr>
            </w:pPr>
            <w:r w:rsidRPr="00FF3609">
              <w:rPr>
                <w:b/>
              </w:rPr>
              <w:t>RS to publish on website</w:t>
            </w:r>
          </w:p>
          <w:p w:rsidR="005A24BF" w:rsidRPr="00FF3609" w:rsidRDefault="005A24BF" w:rsidP="00AC2608">
            <w:pPr>
              <w:jc w:val="both"/>
              <w:rPr>
                <w:b/>
              </w:rPr>
            </w:pPr>
          </w:p>
          <w:p w:rsidR="005A24BF" w:rsidRPr="00FF3609" w:rsidRDefault="005A24BF" w:rsidP="00AC2608">
            <w:pPr>
              <w:jc w:val="both"/>
              <w:rPr>
                <w:b/>
              </w:rPr>
            </w:pPr>
          </w:p>
          <w:p w:rsidR="005A24BF" w:rsidRPr="00FF3609" w:rsidRDefault="005A24BF" w:rsidP="00AC2608">
            <w:pPr>
              <w:jc w:val="both"/>
              <w:rPr>
                <w:b/>
              </w:rPr>
            </w:pPr>
            <w:r w:rsidRPr="00FF3609">
              <w:rPr>
                <w:b/>
              </w:rPr>
              <w:t xml:space="preserve">RS to share final draft </w:t>
            </w:r>
          </w:p>
          <w:p w:rsidR="00AE4A2A" w:rsidRPr="00FF3609" w:rsidRDefault="00AE4A2A" w:rsidP="00AC2608">
            <w:pPr>
              <w:jc w:val="both"/>
              <w:rPr>
                <w:b/>
              </w:rPr>
            </w:pPr>
          </w:p>
          <w:p w:rsidR="00AE4A2A" w:rsidRPr="00FF3609" w:rsidRDefault="00AE4A2A" w:rsidP="00AC2608">
            <w:pPr>
              <w:jc w:val="both"/>
              <w:rPr>
                <w:b/>
              </w:rPr>
            </w:pPr>
          </w:p>
          <w:p w:rsidR="00AE4A2A" w:rsidRPr="00FF3609" w:rsidRDefault="00AE4A2A" w:rsidP="00AC2608">
            <w:pPr>
              <w:jc w:val="both"/>
              <w:rPr>
                <w:b/>
              </w:rPr>
            </w:pPr>
            <w:r w:rsidRPr="00FF3609">
              <w:rPr>
                <w:b/>
              </w:rPr>
              <w:t>Agreed to park the Pre Eviction Protocol and talk through as part of the planned session discussed.  RS to feedback to NMSG</w:t>
            </w:r>
          </w:p>
          <w:p w:rsidR="00D05950" w:rsidRPr="00FF3609" w:rsidRDefault="00D05950" w:rsidP="00AC2608">
            <w:pPr>
              <w:jc w:val="both"/>
              <w:rPr>
                <w:b/>
              </w:rPr>
            </w:pPr>
          </w:p>
          <w:p w:rsidR="00D05950" w:rsidRPr="00FF3609" w:rsidRDefault="00D05950" w:rsidP="00AC2608">
            <w:pPr>
              <w:jc w:val="both"/>
              <w:rPr>
                <w:b/>
              </w:rPr>
            </w:pPr>
            <w:r w:rsidRPr="00FF3609">
              <w:rPr>
                <w:b/>
              </w:rPr>
              <w:t>RS to contact EH and FD at KCC to set up date (post Easter)</w:t>
            </w:r>
          </w:p>
          <w:p w:rsidR="00D05950" w:rsidRPr="00FF3609" w:rsidRDefault="00D05950" w:rsidP="00AC2608">
            <w:pPr>
              <w:jc w:val="both"/>
              <w:rPr>
                <w:b/>
              </w:rPr>
            </w:pPr>
          </w:p>
          <w:p w:rsidR="00D05950" w:rsidRPr="00FF3609" w:rsidRDefault="00D05950" w:rsidP="00AC2608">
            <w:pPr>
              <w:jc w:val="both"/>
              <w:rPr>
                <w:b/>
              </w:rPr>
            </w:pPr>
            <w:r w:rsidRPr="00FF3609">
              <w:rPr>
                <w:b/>
              </w:rPr>
              <w:t>RS to share current version of protocol for comment</w:t>
            </w:r>
          </w:p>
        </w:tc>
      </w:tr>
      <w:tr w:rsidR="00D03CE7" w:rsidRPr="00745BAC" w:rsidTr="000229FA">
        <w:tc>
          <w:tcPr>
            <w:tcW w:w="1872" w:type="dxa"/>
          </w:tcPr>
          <w:p w:rsidR="00D03CE7" w:rsidRDefault="00B04434" w:rsidP="00F91C30">
            <w:pPr>
              <w:rPr>
                <w:b/>
              </w:rPr>
            </w:pPr>
            <w:r>
              <w:rPr>
                <w:b/>
              </w:rPr>
              <w:t>Senior Housing Officers Meeting</w:t>
            </w:r>
          </w:p>
        </w:tc>
        <w:tc>
          <w:tcPr>
            <w:tcW w:w="8647" w:type="dxa"/>
            <w:shd w:val="clear" w:color="auto" w:fill="auto"/>
          </w:tcPr>
          <w:p w:rsidR="00D03CE7" w:rsidRDefault="007D54F8" w:rsidP="007E40FA">
            <w:pPr>
              <w:jc w:val="both"/>
            </w:pPr>
            <w:r>
              <w:t>PM feedback on the meeting that took place on 3</w:t>
            </w:r>
            <w:r w:rsidRPr="007D54F8">
              <w:rPr>
                <w:vertAlign w:val="superscript"/>
              </w:rPr>
              <w:t>rd</w:t>
            </w:r>
            <w:r>
              <w:t xml:space="preserve"> April.  Attendance from most LA’s and Porchlight and Look Ahead also attended.  It was a useful meeting and informative with positive feedback from those who attended.  This group will meet quarterly and the next meeting will be hosted in Thanet.  Contact details shared and work place shadowing arrangements have been made.</w:t>
            </w:r>
          </w:p>
          <w:p w:rsidR="007D54F8" w:rsidRDefault="007D54F8" w:rsidP="006668AE"/>
        </w:tc>
        <w:tc>
          <w:tcPr>
            <w:tcW w:w="878" w:type="dxa"/>
            <w:shd w:val="clear" w:color="auto" w:fill="auto"/>
          </w:tcPr>
          <w:p w:rsidR="00D03CE7" w:rsidRPr="00FF3609" w:rsidRDefault="00D03CE7" w:rsidP="00454E00">
            <w:pPr>
              <w:rPr>
                <w:b/>
              </w:rPr>
            </w:pPr>
          </w:p>
        </w:tc>
        <w:tc>
          <w:tcPr>
            <w:tcW w:w="864" w:type="dxa"/>
            <w:shd w:val="clear" w:color="auto" w:fill="auto"/>
          </w:tcPr>
          <w:p w:rsidR="00863DD0" w:rsidRPr="007F161E" w:rsidRDefault="00863DD0" w:rsidP="00454E00">
            <w:pPr>
              <w:rPr>
                <w:b/>
              </w:rPr>
            </w:pPr>
          </w:p>
        </w:tc>
        <w:tc>
          <w:tcPr>
            <w:tcW w:w="3219" w:type="dxa"/>
            <w:shd w:val="clear" w:color="auto" w:fill="auto"/>
          </w:tcPr>
          <w:p w:rsidR="00863DD0" w:rsidRPr="00FF3609" w:rsidRDefault="007D54F8" w:rsidP="00863DD0">
            <w:pPr>
              <w:rPr>
                <w:b/>
              </w:rPr>
            </w:pPr>
            <w:r w:rsidRPr="00FF3609">
              <w:rPr>
                <w:b/>
              </w:rPr>
              <w:t>PM has shared meeting notes and presentations.</w:t>
            </w:r>
          </w:p>
        </w:tc>
      </w:tr>
      <w:tr w:rsidR="00D03CE7" w:rsidRPr="00745BAC" w:rsidTr="000229FA">
        <w:tc>
          <w:tcPr>
            <w:tcW w:w="1872" w:type="dxa"/>
          </w:tcPr>
          <w:p w:rsidR="00F91C30" w:rsidRPr="00734299" w:rsidRDefault="00F91C30" w:rsidP="00F91C30">
            <w:pPr>
              <w:rPr>
                <w:rFonts w:ascii="Verdana" w:hAnsi="Verdana"/>
                <w:b/>
                <w:sz w:val="18"/>
                <w:szCs w:val="18"/>
              </w:rPr>
            </w:pPr>
            <w:r w:rsidRPr="00734299">
              <w:rPr>
                <w:rFonts w:ascii="Verdana" w:hAnsi="Verdana"/>
                <w:b/>
                <w:sz w:val="18"/>
                <w:szCs w:val="18"/>
              </w:rPr>
              <w:t xml:space="preserve">Standing Items for Discussion – </w:t>
            </w:r>
          </w:p>
          <w:p w:rsidR="00F91C30" w:rsidRPr="00734299" w:rsidRDefault="00F91C30" w:rsidP="000229FA">
            <w:pPr>
              <w:rPr>
                <w:rFonts w:ascii="Verdana" w:hAnsi="Verdana"/>
                <w:b/>
                <w:sz w:val="18"/>
                <w:szCs w:val="18"/>
              </w:rPr>
            </w:pPr>
          </w:p>
          <w:p w:rsidR="00D03CE7" w:rsidRDefault="00D03CE7" w:rsidP="00F91C30">
            <w:pPr>
              <w:rPr>
                <w:b/>
              </w:rPr>
            </w:pPr>
          </w:p>
        </w:tc>
        <w:tc>
          <w:tcPr>
            <w:tcW w:w="8647" w:type="dxa"/>
            <w:shd w:val="clear" w:color="auto" w:fill="auto"/>
          </w:tcPr>
          <w:p w:rsidR="00B04434" w:rsidRDefault="00B04434" w:rsidP="004A51A4">
            <w:r>
              <w:t>Training Opportunities –</w:t>
            </w:r>
            <w:r w:rsidR="00EE7367">
              <w:t xml:space="preserve"> </w:t>
            </w:r>
            <w:r w:rsidR="00EE7367" w:rsidRPr="00EE7367">
              <w:t>Homelessness Link Training, RS advised of the costing f</w:t>
            </w:r>
            <w:r w:rsidR="00EE7367">
              <w:t>or this training.  It was agreed to consider Shelter as a provider or Mark Pritchard (get contact details from MD).  Agreed to set up letter writing training through Mark Pritchard for West of county as F&amp;HDC have got a session planned and can offer out spaces.</w:t>
            </w:r>
          </w:p>
          <w:p w:rsidR="00EE7367" w:rsidRDefault="00EE7367" w:rsidP="004A51A4"/>
        </w:tc>
        <w:tc>
          <w:tcPr>
            <w:tcW w:w="878" w:type="dxa"/>
            <w:shd w:val="clear" w:color="auto" w:fill="auto"/>
          </w:tcPr>
          <w:p w:rsidR="00D03CE7" w:rsidRDefault="00D03CE7" w:rsidP="00454E00">
            <w:pPr>
              <w:rPr>
                <w:b/>
              </w:rPr>
            </w:pPr>
          </w:p>
          <w:p w:rsidR="00EE7367" w:rsidRDefault="00EE7367" w:rsidP="00454E00">
            <w:pPr>
              <w:rPr>
                <w:b/>
              </w:rPr>
            </w:pPr>
          </w:p>
          <w:p w:rsidR="00EE7367" w:rsidRPr="00FF3609" w:rsidRDefault="00EE7367" w:rsidP="00454E00">
            <w:pPr>
              <w:rPr>
                <w:b/>
              </w:rPr>
            </w:pPr>
          </w:p>
        </w:tc>
        <w:tc>
          <w:tcPr>
            <w:tcW w:w="864" w:type="dxa"/>
            <w:shd w:val="clear" w:color="auto" w:fill="auto"/>
          </w:tcPr>
          <w:p w:rsidR="00B553B4" w:rsidRPr="007F161E" w:rsidRDefault="00B553B4" w:rsidP="00454E00">
            <w:pPr>
              <w:rPr>
                <w:b/>
              </w:rPr>
            </w:pPr>
          </w:p>
        </w:tc>
        <w:tc>
          <w:tcPr>
            <w:tcW w:w="3219" w:type="dxa"/>
            <w:shd w:val="clear" w:color="auto" w:fill="auto"/>
          </w:tcPr>
          <w:p w:rsidR="00EE7367" w:rsidRPr="00FF3609" w:rsidRDefault="00EE7367" w:rsidP="00B553B4">
            <w:pPr>
              <w:jc w:val="both"/>
              <w:rPr>
                <w:b/>
              </w:rPr>
            </w:pPr>
            <w:r>
              <w:rPr>
                <w:b/>
              </w:rPr>
              <w:t>RS to contact Shelter, Mark Pritchard (letter writing) and also RW about any recommendations for motivational training</w:t>
            </w:r>
          </w:p>
        </w:tc>
      </w:tr>
      <w:tr w:rsidR="000C31B1" w:rsidRPr="00745BAC" w:rsidTr="000229FA">
        <w:tc>
          <w:tcPr>
            <w:tcW w:w="1872" w:type="dxa"/>
          </w:tcPr>
          <w:p w:rsidR="000C31B1" w:rsidRPr="00734299" w:rsidRDefault="00F91C30" w:rsidP="000C31B1">
            <w:pPr>
              <w:rPr>
                <w:b/>
              </w:rPr>
            </w:pPr>
            <w:r w:rsidRPr="00734299">
              <w:rPr>
                <w:rFonts w:ascii="Verdana" w:hAnsi="Verdana"/>
                <w:b/>
                <w:sz w:val="18"/>
                <w:szCs w:val="18"/>
              </w:rPr>
              <w:t>AOB</w:t>
            </w:r>
          </w:p>
        </w:tc>
        <w:tc>
          <w:tcPr>
            <w:tcW w:w="8647" w:type="dxa"/>
            <w:shd w:val="clear" w:color="auto" w:fill="auto"/>
          </w:tcPr>
          <w:p w:rsidR="008F3A2A" w:rsidRDefault="00B04434" w:rsidP="007E40FA">
            <w:pPr>
              <w:pStyle w:val="gmail-msonormal"/>
              <w:jc w:val="both"/>
              <w:rPr>
                <w:rFonts w:asciiTheme="minorHAnsi" w:hAnsiTheme="minorHAnsi" w:cs="Arial"/>
                <w:sz w:val="22"/>
                <w:szCs w:val="22"/>
              </w:rPr>
            </w:pPr>
            <w:r>
              <w:rPr>
                <w:rFonts w:asciiTheme="minorHAnsi" w:hAnsiTheme="minorHAnsi" w:cs="Arial"/>
                <w:sz w:val="22"/>
                <w:szCs w:val="22"/>
              </w:rPr>
              <w:t xml:space="preserve">Credit Unions / Jam Jar Accounts – </w:t>
            </w:r>
            <w:r w:rsidR="007D54F8">
              <w:rPr>
                <w:rFonts w:asciiTheme="minorHAnsi" w:hAnsiTheme="minorHAnsi" w:cs="Arial"/>
                <w:sz w:val="22"/>
                <w:szCs w:val="22"/>
              </w:rPr>
              <w:t xml:space="preserve">raised by KPSHG about whether districts are supporting or advising the use of Jam Jar accounts and credit unions through prevention work etc?  </w:t>
            </w:r>
            <w:r w:rsidR="004E4484">
              <w:rPr>
                <w:rFonts w:asciiTheme="minorHAnsi" w:hAnsiTheme="minorHAnsi" w:cs="Arial"/>
                <w:sz w:val="22"/>
                <w:szCs w:val="22"/>
              </w:rPr>
              <w:t xml:space="preserve">  The use and referrals are mixed.</w:t>
            </w:r>
          </w:p>
          <w:p w:rsidR="00B04434" w:rsidRDefault="00B04434" w:rsidP="007E40FA">
            <w:pPr>
              <w:pStyle w:val="gmail-msonormal"/>
              <w:jc w:val="both"/>
              <w:rPr>
                <w:rFonts w:asciiTheme="minorHAnsi" w:hAnsiTheme="minorHAnsi" w:cs="Arial"/>
                <w:sz w:val="22"/>
                <w:szCs w:val="22"/>
              </w:rPr>
            </w:pPr>
            <w:r>
              <w:rPr>
                <w:rFonts w:asciiTheme="minorHAnsi" w:hAnsiTheme="minorHAnsi" w:cs="Arial"/>
                <w:sz w:val="22"/>
                <w:szCs w:val="22"/>
              </w:rPr>
              <w:t>RS also raised the Homelessness Sessio</w:t>
            </w:r>
            <w:r w:rsidR="007D54F8">
              <w:rPr>
                <w:rFonts w:asciiTheme="minorHAnsi" w:hAnsiTheme="minorHAnsi" w:cs="Arial"/>
                <w:sz w:val="22"/>
                <w:szCs w:val="22"/>
              </w:rPr>
              <w:t>n that KHG are planning for mid-</w:t>
            </w:r>
            <w:r>
              <w:rPr>
                <w:rFonts w:asciiTheme="minorHAnsi" w:hAnsiTheme="minorHAnsi" w:cs="Arial"/>
                <w:sz w:val="22"/>
                <w:szCs w:val="22"/>
              </w:rPr>
              <w:t xml:space="preserve">July, with Threshold attending to share good practice about Housing First and Crisis to speak about their Ending Homelessness Campaign.  </w:t>
            </w:r>
            <w:r w:rsidR="007D54F8">
              <w:rPr>
                <w:rFonts w:asciiTheme="minorHAnsi" w:hAnsiTheme="minorHAnsi" w:cs="Arial"/>
                <w:sz w:val="22"/>
                <w:szCs w:val="22"/>
              </w:rPr>
              <w:t>Details about the event will be shared when available.</w:t>
            </w:r>
          </w:p>
          <w:p w:rsidR="00B04434" w:rsidRDefault="00624D0E" w:rsidP="00EE7367">
            <w:pPr>
              <w:pStyle w:val="gmail-msonormal"/>
              <w:jc w:val="both"/>
              <w:rPr>
                <w:rFonts w:asciiTheme="minorHAnsi" w:hAnsiTheme="minorHAnsi" w:cs="Arial"/>
                <w:sz w:val="22"/>
                <w:szCs w:val="22"/>
              </w:rPr>
            </w:pPr>
            <w:r>
              <w:rPr>
                <w:rFonts w:asciiTheme="minorHAnsi" w:hAnsiTheme="minorHAnsi" w:cs="Arial"/>
                <w:sz w:val="22"/>
                <w:szCs w:val="22"/>
              </w:rPr>
              <w:t xml:space="preserve">MG advised that there are a lot of discussions about HRA one year one, for example there is a working group to feed in to the Spending Review and what is working and what isn’t and the administrative burden on districts.    Joint assessment and shared assessments are examples of good practice, co-location working well, recruitment of staff is difficult.  </w:t>
            </w:r>
            <w:r w:rsidR="00FF3609">
              <w:rPr>
                <w:rFonts w:asciiTheme="minorHAnsi" w:hAnsiTheme="minorHAnsi" w:cs="Arial"/>
                <w:sz w:val="22"/>
                <w:szCs w:val="22"/>
              </w:rPr>
              <w:t xml:space="preserve">  Advice from Andy Gale at recent conference useful, to be shared via presentation.</w:t>
            </w:r>
          </w:p>
          <w:p w:rsidR="00EE7367" w:rsidRDefault="004E4484" w:rsidP="00EE7367">
            <w:pPr>
              <w:pStyle w:val="gmail-msonormal"/>
              <w:jc w:val="both"/>
              <w:rPr>
                <w:rFonts w:asciiTheme="minorHAnsi" w:hAnsiTheme="minorHAnsi" w:cs="Arial"/>
                <w:sz w:val="22"/>
                <w:szCs w:val="22"/>
              </w:rPr>
            </w:pPr>
            <w:r>
              <w:rPr>
                <w:rFonts w:asciiTheme="minorHAnsi" w:hAnsiTheme="minorHAnsi" w:cs="Arial"/>
                <w:sz w:val="22"/>
                <w:szCs w:val="22"/>
              </w:rPr>
              <w:t>ET advised that a colleague at Dover has been attending a course that is useful (Grant and Turn to Us) – ET to share link as has local and national information.</w:t>
            </w:r>
          </w:p>
          <w:p w:rsidR="004E4484" w:rsidRDefault="004E4484" w:rsidP="004E4484">
            <w:pPr>
              <w:pStyle w:val="gmail-msonormal"/>
              <w:jc w:val="both"/>
              <w:rPr>
                <w:rFonts w:asciiTheme="minorHAnsi" w:hAnsiTheme="minorHAnsi" w:cs="Arial"/>
                <w:sz w:val="22"/>
                <w:szCs w:val="22"/>
              </w:rPr>
            </w:pPr>
            <w:r>
              <w:rPr>
                <w:rFonts w:asciiTheme="minorHAnsi" w:hAnsiTheme="minorHAnsi" w:cs="Arial"/>
                <w:sz w:val="22"/>
                <w:szCs w:val="22"/>
              </w:rPr>
              <w:t xml:space="preserve">TCHG have advised recently at a meeting that they will not house single individuals on UC.  </w:t>
            </w:r>
          </w:p>
          <w:p w:rsidR="004E4484" w:rsidRDefault="004E4484" w:rsidP="004E4484">
            <w:pPr>
              <w:pStyle w:val="gmail-msonormal"/>
              <w:jc w:val="both"/>
              <w:rPr>
                <w:rFonts w:asciiTheme="minorHAnsi" w:hAnsiTheme="minorHAnsi" w:cs="Arial"/>
                <w:sz w:val="22"/>
                <w:szCs w:val="22"/>
              </w:rPr>
            </w:pPr>
            <w:r>
              <w:rPr>
                <w:rFonts w:asciiTheme="minorHAnsi" w:hAnsiTheme="minorHAnsi" w:cs="Arial"/>
                <w:sz w:val="22"/>
                <w:szCs w:val="22"/>
              </w:rPr>
              <w:t>TA Policy for out of area placements – if you place out of borough and you don’t have a policy to refer to then you can be challenged.  (Brent Case Law at end of 2018).</w:t>
            </w:r>
          </w:p>
          <w:p w:rsidR="004E4484" w:rsidRDefault="004E4484" w:rsidP="004E4484">
            <w:pPr>
              <w:pStyle w:val="gmail-msonormal"/>
              <w:jc w:val="both"/>
              <w:rPr>
                <w:rFonts w:asciiTheme="minorHAnsi" w:hAnsiTheme="minorHAnsi" w:cs="Arial"/>
                <w:sz w:val="22"/>
                <w:szCs w:val="22"/>
              </w:rPr>
            </w:pPr>
            <w:r>
              <w:rPr>
                <w:rFonts w:asciiTheme="minorHAnsi" w:hAnsiTheme="minorHAnsi" w:cs="Arial"/>
                <w:sz w:val="22"/>
                <w:szCs w:val="22"/>
              </w:rPr>
              <w:t>PM raised issue about properties and conversion opportunities in the County, as has been approached by a company.  MG advised to approach with caution.</w:t>
            </w:r>
          </w:p>
          <w:p w:rsidR="00A93007" w:rsidRDefault="00A93007" w:rsidP="004E4484">
            <w:pPr>
              <w:pStyle w:val="gmail-msonormal"/>
              <w:jc w:val="both"/>
              <w:rPr>
                <w:rFonts w:asciiTheme="minorHAnsi" w:hAnsiTheme="minorHAnsi" w:cs="Arial"/>
                <w:sz w:val="22"/>
                <w:szCs w:val="22"/>
              </w:rPr>
            </w:pPr>
            <w:r>
              <w:rPr>
                <w:rFonts w:asciiTheme="minorHAnsi" w:hAnsiTheme="minorHAnsi" w:cs="Arial"/>
                <w:sz w:val="22"/>
                <w:szCs w:val="22"/>
              </w:rPr>
              <w:t>SC advised that an email sent from Housing Partners yesterday is a phishing email so please delete.</w:t>
            </w:r>
          </w:p>
          <w:p w:rsidR="004E4484" w:rsidRPr="004E4484" w:rsidRDefault="004E4484" w:rsidP="004E4484">
            <w:pPr>
              <w:pStyle w:val="gmail-msonormal"/>
              <w:jc w:val="both"/>
              <w:rPr>
                <w:rFonts w:asciiTheme="minorHAnsi" w:hAnsiTheme="minorHAnsi" w:cs="Arial"/>
                <w:sz w:val="2"/>
                <w:szCs w:val="22"/>
              </w:rPr>
            </w:pPr>
          </w:p>
        </w:tc>
        <w:tc>
          <w:tcPr>
            <w:tcW w:w="878" w:type="dxa"/>
            <w:shd w:val="clear" w:color="auto" w:fill="auto"/>
          </w:tcPr>
          <w:p w:rsidR="000C31B1" w:rsidRDefault="000C31B1"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9E25A6" w:rsidRDefault="009E25A6" w:rsidP="000C31B1">
            <w:pPr>
              <w:rPr>
                <w:b/>
              </w:rPr>
            </w:pPr>
          </w:p>
          <w:p w:rsidR="00FF3609" w:rsidRDefault="00FF3609" w:rsidP="000C31B1">
            <w:pPr>
              <w:rPr>
                <w:b/>
              </w:rPr>
            </w:pPr>
            <w:r>
              <w:rPr>
                <w:b/>
              </w:rPr>
              <w:t>ASAP</w:t>
            </w:r>
          </w:p>
          <w:p w:rsidR="004E4484" w:rsidRDefault="004E4484" w:rsidP="000C31B1">
            <w:pPr>
              <w:rPr>
                <w:b/>
              </w:rPr>
            </w:pPr>
          </w:p>
          <w:p w:rsidR="004E4484" w:rsidRDefault="004E4484" w:rsidP="000C31B1">
            <w:pPr>
              <w:rPr>
                <w:b/>
              </w:rPr>
            </w:pPr>
          </w:p>
          <w:p w:rsidR="004E4484" w:rsidRDefault="004E4484" w:rsidP="000C31B1">
            <w:pPr>
              <w:rPr>
                <w:b/>
              </w:rPr>
            </w:pPr>
          </w:p>
          <w:p w:rsidR="004E4484" w:rsidRPr="00FF3609" w:rsidRDefault="004E4484" w:rsidP="000C31B1">
            <w:pPr>
              <w:rPr>
                <w:b/>
              </w:rPr>
            </w:pPr>
            <w:r>
              <w:rPr>
                <w:b/>
              </w:rPr>
              <w:t>When avail</w:t>
            </w:r>
          </w:p>
        </w:tc>
        <w:tc>
          <w:tcPr>
            <w:tcW w:w="864" w:type="dxa"/>
            <w:shd w:val="clear" w:color="auto" w:fill="auto"/>
          </w:tcPr>
          <w:p w:rsidR="000C31B1" w:rsidRDefault="000C31B1" w:rsidP="000C31B1"/>
          <w:p w:rsidR="00FF3609" w:rsidRDefault="00FF3609" w:rsidP="000C31B1"/>
          <w:p w:rsidR="00FF3609" w:rsidRDefault="00FF3609" w:rsidP="000C31B1"/>
          <w:p w:rsidR="00FF3609" w:rsidRDefault="00FF3609" w:rsidP="000C31B1"/>
          <w:p w:rsidR="00FF3609" w:rsidRDefault="00FF3609" w:rsidP="000C31B1"/>
          <w:p w:rsidR="00FF3609" w:rsidRDefault="00FF3609" w:rsidP="000C31B1"/>
          <w:p w:rsidR="00FF3609" w:rsidRDefault="00FF3609" w:rsidP="000C31B1"/>
          <w:p w:rsidR="00FF3609" w:rsidRDefault="00FF3609" w:rsidP="000C31B1"/>
          <w:p w:rsidR="00FF3609" w:rsidRDefault="00FF3609" w:rsidP="000C31B1"/>
          <w:p w:rsidR="00FF3609" w:rsidRDefault="00FF3609" w:rsidP="000C31B1"/>
          <w:p w:rsidR="00FF3609" w:rsidRDefault="00FF3609" w:rsidP="000C31B1">
            <w:pPr>
              <w:rPr>
                <w:b/>
              </w:rPr>
            </w:pPr>
            <w:r w:rsidRPr="00FF3609">
              <w:rPr>
                <w:b/>
              </w:rPr>
              <w:t>ET</w:t>
            </w:r>
          </w:p>
          <w:p w:rsidR="004E4484" w:rsidRDefault="004E4484" w:rsidP="000C31B1">
            <w:pPr>
              <w:rPr>
                <w:b/>
              </w:rPr>
            </w:pPr>
          </w:p>
          <w:p w:rsidR="004E4484" w:rsidRDefault="004E4484" w:rsidP="000C31B1">
            <w:pPr>
              <w:rPr>
                <w:b/>
              </w:rPr>
            </w:pPr>
          </w:p>
          <w:p w:rsidR="004E4484" w:rsidRDefault="004E4484" w:rsidP="000C31B1">
            <w:pPr>
              <w:rPr>
                <w:b/>
              </w:rPr>
            </w:pPr>
          </w:p>
          <w:p w:rsidR="004E4484" w:rsidRPr="00FF3609" w:rsidRDefault="004E4484" w:rsidP="000C31B1">
            <w:pPr>
              <w:rPr>
                <w:b/>
              </w:rPr>
            </w:pPr>
            <w:r>
              <w:rPr>
                <w:b/>
              </w:rPr>
              <w:t>ET</w:t>
            </w:r>
          </w:p>
        </w:tc>
        <w:tc>
          <w:tcPr>
            <w:tcW w:w="3219" w:type="dxa"/>
            <w:shd w:val="clear" w:color="auto" w:fill="auto"/>
          </w:tcPr>
          <w:p w:rsidR="004A51A4" w:rsidRDefault="004A51A4"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p>
          <w:p w:rsidR="00FF3609" w:rsidRDefault="00FF3609" w:rsidP="000C31B1">
            <w:pPr>
              <w:rPr>
                <w:b/>
              </w:rPr>
            </w:pPr>
            <w:r>
              <w:rPr>
                <w:b/>
              </w:rPr>
              <w:t>ET to share AG presentation via RS</w:t>
            </w:r>
          </w:p>
          <w:p w:rsidR="004E4484" w:rsidRDefault="004E4484" w:rsidP="000C31B1">
            <w:pPr>
              <w:rPr>
                <w:b/>
              </w:rPr>
            </w:pPr>
          </w:p>
          <w:p w:rsidR="004E4484" w:rsidRDefault="004E4484" w:rsidP="000C31B1">
            <w:pPr>
              <w:rPr>
                <w:b/>
              </w:rPr>
            </w:pPr>
          </w:p>
          <w:p w:rsidR="004E4484" w:rsidRPr="00FF3609" w:rsidRDefault="004E4484" w:rsidP="000C31B1">
            <w:pPr>
              <w:rPr>
                <w:b/>
              </w:rPr>
            </w:pPr>
            <w:r>
              <w:rPr>
                <w:b/>
              </w:rPr>
              <w:t>To share links with RS for circulation</w:t>
            </w:r>
          </w:p>
        </w:tc>
      </w:tr>
      <w:tr w:rsidR="000C31B1" w:rsidRPr="00745BAC" w:rsidTr="000229FA">
        <w:tc>
          <w:tcPr>
            <w:tcW w:w="1872" w:type="dxa"/>
          </w:tcPr>
          <w:p w:rsidR="000C31B1" w:rsidRDefault="000C31B1" w:rsidP="000C31B1">
            <w:pPr>
              <w:rPr>
                <w:b/>
              </w:rPr>
            </w:pPr>
            <w:r>
              <w:rPr>
                <w:b/>
              </w:rPr>
              <w:t>Next Meeting</w:t>
            </w:r>
          </w:p>
        </w:tc>
        <w:tc>
          <w:tcPr>
            <w:tcW w:w="8647" w:type="dxa"/>
            <w:shd w:val="clear" w:color="auto" w:fill="auto"/>
          </w:tcPr>
          <w:p w:rsidR="000C31B1" w:rsidRPr="00C166F9" w:rsidRDefault="000C31B1" w:rsidP="000229FA">
            <w:r>
              <w:t xml:space="preserve">LA only </w:t>
            </w:r>
            <w:r w:rsidR="000229FA" w:rsidRPr="000229FA">
              <w:rPr>
                <w:b/>
              </w:rPr>
              <w:t>13</w:t>
            </w:r>
            <w:r w:rsidR="000229FA" w:rsidRPr="000229FA">
              <w:rPr>
                <w:b/>
                <w:vertAlign w:val="superscript"/>
              </w:rPr>
              <w:t>th</w:t>
            </w:r>
            <w:r w:rsidR="000229FA" w:rsidRPr="000229FA">
              <w:rPr>
                <w:b/>
              </w:rPr>
              <w:t xml:space="preserve"> June </w:t>
            </w:r>
            <w:r w:rsidR="00FA6C90" w:rsidRPr="000229FA">
              <w:rPr>
                <w:b/>
              </w:rPr>
              <w:t>2019</w:t>
            </w:r>
            <w:r w:rsidR="00624D0E">
              <w:t xml:space="preserve"> at 10 am (MBC) – Through the Gate will attend </w:t>
            </w:r>
            <w:r w:rsidR="00D05950">
              <w:t>as unable to attend today.</w:t>
            </w:r>
          </w:p>
        </w:tc>
        <w:tc>
          <w:tcPr>
            <w:tcW w:w="878" w:type="dxa"/>
            <w:shd w:val="clear" w:color="auto" w:fill="auto"/>
          </w:tcPr>
          <w:p w:rsidR="000C31B1" w:rsidRPr="00FF3609" w:rsidRDefault="000C31B1" w:rsidP="000C31B1">
            <w:pPr>
              <w:rPr>
                <w:b/>
              </w:rPr>
            </w:pPr>
          </w:p>
        </w:tc>
        <w:tc>
          <w:tcPr>
            <w:tcW w:w="864" w:type="dxa"/>
            <w:shd w:val="clear" w:color="auto" w:fill="auto"/>
          </w:tcPr>
          <w:p w:rsidR="000C31B1" w:rsidRPr="00745BAC" w:rsidRDefault="000C31B1" w:rsidP="000C31B1"/>
        </w:tc>
        <w:tc>
          <w:tcPr>
            <w:tcW w:w="3219" w:type="dxa"/>
            <w:shd w:val="clear" w:color="auto" w:fill="auto"/>
          </w:tcPr>
          <w:p w:rsidR="000C31B1" w:rsidRPr="00FF3609" w:rsidRDefault="00B04434" w:rsidP="000C31B1">
            <w:pPr>
              <w:rPr>
                <w:b/>
              </w:rPr>
            </w:pPr>
            <w:r w:rsidRPr="00FF3609">
              <w:rPr>
                <w:b/>
              </w:rPr>
              <w:t>RS has shared meeting appointment via outlook</w:t>
            </w:r>
          </w:p>
        </w:tc>
      </w:tr>
    </w:tbl>
    <w:p w:rsidR="00443F82" w:rsidRPr="00DF015F" w:rsidRDefault="00443F82" w:rsidP="004B0BAA">
      <w:pPr>
        <w:rPr>
          <w:b/>
        </w:rPr>
      </w:pPr>
    </w:p>
    <w:sectPr w:rsidR="00443F82" w:rsidRPr="00DF015F" w:rsidSect="00552DBC">
      <w:footerReference w:type="default" r:id="rId8"/>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01" w:rsidRDefault="00617E01" w:rsidP="001D0582">
      <w:pPr>
        <w:spacing w:after="0" w:line="240" w:lineRule="auto"/>
      </w:pPr>
      <w:r>
        <w:separator/>
      </w:r>
    </w:p>
  </w:endnote>
  <w:endnote w:type="continuationSeparator" w:id="0">
    <w:p w:rsidR="00617E01" w:rsidRDefault="00617E0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7B2603" w:rsidRDefault="00641215">
        <w:pPr>
          <w:pStyle w:val="Footer"/>
          <w:jc w:val="center"/>
        </w:pPr>
        <w:r>
          <w:fldChar w:fldCharType="begin"/>
        </w:r>
        <w:r>
          <w:instrText xml:space="preserve"> PAGE   \* MERGEFORMAT </w:instrText>
        </w:r>
        <w:r>
          <w:fldChar w:fldCharType="separate"/>
        </w:r>
        <w:r w:rsidR="00B242E9">
          <w:rPr>
            <w:noProof/>
          </w:rPr>
          <w:t>1</w:t>
        </w:r>
        <w:r>
          <w:rPr>
            <w:noProof/>
          </w:rPr>
          <w:fldChar w:fldCharType="end"/>
        </w:r>
      </w:p>
    </w:sdtContent>
  </w:sdt>
  <w:p w:rsidR="007B2603" w:rsidRDefault="007B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01" w:rsidRDefault="00617E01" w:rsidP="001D0582">
      <w:pPr>
        <w:spacing w:after="0" w:line="240" w:lineRule="auto"/>
      </w:pPr>
      <w:r>
        <w:separator/>
      </w:r>
    </w:p>
  </w:footnote>
  <w:footnote w:type="continuationSeparator" w:id="0">
    <w:p w:rsidR="00617E01" w:rsidRDefault="00617E0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6736"/>
    <w:rsid w:val="0001038A"/>
    <w:rsid w:val="00020283"/>
    <w:rsid w:val="000229FA"/>
    <w:rsid w:val="000250C2"/>
    <w:rsid w:val="000279B1"/>
    <w:rsid w:val="0003184D"/>
    <w:rsid w:val="00031DE3"/>
    <w:rsid w:val="00031DE6"/>
    <w:rsid w:val="00044440"/>
    <w:rsid w:val="00046D1E"/>
    <w:rsid w:val="0005798E"/>
    <w:rsid w:val="00061235"/>
    <w:rsid w:val="000624FA"/>
    <w:rsid w:val="00062F79"/>
    <w:rsid w:val="000641A6"/>
    <w:rsid w:val="00064A20"/>
    <w:rsid w:val="000778DD"/>
    <w:rsid w:val="00080CC5"/>
    <w:rsid w:val="0008129C"/>
    <w:rsid w:val="000871E7"/>
    <w:rsid w:val="00094D7E"/>
    <w:rsid w:val="0009691C"/>
    <w:rsid w:val="000A7E2C"/>
    <w:rsid w:val="000B4C89"/>
    <w:rsid w:val="000B539B"/>
    <w:rsid w:val="000B54B8"/>
    <w:rsid w:val="000C31B1"/>
    <w:rsid w:val="000C4F3C"/>
    <w:rsid w:val="000C5837"/>
    <w:rsid w:val="000D2F8E"/>
    <w:rsid w:val="000E1ABA"/>
    <w:rsid w:val="000E6197"/>
    <w:rsid w:val="000F4EEA"/>
    <w:rsid w:val="0010119D"/>
    <w:rsid w:val="00103E4A"/>
    <w:rsid w:val="00104544"/>
    <w:rsid w:val="00105208"/>
    <w:rsid w:val="00106D8C"/>
    <w:rsid w:val="0011025C"/>
    <w:rsid w:val="00110C77"/>
    <w:rsid w:val="00111B2B"/>
    <w:rsid w:val="00112C6A"/>
    <w:rsid w:val="00115F2B"/>
    <w:rsid w:val="001262F3"/>
    <w:rsid w:val="00130227"/>
    <w:rsid w:val="00130B92"/>
    <w:rsid w:val="001325F9"/>
    <w:rsid w:val="00136005"/>
    <w:rsid w:val="00140F97"/>
    <w:rsid w:val="00141109"/>
    <w:rsid w:val="00146945"/>
    <w:rsid w:val="00150D2E"/>
    <w:rsid w:val="0015139D"/>
    <w:rsid w:val="00156EA5"/>
    <w:rsid w:val="00164913"/>
    <w:rsid w:val="00165673"/>
    <w:rsid w:val="00181F41"/>
    <w:rsid w:val="00182CF3"/>
    <w:rsid w:val="00187F84"/>
    <w:rsid w:val="00197BCD"/>
    <w:rsid w:val="001A0526"/>
    <w:rsid w:val="001A1975"/>
    <w:rsid w:val="001B142B"/>
    <w:rsid w:val="001B4C9F"/>
    <w:rsid w:val="001B74E2"/>
    <w:rsid w:val="001B7F2E"/>
    <w:rsid w:val="001C0F9A"/>
    <w:rsid w:val="001C1D02"/>
    <w:rsid w:val="001C48C5"/>
    <w:rsid w:val="001D0582"/>
    <w:rsid w:val="001D78C0"/>
    <w:rsid w:val="001E310A"/>
    <w:rsid w:val="001E7873"/>
    <w:rsid w:val="001F00E7"/>
    <w:rsid w:val="001F11F3"/>
    <w:rsid w:val="001F2A06"/>
    <w:rsid w:val="001F399C"/>
    <w:rsid w:val="00200B68"/>
    <w:rsid w:val="002058FC"/>
    <w:rsid w:val="00206E42"/>
    <w:rsid w:val="00207699"/>
    <w:rsid w:val="002147E0"/>
    <w:rsid w:val="00231434"/>
    <w:rsid w:val="00252D55"/>
    <w:rsid w:val="002550E8"/>
    <w:rsid w:val="002615C8"/>
    <w:rsid w:val="00261D00"/>
    <w:rsid w:val="00261DD6"/>
    <w:rsid w:val="00262EA8"/>
    <w:rsid w:val="0027373A"/>
    <w:rsid w:val="002742D2"/>
    <w:rsid w:val="00274D16"/>
    <w:rsid w:val="00276FDC"/>
    <w:rsid w:val="00282AB7"/>
    <w:rsid w:val="00284C0C"/>
    <w:rsid w:val="00285E0B"/>
    <w:rsid w:val="002865A3"/>
    <w:rsid w:val="00293C7B"/>
    <w:rsid w:val="0029660B"/>
    <w:rsid w:val="002A366D"/>
    <w:rsid w:val="002B04EC"/>
    <w:rsid w:val="002B0598"/>
    <w:rsid w:val="002B184E"/>
    <w:rsid w:val="002C4971"/>
    <w:rsid w:val="002D03A5"/>
    <w:rsid w:val="002D0D5E"/>
    <w:rsid w:val="002D7698"/>
    <w:rsid w:val="00311C62"/>
    <w:rsid w:val="0031242F"/>
    <w:rsid w:val="00313019"/>
    <w:rsid w:val="003144E8"/>
    <w:rsid w:val="00315121"/>
    <w:rsid w:val="003205E8"/>
    <w:rsid w:val="00323A19"/>
    <w:rsid w:val="003251FA"/>
    <w:rsid w:val="0033294D"/>
    <w:rsid w:val="003354F5"/>
    <w:rsid w:val="00343371"/>
    <w:rsid w:val="0034724C"/>
    <w:rsid w:val="00347D3D"/>
    <w:rsid w:val="00347FF5"/>
    <w:rsid w:val="003502C4"/>
    <w:rsid w:val="003561E6"/>
    <w:rsid w:val="0035716E"/>
    <w:rsid w:val="00363D2B"/>
    <w:rsid w:val="003651B3"/>
    <w:rsid w:val="003805C2"/>
    <w:rsid w:val="00387E78"/>
    <w:rsid w:val="003900EE"/>
    <w:rsid w:val="00391561"/>
    <w:rsid w:val="00393BA4"/>
    <w:rsid w:val="0039592E"/>
    <w:rsid w:val="00395DB1"/>
    <w:rsid w:val="003A12E5"/>
    <w:rsid w:val="003A72C3"/>
    <w:rsid w:val="003B0473"/>
    <w:rsid w:val="003C2892"/>
    <w:rsid w:val="003C4E1E"/>
    <w:rsid w:val="003C5FDA"/>
    <w:rsid w:val="003E6BED"/>
    <w:rsid w:val="003F5CB0"/>
    <w:rsid w:val="004000CA"/>
    <w:rsid w:val="00417A80"/>
    <w:rsid w:val="004241B5"/>
    <w:rsid w:val="0042628B"/>
    <w:rsid w:val="00427AC7"/>
    <w:rsid w:val="00427CA9"/>
    <w:rsid w:val="0043172B"/>
    <w:rsid w:val="00432F07"/>
    <w:rsid w:val="00433611"/>
    <w:rsid w:val="00443F82"/>
    <w:rsid w:val="00445779"/>
    <w:rsid w:val="00445D2E"/>
    <w:rsid w:val="004467BA"/>
    <w:rsid w:val="00452A77"/>
    <w:rsid w:val="00453E3F"/>
    <w:rsid w:val="00454E00"/>
    <w:rsid w:val="004558CD"/>
    <w:rsid w:val="00465EBD"/>
    <w:rsid w:val="00477AFD"/>
    <w:rsid w:val="00486834"/>
    <w:rsid w:val="00487A05"/>
    <w:rsid w:val="0049191F"/>
    <w:rsid w:val="00492A6C"/>
    <w:rsid w:val="00493100"/>
    <w:rsid w:val="004A19A8"/>
    <w:rsid w:val="004A51A4"/>
    <w:rsid w:val="004A56D4"/>
    <w:rsid w:val="004B0937"/>
    <w:rsid w:val="004B0BAA"/>
    <w:rsid w:val="004B4D9D"/>
    <w:rsid w:val="004B7489"/>
    <w:rsid w:val="004C0DFB"/>
    <w:rsid w:val="004C57A0"/>
    <w:rsid w:val="004C5AF0"/>
    <w:rsid w:val="004C7313"/>
    <w:rsid w:val="004D0171"/>
    <w:rsid w:val="004D1D2D"/>
    <w:rsid w:val="004D577A"/>
    <w:rsid w:val="004E4484"/>
    <w:rsid w:val="00514165"/>
    <w:rsid w:val="00521852"/>
    <w:rsid w:val="0052288E"/>
    <w:rsid w:val="005233B2"/>
    <w:rsid w:val="00527061"/>
    <w:rsid w:val="0053334D"/>
    <w:rsid w:val="005427B0"/>
    <w:rsid w:val="005462D1"/>
    <w:rsid w:val="00552973"/>
    <w:rsid w:val="00552DBC"/>
    <w:rsid w:val="00565E65"/>
    <w:rsid w:val="005755F2"/>
    <w:rsid w:val="00576D19"/>
    <w:rsid w:val="005779B6"/>
    <w:rsid w:val="00582AE3"/>
    <w:rsid w:val="00584205"/>
    <w:rsid w:val="005866D1"/>
    <w:rsid w:val="00596291"/>
    <w:rsid w:val="005A24BF"/>
    <w:rsid w:val="005A7FF7"/>
    <w:rsid w:val="005B0792"/>
    <w:rsid w:val="005B0F8F"/>
    <w:rsid w:val="005B7F31"/>
    <w:rsid w:val="005C7995"/>
    <w:rsid w:val="005D1AB8"/>
    <w:rsid w:val="005D1DB6"/>
    <w:rsid w:val="005D3B20"/>
    <w:rsid w:val="005D68EF"/>
    <w:rsid w:val="005F3904"/>
    <w:rsid w:val="005F4F00"/>
    <w:rsid w:val="0060494E"/>
    <w:rsid w:val="0061242E"/>
    <w:rsid w:val="00614883"/>
    <w:rsid w:val="0061520B"/>
    <w:rsid w:val="006167D1"/>
    <w:rsid w:val="00617E01"/>
    <w:rsid w:val="006202F2"/>
    <w:rsid w:val="00624D0E"/>
    <w:rsid w:val="00632AE4"/>
    <w:rsid w:val="00633F20"/>
    <w:rsid w:val="00641215"/>
    <w:rsid w:val="00641D7C"/>
    <w:rsid w:val="00644EA6"/>
    <w:rsid w:val="0064548E"/>
    <w:rsid w:val="00647CA0"/>
    <w:rsid w:val="006573EE"/>
    <w:rsid w:val="00663CCF"/>
    <w:rsid w:val="00665893"/>
    <w:rsid w:val="006668AE"/>
    <w:rsid w:val="0067090E"/>
    <w:rsid w:val="0067369A"/>
    <w:rsid w:val="006775AA"/>
    <w:rsid w:val="0068214F"/>
    <w:rsid w:val="00692887"/>
    <w:rsid w:val="00695733"/>
    <w:rsid w:val="0069608E"/>
    <w:rsid w:val="00696E2D"/>
    <w:rsid w:val="006A0F46"/>
    <w:rsid w:val="006A3909"/>
    <w:rsid w:val="006B2626"/>
    <w:rsid w:val="006B5F27"/>
    <w:rsid w:val="006C2EBB"/>
    <w:rsid w:val="006C34AE"/>
    <w:rsid w:val="006C635E"/>
    <w:rsid w:val="006D52CE"/>
    <w:rsid w:val="006D5504"/>
    <w:rsid w:val="006D6D36"/>
    <w:rsid w:val="006E2643"/>
    <w:rsid w:val="006E2A58"/>
    <w:rsid w:val="006E7F9D"/>
    <w:rsid w:val="006F190F"/>
    <w:rsid w:val="006F33CE"/>
    <w:rsid w:val="006F7B7C"/>
    <w:rsid w:val="007029C8"/>
    <w:rsid w:val="00707E57"/>
    <w:rsid w:val="00710536"/>
    <w:rsid w:val="007156DF"/>
    <w:rsid w:val="0071764F"/>
    <w:rsid w:val="00734299"/>
    <w:rsid w:val="00734603"/>
    <w:rsid w:val="00735129"/>
    <w:rsid w:val="00736BBC"/>
    <w:rsid w:val="00737FBB"/>
    <w:rsid w:val="00741BE0"/>
    <w:rsid w:val="00745BAC"/>
    <w:rsid w:val="00750F98"/>
    <w:rsid w:val="007541FB"/>
    <w:rsid w:val="00754D2D"/>
    <w:rsid w:val="00755D98"/>
    <w:rsid w:val="0075752D"/>
    <w:rsid w:val="007634E0"/>
    <w:rsid w:val="0076350D"/>
    <w:rsid w:val="007652BA"/>
    <w:rsid w:val="007679D1"/>
    <w:rsid w:val="0077311A"/>
    <w:rsid w:val="00773CE1"/>
    <w:rsid w:val="00780F97"/>
    <w:rsid w:val="007849CE"/>
    <w:rsid w:val="00786C96"/>
    <w:rsid w:val="00791545"/>
    <w:rsid w:val="007925A7"/>
    <w:rsid w:val="00794ADB"/>
    <w:rsid w:val="00796AB2"/>
    <w:rsid w:val="00797CC0"/>
    <w:rsid w:val="007A5545"/>
    <w:rsid w:val="007A6841"/>
    <w:rsid w:val="007A7E26"/>
    <w:rsid w:val="007B1A6D"/>
    <w:rsid w:val="007B2603"/>
    <w:rsid w:val="007B323F"/>
    <w:rsid w:val="007B7338"/>
    <w:rsid w:val="007C47C8"/>
    <w:rsid w:val="007D038B"/>
    <w:rsid w:val="007D12F2"/>
    <w:rsid w:val="007D3984"/>
    <w:rsid w:val="007D54F8"/>
    <w:rsid w:val="007D68B3"/>
    <w:rsid w:val="007E40FA"/>
    <w:rsid w:val="007F0D66"/>
    <w:rsid w:val="007F161E"/>
    <w:rsid w:val="007F54B7"/>
    <w:rsid w:val="007F6D5D"/>
    <w:rsid w:val="008032AC"/>
    <w:rsid w:val="00821D19"/>
    <w:rsid w:val="008319F8"/>
    <w:rsid w:val="00831B42"/>
    <w:rsid w:val="008320FE"/>
    <w:rsid w:val="008328DA"/>
    <w:rsid w:val="0083542E"/>
    <w:rsid w:val="00836724"/>
    <w:rsid w:val="00837EAE"/>
    <w:rsid w:val="00842D44"/>
    <w:rsid w:val="00843F80"/>
    <w:rsid w:val="00862B63"/>
    <w:rsid w:val="00863010"/>
    <w:rsid w:val="00863DD0"/>
    <w:rsid w:val="008669A9"/>
    <w:rsid w:val="00871A17"/>
    <w:rsid w:val="008741B9"/>
    <w:rsid w:val="0088213F"/>
    <w:rsid w:val="00884433"/>
    <w:rsid w:val="0089332E"/>
    <w:rsid w:val="0089337E"/>
    <w:rsid w:val="008A4FAD"/>
    <w:rsid w:val="008B2794"/>
    <w:rsid w:val="008B438C"/>
    <w:rsid w:val="008C704F"/>
    <w:rsid w:val="008D2124"/>
    <w:rsid w:val="008D33AE"/>
    <w:rsid w:val="008D5CB1"/>
    <w:rsid w:val="008D7427"/>
    <w:rsid w:val="008E7E63"/>
    <w:rsid w:val="008F3A2A"/>
    <w:rsid w:val="008F4007"/>
    <w:rsid w:val="008F621A"/>
    <w:rsid w:val="008F7807"/>
    <w:rsid w:val="00911690"/>
    <w:rsid w:val="00915066"/>
    <w:rsid w:val="0092735A"/>
    <w:rsid w:val="009420AC"/>
    <w:rsid w:val="00960571"/>
    <w:rsid w:val="00965254"/>
    <w:rsid w:val="0096613E"/>
    <w:rsid w:val="00976E41"/>
    <w:rsid w:val="00986BBC"/>
    <w:rsid w:val="00992028"/>
    <w:rsid w:val="00996975"/>
    <w:rsid w:val="009A3FDB"/>
    <w:rsid w:val="009A4558"/>
    <w:rsid w:val="009A7BF2"/>
    <w:rsid w:val="009C548C"/>
    <w:rsid w:val="009C5ABD"/>
    <w:rsid w:val="009D1A6B"/>
    <w:rsid w:val="009D22D0"/>
    <w:rsid w:val="009D3F0E"/>
    <w:rsid w:val="009D4A4C"/>
    <w:rsid w:val="009D4DD9"/>
    <w:rsid w:val="009D5D50"/>
    <w:rsid w:val="009D65BB"/>
    <w:rsid w:val="009E1DCB"/>
    <w:rsid w:val="009E25A6"/>
    <w:rsid w:val="009E49FB"/>
    <w:rsid w:val="009E732B"/>
    <w:rsid w:val="009F6EC2"/>
    <w:rsid w:val="00A01750"/>
    <w:rsid w:val="00A02477"/>
    <w:rsid w:val="00A041DA"/>
    <w:rsid w:val="00A05E24"/>
    <w:rsid w:val="00A16672"/>
    <w:rsid w:val="00A2502B"/>
    <w:rsid w:val="00A27CEC"/>
    <w:rsid w:val="00A3083F"/>
    <w:rsid w:val="00A31FFE"/>
    <w:rsid w:val="00A41B69"/>
    <w:rsid w:val="00A52DBB"/>
    <w:rsid w:val="00A5743A"/>
    <w:rsid w:val="00A67D6B"/>
    <w:rsid w:val="00A74FDB"/>
    <w:rsid w:val="00A75210"/>
    <w:rsid w:val="00A90EEC"/>
    <w:rsid w:val="00A91826"/>
    <w:rsid w:val="00A93007"/>
    <w:rsid w:val="00A9440C"/>
    <w:rsid w:val="00AA3F5E"/>
    <w:rsid w:val="00AA3FD7"/>
    <w:rsid w:val="00AA45A1"/>
    <w:rsid w:val="00AA49A4"/>
    <w:rsid w:val="00AA5681"/>
    <w:rsid w:val="00AA6047"/>
    <w:rsid w:val="00AB362D"/>
    <w:rsid w:val="00AB413A"/>
    <w:rsid w:val="00AB73A7"/>
    <w:rsid w:val="00AC2608"/>
    <w:rsid w:val="00AD494F"/>
    <w:rsid w:val="00AD719D"/>
    <w:rsid w:val="00AD71FE"/>
    <w:rsid w:val="00AE13BF"/>
    <w:rsid w:val="00AE4A2A"/>
    <w:rsid w:val="00AE5827"/>
    <w:rsid w:val="00AE7410"/>
    <w:rsid w:val="00AF1C5D"/>
    <w:rsid w:val="00B04210"/>
    <w:rsid w:val="00B04434"/>
    <w:rsid w:val="00B17CEA"/>
    <w:rsid w:val="00B21776"/>
    <w:rsid w:val="00B242E9"/>
    <w:rsid w:val="00B25E02"/>
    <w:rsid w:val="00B26D32"/>
    <w:rsid w:val="00B3068A"/>
    <w:rsid w:val="00B3345C"/>
    <w:rsid w:val="00B342EE"/>
    <w:rsid w:val="00B462F2"/>
    <w:rsid w:val="00B47710"/>
    <w:rsid w:val="00B51336"/>
    <w:rsid w:val="00B51AC8"/>
    <w:rsid w:val="00B55164"/>
    <w:rsid w:val="00B553B4"/>
    <w:rsid w:val="00B71326"/>
    <w:rsid w:val="00B75B9A"/>
    <w:rsid w:val="00B77576"/>
    <w:rsid w:val="00B809BC"/>
    <w:rsid w:val="00B82FA9"/>
    <w:rsid w:val="00B83325"/>
    <w:rsid w:val="00B83A16"/>
    <w:rsid w:val="00B8529C"/>
    <w:rsid w:val="00B8788B"/>
    <w:rsid w:val="00B94C69"/>
    <w:rsid w:val="00BA3231"/>
    <w:rsid w:val="00BA3D16"/>
    <w:rsid w:val="00BA7C08"/>
    <w:rsid w:val="00BB652C"/>
    <w:rsid w:val="00BC7803"/>
    <w:rsid w:val="00BD14A6"/>
    <w:rsid w:val="00BD3023"/>
    <w:rsid w:val="00BD3127"/>
    <w:rsid w:val="00BD315C"/>
    <w:rsid w:val="00BE1A78"/>
    <w:rsid w:val="00BE5D7D"/>
    <w:rsid w:val="00BF07DA"/>
    <w:rsid w:val="00BF31E9"/>
    <w:rsid w:val="00BF546C"/>
    <w:rsid w:val="00C01161"/>
    <w:rsid w:val="00C039B7"/>
    <w:rsid w:val="00C166F9"/>
    <w:rsid w:val="00C22AE3"/>
    <w:rsid w:val="00C27052"/>
    <w:rsid w:val="00C2799A"/>
    <w:rsid w:val="00C42029"/>
    <w:rsid w:val="00C4590A"/>
    <w:rsid w:val="00C51436"/>
    <w:rsid w:val="00C5334A"/>
    <w:rsid w:val="00C571A1"/>
    <w:rsid w:val="00C606DB"/>
    <w:rsid w:val="00C66676"/>
    <w:rsid w:val="00C70A53"/>
    <w:rsid w:val="00C70D27"/>
    <w:rsid w:val="00C74F23"/>
    <w:rsid w:val="00C778CC"/>
    <w:rsid w:val="00C847BF"/>
    <w:rsid w:val="00C86BD6"/>
    <w:rsid w:val="00C90A7B"/>
    <w:rsid w:val="00C94895"/>
    <w:rsid w:val="00C97E4B"/>
    <w:rsid w:val="00CA27E0"/>
    <w:rsid w:val="00CA3430"/>
    <w:rsid w:val="00CA5390"/>
    <w:rsid w:val="00CA5CA8"/>
    <w:rsid w:val="00CB193D"/>
    <w:rsid w:val="00CC5D2C"/>
    <w:rsid w:val="00CD1EC5"/>
    <w:rsid w:val="00CD3142"/>
    <w:rsid w:val="00CD3996"/>
    <w:rsid w:val="00CD42B4"/>
    <w:rsid w:val="00CE0545"/>
    <w:rsid w:val="00CE335C"/>
    <w:rsid w:val="00CE394E"/>
    <w:rsid w:val="00CF109C"/>
    <w:rsid w:val="00CF1FBA"/>
    <w:rsid w:val="00CF49BF"/>
    <w:rsid w:val="00CF7190"/>
    <w:rsid w:val="00D03209"/>
    <w:rsid w:val="00D03CE7"/>
    <w:rsid w:val="00D05950"/>
    <w:rsid w:val="00D06ACE"/>
    <w:rsid w:val="00D103B4"/>
    <w:rsid w:val="00D110D6"/>
    <w:rsid w:val="00D22FFF"/>
    <w:rsid w:val="00D31709"/>
    <w:rsid w:val="00D3313F"/>
    <w:rsid w:val="00D34035"/>
    <w:rsid w:val="00D34CC5"/>
    <w:rsid w:val="00D40934"/>
    <w:rsid w:val="00D41F8A"/>
    <w:rsid w:val="00D43968"/>
    <w:rsid w:val="00D45F60"/>
    <w:rsid w:val="00D46BA6"/>
    <w:rsid w:val="00D4715B"/>
    <w:rsid w:val="00D51F63"/>
    <w:rsid w:val="00D5513D"/>
    <w:rsid w:val="00D55EE3"/>
    <w:rsid w:val="00D60CC5"/>
    <w:rsid w:val="00D630CF"/>
    <w:rsid w:val="00D67388"/>
    <w:rsid w:val="00D84120"/>
    <w:rsid w:val="00D871E0"/>
    <w:rsid w:val="00D87693"/>
    <w:rsid w:val="00D90DC8"/>
    <w:rsid w:val="00D90E15"/>
    <w:rsid w:val="00D9188B"/>
    <w:rsid w:val="00D91A32"/>
    <w:rsid w:val="00D91E19"/>
    <w:rsid w:val="00D94421"/>
    <w:rsid w:val="00D96F1E"/>
    <w:rsid w:val="00DA1229"/>
    <w:rsid w:val="00DA51C5"/>
    <w:rsid w:val="00DB1DA3"/>
    <w:rsid w:val="00DC2DDD"/>
    <w:rsid w:val="00DC5278"/>
    <w:rsid w:val="00DC71AE"/>
    <w:rsid w:val="00DD3C36"/>
    <w:rsid w:val="00DD4308"/>
    <w:rsid w:val="00DD6361"/>
    <w:rsid w:val="00DD775D"/>
    <w:rsid w:val="00DD7F1C"/>
    <w:rsid w:val="00DE3126"/>
    <w:rsid w:val="00DE4FA3"/>
    <w:rsid w:val="00DE5532"/>
    <w:rsid w:val="00DF015F"/>
    <w:rsid w:val="00DF2FAC"/>
    <w:rsid w:val="00E02FF5"/>
    <w:rsid w:val="00E03FB6"/>
    <w:rsid w:val="00E10026"/>
    <w:rsid w:val="00E1288C"/>
    <w:rsid w:val="00E128D7"/>
    <w:rsid w:val="00E140D0"/>
    <w:rsid w:val="00E143E8"/>
    <w:rsid w:val="00E45720"/>
    <w:rsid w:val="00E45FCF"/>
    <w:rsid w:val="00E46ACC"/>
    <w:rsid w:val="00E510EA"/>
    <w:rsid w:val="00E570A3"/>
    <w:rsid w:val="00E61F28"/>
    <w:rsid w:val="00E62BA2"/>
    <w:rsid w:val="00E805A7"/>
    <w:rsid w:val="00E839CE"/>
    <w:rsid w:val="00E86720"/>
    <w:rsid w:val="00E9367E"/>
    <w:rsid w:val="00E93FA9"/>
    <w:rsid w:val="00E97F02"/>
    <w:rsid w:val="00EA1956"/>
    <w:rsid w:val="00EB1CF0"/>
    <w:rsid w:val="00ED12D0"/>
    <w:rsid w:val="00ED2FEC"/>
    <w:rsid w:val="00ED5C0C"/>
    <w:rsid w:val="00EE2432"/>
    <w:rsid w:val="00EE6819"/>
    <w:rsid w:val="00EE7367"/>
    <w:rsid w:val="00EF1965"/>
    <w:rsid w:val="00EF2299"/>
    <w:rsid w:val="00EF5A03"/>
    <w:rsid w:val="00F04F04"/>
    <w:rsid w:val="00F106D2"/>
    <w:rsid w:val="00F10803"/>
    <w:rsid w:val="00F10EF9"/>
    <w:rsid w:val="00F13A74"/>
    <w:rsid w:val="00F27267"/>
    <w:rsid w:val="00F332C5"/>
    <w:rsid w:val="00F37E24"/>
    <w:rsid w:val="00F4148D"/>
    <w:rsid w:val="00F4695A"/>
    <w:rsid w:val="00F513B0"/>
    <w:rsid w:val="00F557F7"/>
    <w:rsid w:val="00F6254F"/>
    <w:rsid w:val="00F7118B"/>
    <w:rsid w:val="00F76478"/>
    <w:rsid w:val="00F87CBC"/>
    <w:rsid w:val="00F91C30"/>
    <w:rsid w:val="00FA2BF4"/>
    <w:rsid w:val="00FA3F4C"/>
    <w:rsid w:val="00FA5FAC"/>
    <w:rsid w:val="00FA6C90"/>
    <w:rsid w:val="00FB113B"/>
    <w:rsid w:val="00FB3AB9"/>
    <w:rsid w:val="00FC77C1"/>
    <w:rsid w:val="00FD50AB"/>
    <w:rsid w:val="00FD7045"/>
    <w:rsid w:val="00FE4392"/>
    <w:rsid w:val="00FE43DB"/>
    <w:rsid w:val="00FE48F8"/>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EE9C6-4990-4B99-8E56-D36D2DB8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453776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ECE0D-C2BE-4E19-B3E3-06E26769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177EFCD8.dotm</Template>
  <TotalTime>1</TotalTime>
  <Pages>4</Pages>
  <Words>1960</Words>
  <Characters>11178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2019-04-06T12:30:00Z</dcterms:created>
  <dcterms:modified xsi:type="dcterms:W3CDTF">2019-04-06T12:30:00Z</dcterms:modified>
</cp:coreProperties>
</file>