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305A58" w:rsidP="00933209">
      <w:pPr>
        <w:tabs>
          <w:tab w:val="left" w:pos="3533"/>
          <w:tab w:val="center" w:pos="6979"/>
        </w:tabs>
        <w:rPr>
          <w:b/>
          <w:sz w:val="28"/>
          <w:szCs w:val="28"/>
          <w:u w:val="double" w:color="0070C0"/>
        </w:rPr>
      </w:pPr>
      <w:r w:rsidRPr="00305A58">
        <w:rPr>
          <w:b/>
          <w:sz w:val="28"/>
          <w:szCs w:val="28"/>
          <w:highlight w:val="yellow"/>
          <w:u w:val="double" w:color="0070C0"/>
        </w:rPr>
        <w:t>DRAFT</w:t>
      </w:r>
      <w:r>
        <w:rPr>
          <w:b/>
          <w:sz w:val="28"/>
          <w:szCs w:val="28"/>
          <w:u w:val="double" w:color="0070C0"/>
        </w:rPr>
        <w:t xml:space="preserve"> - </w:t>
      </w:r>
      <w:r w:rsidR="00E95A57">
        <w:rPr>
          <w:b/>
          <w:sz w:val="28"/>
          <w:szCs w:val="28"/>
          <w:u w:val="double" w:color="0070C0"/>
        </w:rPr>
        <w:t>NMSG Action Log –</w:t>
      </w:r>
      <w:r w:rsidR="00D101F5">
        <w:rPr>
          <w:b/>
          <w:sz w:val="28"/>
          <w:szCs w:val="28"/>
          <w:u w:val="double" w:color="0070C0"/>
        </w:rPr>
        <w:t xml:space="preserve"> </w:t>
      </w:r>
      <w:r w:rsidR="001C12F4">
        <w:rPr>
          <w:b/>
          <w:sz w:val="28"/>
          <w:szCs w:val="28"/>
          <w:u w:val="double" w:color="0070C0"/>
        </w:rPr>
        <w:t>1</w:t>
      </w:r>
      <w:r w:rsidR="00B21636">
        <w:rPr>
          <w:b/>
          <w:sz w:val="28"/>
          <w:szCs w:val="28"/>
          <w:u w:val="double" w:color="0070C0"/>
        </w:rPr>
        <w:t>4</w:t>
      </w:r>
      <w:r w:rsidR="001C12F4" w:rsidRPr="001C12F4">
        <w:rPr>
          <w:b/>
          <w:sz w:val="28"/>
          <w:szCs w:val="28"/>
          <w:u w:val="double" w:color="0070C0"/>
          <w:vertAlign w:val="superscript"/>
        </w:rPr>
        <w:t>th</w:t>
      </w:r>
      <w:r w:rsidR="00B21636">
        <w:rPr>
          <w:b/>
          <w:sz w:val="28"/>
          <w:szCs w:val="28"/>
          <w:u w:val="double" w:color="0070C0"/>
        </w:rPr>
        <w:t xml:space="preserve"> October</w:t>
      </w:r>
      <w:r w:rsidR="008B0ABE">
        <w:rPr>
          <w:b/>
          <w:sz w:val="28"/>
          <w:szCs w:val="28"/>
          <w:u w:val="double" w:color="0070C0"/>
        </w:rPr>
        <w:t xml:space="preserve"> 2019</w:t>
      </w:r>
      <w:r w:rsidR="00D101F5">
        <w:rPr>
          <w:b/>
          <w:sz w:val="28"/>
          <w:szCs w:val="28"/>
          <w:u w:val="double" w:color="0070C0"/>
        </w:rPr>
        <w:t xml:space="preserve">, </w:t>
      </w:r>
      <w:r w:rsidR="00B21636">
        <w:rPr>
          <w:b/>
          <w:sz w:val="28"/>
          <w:szCs w:val="28"/>
          <w:u w:val="double" w:color="0070C0"/>
        </w:rPr>
        <w:t>Ashford Borough Council, Ashford Kent</w:t>
      </w:r>
    </w:p>
    <w:tbl>
      <w:tblPr>
        <w:tblStyle w:val="TableGrid"/>
        <w:tblW w:w="16019" w:type="dxa"/>
        <w:tblInd w:w="-856" w:type="dxa"/>
        <w:tblLayout w:type="fixed"/>
        <w:tblLook w:val="04A0" w:firstRow="1" w:lastRow="0" w:firstColumn="1" w:lastColumn="0" w:noHBand="0" w:noVBand="1"/>
      </w:tblPr>
      <w:tblGrid>
        <w:gridCol w:w="1702"/>
        <w:gridCol w:w="9497"/>
        <w:gridCol w:w="2977"/>
        <w:gridCol w:w="709"/>
        <w:gridCol w:w="1105"/>
        <w:gridCol w:w="29"/>
      </w:tblGrid>
      <w:tr w:rsidR="00B613D2" w:rsidRPr="00745BAC" w:rsidTr="002D569F">
        <w:trPr>
          <w:gridAfter w:val="1"/>
          <w:wAfter w:w="29" w:type="dxa"/>
        </w:trPr>
        <w:tc>
          <w:tcPr>
            <w:tcW w:w="15990"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E95A57">
              <w:rPr>
                <w:rFonts w:cstheme="minorHAnsi"/>
                <w:color w:val="FFFFFF" w:themeColor="background1"/>
              </w:rPr>
              <w:t xml:space="preserve"> </w:t>
            </w:r>
            <w:r w:rsidR="00F93788">
              <w:rPr>
                <w:rFonts w:cstheme="minorHAnsi"/>
                <w:color w:val="FFFFFF" w:themeColor="background1"/>
              </w:rPr>
              <w:t xml:space="preserve">Matt Eddy, MHS Homes and Chair; </w:t>
            </w:r>
            <w:r w:rsidR="00830A60">
              <w:rPr>
                <w:rFonts w:cstheme="minorHAnsi"/>
                <w:color w:val="FFFFFF" w:themeColor="background1"/>
              </w:rPr>
              <w:t>Vitra Cummins, TCH; Anthony Crossley, Ashford BC; Dan Prentice, GCHA; Tina Dust, Sanctuary HG; Terry Spillard, Optivo, David Edie, Dartford BC; Sophie Hargreaves, Clarion HG;</w:t>
            </w:r>
          </w:p>
          <w:p w:rsidR="00B613D2" w:rsidRPr="00B53735" w:rsidRDefault="00B613D2" w:rsidP="00F6297A">
            <w:pPr>
              <w:jc w:val="center"/>
              <w:rPr>
                <w:color w:val="FFFFFF" w:themeColor="background1"/>
              </w:rPr>
            </w:pPr>
          </w:p>
          <w:p w:rsidR="008B0ABE" w:rsidRDefault="00B613D2" w:rsidP="008B0ABE">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E95A57">
              <w:rPr>
                <w:rFonts w:cstheme="minorHAnsi"/>
                <w:color w:val="FFFFFF" w:themeColor="background1"/>
              </w:rPr>
              <w:t xml:space="preserve"> </w:t>
            </w:r>
            <w:r w:rsidR="00B21636">
              <w:rPr>
                <w:rFonts w:cstheme="minorHAnsi"/>
                <w:color w:val="FFFFFF" w:themeColor="background1"/>
              </w:rPr>
              <w:t xml:space="preserve">Helen Sudbury, Golding Homes; Tom Harding, Medway Council; Stefan </w:t>
            </w:r>
            <w:proofErr w:type="spellStart"/>
            <w:r w:rsidR="00B21636">
              <w:rPr>
                <w:rFonts w:cstheme="minorHAnsi"/>
                <w:color w:val="FFFFFF" w:themeColor="background1"/>
              </w:rPr>
              <w:t>Polom</w:t>
            </w:r>
            <w:proofErr w:type="spellEnd"/>
            <w:r w:rsidR="00B0796E">
              <w:rPr>
                <w:rFonts w:cstheme="minorHAnsi"/>
                <w:color w:val="FFFFFF" w:themeColor="background1"/>
              </w:rPr>
              <w:t xml:space="preserve"> &amp; Keith Cane</w:t>
            </w:r>
            <w:r w:rsidR="00B21636">
              <w:rPr>
                <w:rFonts w:cstheme="minorHAnsi"/>
                <w:color w:val="FFFFFF" w:themeColor="background1"/>
              </w:rPr>
              <w:t xml:space="preserve">, TCHG; </w:t>
            </w:r>
            <w:proofErr w:type="spellStart"/>
            <w:r w:rsidR="00F93788">
              <w:rPr>
                <w:rFonts w:cstheme="minorHAnsi"/>
                <w:color w:val="FFFFFF" w:themeColor="background1"/>
              </w:rPr>
              <w:t>Juliett</w:t>
            </w:r>
            <w:proofErr w:type="spellEnd"/>
            <w:r w:rsidR="00F93788">
              <w:rPr>
                <w:rFonts w:cstheme="minorHAnsi"/>
                <w:color w:val="FFFFFF" w:themeColor="background1"/>
              </w:rPr>
              <w:t xml:space="preserve"> Knott, Golding Homes; </w:t>
            </w:r>
            <w:r w:rsidR="00830A60">
              <w:rPr>
                <w:rFonts w:cstheme="minorHAnsi"/>
                <w:color w:val="FFFFFF" w:themeColor="background1"/>
              </w:rPr>
              <w:t>Genette Pinwill, West Kent HA &amp; Vice Chair;</w:t>
            </w:r>
          </w:p>
          <w:p w:rsidR="001C12F4" w:rsidRDefault="001C12F4" w:rsidP="008B0ABE">
            <w:pPr>
              <w:rPr>
                <w:rFonts w:cstheme="minorHAnsi"/>
                <w:color w:val="FFFFFF" w:themeColor="background1"/>
              </w:rPr>
            </w:pPr>
          </w:p>
          <w:p w:rsidR="00B613D2" w:rsidRPr="00745BAC" w:rsidRDefault="00B613D2" w:rsidP="008B0ABE">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B21636">
              <w:rPr>
                <w:rFonts w:cstheme="minorHAnsi"/>
                <w:color w:val="FFFFFF" w:themeColor="background1"/>
              </w:rPr>
              <w:t>Laura Wright, KCC; Marie Royle, Canterbury City Council</w:t>
            </w:r>
          </w:p>
        </w:tc>
      </w:tr>
      <w:tr w:rsidR="00C86D65" w:rsidRPr="00745BAC" w:rsidTr="00715328">
        <w:tc>
          <w:tcPr>
            <w:tcW w:w="1702" w:type="dxa"/>
            <w:shd w:val="clear" w:color="auto" w:fill="DBE5F1" w:themeFill="accent1" w:themeFillTint="33"/>
          </w:tcPr>
          <w:p w:rsidR="00C86D65" w:rsidRPr="00745BAC" w:rsidRDefault="00C86D65" w:rsidP="008719B0">
            <w:pPr>
              <w:jc w:val="center"/>
              <w:rPr>
                <w:b/>
              </w:rPr>
            </w:pPr>
            <w:r w:rsidRPr="00745BAC">
              <w:rPr>
                <w:b/>
              </w:rPr>
              <w:t>Reference</w:t>
            </w:r>
          </w:p>
        </w:tc>
        <w:tc>
          <w:tcPr>
            <w:tcW w:w="9497" w:type="dxa"/>
            <w:shd w:val="clear" w:color="auto" w:fill="DBE5F1" w:themeFill="accent1" w:themeFillTint="33"/>
          </w:tcPr>
          <w:p w:rsidR="00C86D65" w:rsidRPr="00745BAC" w:rsidRDefault="00C86D65" w:rsidP="002B184E">
            <w:pPr>
              <w:jc w:val="center"/>
              <w:rPr>
                <w:b/>
              </w:rPr>
            </w:pPr>
            <w:r>
              <w:rPr>
                <w:b/>
              </w:rPr>
              <w:t>Notes</w:t>
            </w:r>
          </w:p>
        </w:tc>
        <w:tc>
          <w:tcPr>
            <w:tcW w:w="2977" w:type="dxa"/>
            <w:shd w:val="clear" w:color="auto" w:fill="DBE5F1" w:themeFill="accent1" w:themeFillTint="33"/>
          </w:tcPr>
          <w:p w:rsidR="00C86D65" w:rsidRPr="00745BAC" w:rsidRDefault="00C86D65" w:rsidP="008719B0">
            <w:pPr>
              <w:jc w:val="center"/>
              <w:rPr>
                <w:b/>
              </w:rPr>
            </w:pPr>
            <w:r w:rsidRPr="00745BAC">
              <w:rPr>
                <w:b/>
              </w:rPr>
              <w:t>Action/Decision</w:t>
            </w:r>
          </w:p>
        </w:tc>
        <w:tc>
          <w:tcPr>
            <w:tcW w:w="709" w:type="dxa"/>
            <w:shd w:val="clear" w:color="auto" w:fill="DBE5F1" w:themeFill="accent1" w:themeFillTint="33"/>
          </w:tcPr>
          <w:p w:rsidR="00C86D65" w:rsidRPr="00745BAC" w:rsidRDefault="00C86D65" w:rsidP="00E9001C">
            <w:pPr>
              <w:jc w:val="center"/>
              <w:rPr>
                <w:b/>
              </w:rPr>
            </w:pPr>
            <w:r>
              <w:rPr>
                <w:b/>
              </w:rPr>
              <w:t xml:space="preserve">Lead </w:t>
            </w:r>
          </w:p>
        </w:tc>
        <w:tc>
          <w:tcPr>
            <w:tcW w:w="1134"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715328">
        <w:tc>
          <w:tcPr>
            <w:tcW w:w="1702" w:type="dxa"/>
            <w:shd w:val="clear" w:color="auto" w:fill="auto"/>
          </w:tcPr>
          <w:p w:rsidR="00C86D65" w:rsidRPr="00C86D65" w:rsidRDefault="00C86D65" w:rsidP="001C12F4">
            <w:pPr>
              <w:rPr>
                <w:b/>
              </w:rPr>
            </w:pPr>
            <w:r w:rsidRPr="00C86D65">
              <w:rPr>
                <w:b/>
              </w:rPr>
              <w:t>Minute</w:t>
            </w:r>
            <w:r w:rsidR="00E0115C">
              <w:rPr>
                <w:b/>
              </w:rPr>
              <w:t xml:space="preserve">s &amp; Matters Arising </w:t>
            </w:r>
            <w:r w:rsidR="00E95A57">
              <w:rPr>
                <w:b/>
              </w:rPr>
              <w:t xml:space="preserve"> </w:t>
            </w:r>
            <w:r w:rsidR="00F93788">
              <w:rPr>
                <w:b/>
              </w:rPr>
              <w:t>July</w:t>
            </w:r>
            <w:r w:rsidR="001C12F4">
              <w:rPr>
                <w:b/>
              </w:rPr>
              <w:t xml:space="preserve"> 2019</w:t>
            </w:r>
          </w:p>
        </w:tc>
        <w:tc>
          <w:tcPr>
            <w:tcW w:w="9497" w:type="dxa"/>
            <w:shd w:val="clear" w:color="auto" w:fill="auto"/>
          </w:tcPr>
          <w:p w:rsidR="008A7E9E" w:rsidRDefault="00830A60" w:rsidP="00673B7F">
            <w:pPr>
              <w:jc w:val="both"/>
            </w:pPr>
            <w:r>
              <w:t>Written notes not available for view ahead of the meeting.  All three presentations at the last meeting were well reviewed.  It was agreed that this group would now be known as the Kent Tenancy Management Group.</w:t>
            </w:r>
            <w:r w:rsidR="003A1419">
              <w:t xml:space="preserve">   Rent arrears and UC to remain on the agenda as a standing item going forward.</w:t>
            </w:r>
          </w:p>
          <w:p w:rsidR="00830A60" w:rsidRPr="00745BAC" w:rsidRDefault="00830A60" w:rsidP="00673B7F">
            <w:pPr>
              <w:jc w:val="both"/>
            </w:pPr>
          </w:p>
        </w:tc>
        <w:tc>
          <w:tcPr>
            <w:tcW w:w="2977" w:type="dxa"/>
            <w:shd w:val="clear" w:color="auto" w:fill="auto"/>
          </w:tcPr>
          <w:p w:rsidR="00023C4B" w:rsidRPr="00745BAC" w:rsidRDefault="00023C4B" w:rsidP="008719B0">
            <w:pPr>
              <w:jc w:val="both"/>
            </w:pPr>
          </w:p>
        </w:tc>
        <w:tc>
          <w:tcPr>
            <w:tcW w:w="709" w:type="dxa"/>
            <w:shd w:val="clear" w:color="auto" w:fill="auto"/>
          </w:tcPr>
          <w:p w:rsidR="00023C4B" w:rsidRPr="0044468F" w:rsidRDefault="00023C4B" w:rsidP="008719B0">
            <w:pPr>
              <w:jc w:val="both"/>
              <w:rPr>
                <w:b/>
              </w:rPr>
            </w:pPr>
          </w:p>
        </w:tc>
        <w:tc>
          <w:tcPr>
            <w:tcW w:w="1134" w:type="dxa"/>
            <w:gridSpan w:val="2"/>
            <w:shd w:val="clear" w:color="auto" w:fill="auto"/>
          </w:tcPr>
          <w:p w:rsidR="00023C4B" w:rsidRPr="0044468F" w:rsidRDefault="00023C4B" w:rsidP="008719B0">
            <w:pPr>
              <w:jc w:val="both"/>
              <w:rPr>
                <w:b/>
                <w:color w:val="FF0000"/>
              </w:rPr>
            </w:pPr>
          </w:p>
        </w:tc>
      </w:tr>
      <w:tr w:rsidR="00C86D65" w:rsidRPr="00745BAC" w:rsidTr="00715328">
        <w:tc>
          <w:tcPr>
            <w:tcW w:w="1702" w:type="dxa"/>
            <w:shd w:val="clear" w:color="auto" w:fill="auto"/>
          </w:tcPr>
          <w:p w:rsidR="00C86D65" w:rsidRPr="00C86D65" w:rsidRDefault="00F93788" w:rsidP="008719B0">
            <w:pPr>
              <w:rPr>
                <w:b/>
              </w:rPr>
            </w:pPr>
            <w:r>
              <w:rPr>
                <w:b/>
              </w:rPr>
              <w:t>EK Cuckooing Presentation</w:t>
            </w:r>
          </w:p>
        </w:tc>
        <w:tc>
          <w:tcPr>
            <w:tcW w:w="9497" w:type="dxa"/>
            <w:shd w:val="clear" w:color="auto" w:fill="auto"/>
          </w:tcPr>
          <w:p w:rsidR="003A1419" w:rsidRDefault="003A1419" w:rsidP="00BA3C76">
            <w:pPr>
              <w:jc w:val="both"/>
            </w:pPr>
            <w:r>
              <w:t xml:space="preserve">MR provided an overview of the East Kent approach to cuckooing and the newly developed multi agency guidance to tackling cuckooing, which has been produced across a range of east </w:t>
            </w:r>
            <w:r w:rsidR="00072254">
              <w:t>Kent</w:t>
            </w:r>
            <w:r>
              <w:t xml:space="preserve"> organisations, but with a view to sharing more widely across the county.   Main points from the presentation – </w:t>
            </w:r>
          </w:p>
          <w:p w:rsidR="003A1419" w:rsidRDefault="003A1419" w:rsidP="00BA3C76">
            <w:pPr>
              <w:jc w:val="both"/>
            </w:pPr>
          </w:p>
          <w:p w:rsidR="003A1419" w:rsidRDefault="003A1419" w:rsidP="003A1419">
            <w:pPr>
              <w:pStyle w:val="ListParagraph"/>
              <w:numPr>
                <w:ilvl w:val="0"/>
                <w:numId w:val="12"/>
              </w:numPr>
              <w:jc w:val="both"/>
            </w:pPr>
            <w:r>
              <w:t>Cuckooing has become an increasing issue in Canterbury and across the county</w:t>
            </w:r>
          </w:p>
          <w:p w:rsidR="003A1419" w:rsidRDefault="003A1419" w:rsidP="003A1419">
            <w:pPr>
              <w:pStyle w:val="ListParagraph"/>
              <w:numPr>
                <w:ilvl w:val="0"/>
                <w:numId w:val="12"/>
              </w:numPr>
              <w:jc w:val="both"/>
            </w:pPr>
            <w:r>
              <w:t>A good majority of cases being dealt with using a different approach, including an inconsistent approach to dealing with the support for victims</w:t>
            </w:r>
          </w:p>
          <w:p w:rsidR="003A1419" w:rsidRDefault="003A1419" w:rsidP="003A1419">
            <w:pPr>
              <w:pStyle w:val="ListParagraph"/>
              <w:numPr>
                <w:ilvl w:val="0"/>
                <w:numId w:val="12"/>
              </w:numPr>
              <w:jc w:val="both"/>
            </w:pPr>
            <w:r>
              <w:t>Lack of overall support for victims when a request to move is made, this is not helpful for tenancy sustainment</w:t>
            </w:r>
          </w:p>
          <w:p w:rsidR="003A1419" w:rsidRDefault="003A1419" w:rsidP="003A1419">
            <w:pPr>
              <w:pStyle w:val="ListParagraph"/>
              <w:numPr>
                <w:ilvl w:val="0"/>
                <w:numId w:val="12"/>
              </w:numPr>
              <w:jc w:val="both"/>
            </w:pPr>
            <w:r>
              <w:t>Data collection about the impact of cuckooing is sporadic</w:t>
            </w:r>
          </w:p>
          <w:p w:rsidR="003A1419" w:rsidRDefault="003A1419" w:rsidP="003A1419">
            <w:pPr>
              <w:pStyle w:val="ListParagraph"/>
              <w:numPr>
                <w:ilvl w:val="0"/>
                <w:numId w:val="12"/>
              </w:numPr>
              <w:jc w:val="both"/>
            </w:pPr>
            <w:r>
              <w:t>Working with endorsement from the Community Safety Partnership and the Kent Chief Executives there was collection of data, case studies, examples of good practice and this has resulted in the production of guidance, focused on front line staff</w:t>
            </w:r>
          </w:p>
          <w:p w:rsidR="003A1419" w:rsidRDefault="00072254" w:rsidP="003A1419">
            <w:pPr>
              <w:pStyle w:val="ListParagraph"/>
              <w:numPr>
                <w:ilvl w:val="0"/>
                <w:numId w:val="12"/>
              </w:numPr>
              <w:jc w:val="both"/>
            </w:pPr>
            <w:r>
              <w:t>Recognition that on some occasions the need for a move to alternative accommodation is necessary</w:t>
            </w:r>
          </w:p>
          <w:p w:rsidR="00072254" w:rsidRDefault="00072254" w:rsidP="003A1419">
            <w:pPr>
              <w:pStyle w:val="ListParagraph"/>
              <w:numPr>
                <w:ilvl w:val="0"/>
                <w:numId w:val="12"/>
              </w:numPr>
              <w:jc w:val="both"/>
            </w:pPr>
            <w:r>
              <w:t>Action Plan developed and this covers three key areas, prevention, intervention and recovery, the Action Plan will be shared as an appendix to the main guidance document</w:t>
            </w:r>
          </w:p>
          <w:p w:rsidR="00072254" w:rsidRDefault="00072254" w:rsidP="003A1419">
            <w:pPr>
              <w:pStyle w:val="ListParagraph"/>
              <w:numPr>
                <w:ilvl w:val="0"/>
                <w:numId w:val="12"/>
              </w:numPr>
              <w:jc w:val="both"/>
            </w:pPr>
            <w:r>
              <w:t>Key is to use the right powers at the right time, the pathways and ethos within the guidance has been tested locally in east Kent</w:t>
            </w:r>
          </w:p>
          <w:p w:rsidR="00072254" w:rsidRDefault="00072254" w:rsidP="003A1419">
            <w:pPr>
              <w:pStyle w:val="ListParagraph"/>
              <w:numPr>
                <w:ilvl w:val="0"/>
                <w:numId w:val="12"/>
              </w:numPr>
              <w:jc w:val="both"/>
            </w:pPr>
            <w:r>
              <w:lastRenderedPageBreak/>
              <w:t>Colleagues encouraged to share the guidance digitally and this approach and processes can be used to disrupt organised crime</w:t>
            </w:r>
          </w:p>
          <w:p w:rsidR="00072254" w:rsidRDefault="00072254" w:rsidP="003A1419">
            <w:pPr>
              <w:pStyle w:val="ListParagraph"/>
              <w:numPr>
                <w:ilvl w:val="0"/>
                <w:numId w:val="12"/>
              </w:numPr>
              <w:jc w:val="both"/>
            </w:pPr>
            <w:r>
              <w:t>An east Kent bid has been made to the Police and Crime Commissioner for funding to provide training for staff on cuckooing.</w:t>
            </w:r>
          </w:p>
          <w:p w:rsidR="00072254" w:rsidRPr="00745BAC" w:rsidRDefault="00072254" w:rsidP="00072254">
            <w:pPr>
              <w:pStyle w:val="ListParagraph"/>
              <w:jc w:val="both"/>
            </w:pPr>
          </w:p>
        </w:tc>
        <w:tc>
          <w:tcPr>
            <w:tcW w:w="2977" w:type="dxa"/>
            <w:shd w:val="clear" w:color="auto" w:fill="auto"/>
          </w:tcPr>
          <w:p w:rsidR="00214261" w:rsidRPr="00AA7D59" w:rsidRDefault="00072254" w:rsidP="00373C97">
            <w:pPr>
              <w:rPr>
                <w:b/>
              </w:rPr>
            </w:pPr>
            <w:r>
              <w:rPr>
                <w:b/>
              </w:rPr>
              <w:lastRenderedPageBreak/>
              <w:t>RS to share digital copy of guidance and action plan when shared by MR</w:t>
            </w:r>
          </w:p>
        </w:tc>
        <w:tc>
          <w:tcPr>
            <w:tcW w:w="709" w:type="dxa"/>
            <w:shd w:val="clear" w:color="auto" w:fill="auto"/>
          </w:tcPr>
          <w:p w:rsidR="00214261" w:rsidRPr="0044468F" w:rsidRDefault="00072254" w:rsidP="00D131A0">
            <w:pPr>
              <w:jc w:val="both"/>
              <w:rPr>
                <w:b/>
              </w:rPr>
            </w:pPr>
            <w:r>
              <w:rPr>
                <w:b/>
              </w:rPr>
              <w:t>RS</w:t>
            </w:r>
          </w:p>
        </w:tc>
        <w:tc>
          <w:tcPr>
            <w:tcW w:w="1134" w:type="dxa"/>
            <w:gridSpan w:val="2"/>
            <w:shd w:val="clear" w:color="auto" w:fill="auto"/>
          </w:tcPr>
          <w:p w:rsidR="008F3E58" w:rsidRPr="0044468F" w:rsidRDefault="00072254" w:rsidP="00C5337C">
            <w:pPr>
              <w:rPr>
                <w:b/>
                <w:color w:val="FF0000"/>
              </w:rPr>
            </w:pPr>
            <w:r>
              <w:rPr>
                <w:b/>
                <w:color w:val="FF0000"/>
              </w:rPr>
              <w:t>As available</w:t>
            </w:r>
          </w:p>
        </w:tc>
      </w:tr>
      <w:tr w:rsidR="00C86D65" w:rsidRPr="00745BAC" w:rsidTr="00715328">
        <w:tc>
          <w:tcPr>
            <w:tcW w:w="1702" w:type="dxa"/>
            <w:shd w:val="clear" w:color="auto" w:fill="auto"/>
          </w:tcPr>
          <w:p w:rsidR="00C86D65" w:rsidRPr="00C86D65" w:rsidRDefault="00F93788" w:rsidP="00F93788">
            <w:pPr>
              <w:rPr>
                <w:b/>
              </w:rPr>
            </w:pPr>
            <w:r>
              <w:rPr>
                <w:b/>
              </w:rPr>
              <w:t>Prevent</w:t>
            </w:r>
          </w:p>
        </w:tc>
        <w:tc>
          <w:tcPr>
            <w:tcW w:w="9497" w:type="dxa"/>
            <w:shd w:val="clear" w:color="auto" w:fill="auto"/>
          </w:tcPr>
          <w:p w:rsidR="00EA5EF0" w:rsidRDefault="00A9386E" w:rsidP="00EA5EF0">
            <w:pPr>
              <w:tabs>
                <w:tab w:val="left" w:pos="4420"/>
              </w:tabs>
              <w:jc w:val="both"/>
            </w:pPr>
            <w:r>
              <w:t>LW to share fact sheets in place of the presentation.  Counter Terrorism Security Act 2015 – a new duty placed upon organisations, giving due regard to prevent terrorism in day to day work.   Currently in a period of ‘severe threat’ the nature of the terror threat is constant and at rapid pace.</w:t>
            </w:r>
          </w:p>
          <w:p w:rsidR="00A9386E" w:rsidRDefault="00A9386E" w:rsidP="00EA5EF0">
            <w:pPr>
              <w:tabs>
                <w:tab w:val="left" w:pos="4420"/>
              </w:tabs>
              <w:jc w:val="both"/>
            </w:pPr>
          </w:p>
          <w:p w:rsidR="00A9386E" w:rsidRDefault="00A9386E" w:rsidP="00EA5EF0">
            <w:pPr>
              <w:tabs>
                <w:tab w:val="left" w:pos="4420"/>
              </w:tabs>
              <w:jc w:val="both"/>
            </w:pPr>
            <w:r>
              <w:t xml:space="preserve">Historically have relied on the Police to prevent terrorism, this should now be part of safeguarding work to prevent people becoming radicalised into terrorism.   22 attacks presented since 2017, the number of attacks prevented have doubled, the nature of terrorist attacks makes them more difficult to attack, </w:t>
            </w:r>
            <w:proofErr w:type="gramStart"/>
            <w:r>
              <w:t>700</w:t>
            </w:r>
            <w:proofErr w:type="gramEnd"/>
            <w:r>
              <w:t xml:space="preserve"> live case under investigation.</w:t>
            </w:r>
          </w:p>
          <w:p w:rsidR="00A9386E" w:rsidRDefault="00A9386E" w:rsidP="00EA5EF0">
            <w:pPr>
              <w:tabs>
                <w:tab w:val="left" w:pos="4420"/>
              </w:tabs>
              <w:jc w:val="both"/>
            </w:pPr>
          </w:p>
          <w:p w:rsidR="00A9386E" w:rsidRDefault="00A9386E" w:rsidP="00EA5EF0">
            <w:pPr>
              <w:tabs>
                <w:tab w:val="left" w:pos="4420"/>
              </w:tabs>
              <w:jc w:val="both"/>
            </w:pPr>
            <w:r>
              <w:t xml:space="preserve">LW talked through four attacks that have occurred within in the UK in 2017.  </w:t>
            </w:r>
          </w:p>
          <w:p w:rsidR="00A9386E" w:rsidRDefault="00A9386E" w:rsidP="00EA5EF0">
            <w:pPr>
              <w:tabs>
                <w:tab w:val="left" w:pos="4420"/>
              </w:tabs>
              <w:jc w:val="both"/>
            </w:pPr>
          </w:p>
          <w:p w:rsidR="00E72E18" w:rsidRDefault="00E72E18" w:rsidP="00EA5EF0">
            <w:pPr>
              <w:tabs>
                <w:tab w:val="left" w:pos="4420"/>
              </w:tabs>
              <w:jc w:val="both"/>
            </w:pPr>
            <w:r>
              <w:t>Counter Terrorism Profile – tells the specific risk of a particular area, parts of it are ‘secret’ and can only be seen by particular individuals.  There is a now a thematic overview for the SE, including Kent and Medway.  These include:</w:t>
            </w:r>
          </w:p>
          <w:p w:rsidR="00E72E18" w:rsidRDefault="00E72E18" w:rsidP="00EA5EF0">
            <w:pPr>
              <w:tabs>
                <w:tab w:val="left" w:pos="4420"/>
              </w:tabs>
              <w:jc w:val="both"/>
            </w:pPr>
          </w:p>
          <w:p w:rsidR="00E72E18" w:rsidRDefault="00E72E18" w:rsidP="00EA5EF0">
            <w:pPr>
              <w:tabs>
                <w:tab w:val="left" w:pos="4420"/>
              </w:tabs>
              <w:jc w:val="both"/>
            </w:pPr>
            <w:r>
              <w:t>‘Aspirant Travellers’ – travel out to Syria and other areas and sending funding to other areas.</w:t>
            </w:r>
          </w:p>
          <w:p w:rsidR="00F87DEA" w:rsidRDefault="00E72E18" w:rsidP="00F87DEA">
            <w:pPr>
              <w:tabs>
                <w:tab w:val="left" w:pos="4420"/>
              </w:tabs>
              <w:jc w:val="both"/>
            </w:pPr>
            <w:r>
              <w:t>‘Returnees from conflict zones’ – travelling back to the UK but may have been radicalised and cause harm in the UK</w:t>
            </w:r>
          </w:p>
          <w:p w:rsidR="00F87DEA" w:rsidRDefault="00F87DEA" w:rsidP="00F87DEA">
            <w:pPr>
              <w:tabs>
                <w:tab w:val="left" w:pos="4420"/>
              </w:tabs>
              <w:jc w:val="both"/>
            </w:pPr>
            <w:r>
              <w:t>Vulnerability, need for affiliation and belonging can led to radicalisation.</w:t>
            </w:r>
          </w:p>
          <w:p w:rsidR="00F87DEA" w:rsidRDefault="00F87DEA" w:rsidP="00F87DEA">
            <w:pPr>
              <w:tabs>
                <w:tab w:val="left" w:pos="4420"/>
              </w:tabs>
              <w:jc w:val="both"/>
            </w:pPr>
          </w:p>
          <w:p w:rsidR="00F87DEA" w:rsidRDefault="00F87DEA" w:rsidP="00F87DEA">
            <w:pPr>
              <w:tabs>
                <w:tab w:val="left" w:pos="4420"/>
              </w:tabs>
              <w:jc w:val="both"/>
            </w:pPr>
            <w:r>
              <w:t xml:space="preserve">Use </w:t>
            </w:r>
            <w:hyperlink r:id="rId8" w:history="1">
              <w:r w:rsidRPr="00ED12F2">
                <w:rPr>
                  <w:rStyle w:val="Hyperlink"/>
                </w:rPr>
                <w:t>www.kscmp.org.uk/prevent</w:t>
              </w:r>
            </w:hyperlink>
            <w:r>
              <w:t xml:space="preserve"> to report or make a referral</w:t>
            </w:r>
          </w:p>
          <w:p w:rsidR="00F87DEA" w:rsidRDefault="00F87DEA" w:rsidP="00F87DEA">
            <w:pPr>
              <w:tabs>
                <w:tab w:val="left" w:pos="4420"/>
              </w:tabs>
              <w:jc w:val="both"/>
            </w:pPr>
          </w:p>
          <w:p w:rsidR="00F87DEA" w:rsidRDefault="00F87DEA" w:rsidP="00F87DEA">
            <w:pPr>
              <w:tabs>
                <w:tab w:val="left" w:pos="4420"/>
              </w:tabs>
              <w:jc w:val="both"/>
            </w:pPr>
            <w:r>
              <w:t xml:space="preserve">Ok to share contact details for the Prevent Team </w:t>
            </w:r>
            <w:r w:rsidR="00B51A2A">
              <w:t>–</w:t>
            </w:r>
            <w:r>
              <w:t xml:space="preserve"> </w:t>
            </w:r>
            <w:r w:rsidR="00072254">
              <w:t xml:space="preserve">Nick Wilkinson, KCC Prevent and Channel Strategic Manager </w:t>
            </w:r>
            <w:hyperlink r:id="rId9" w:history="1">
              <w:r w:rsidR="00072254" w:rsidRPr="00ED12F2">
                <w:rPr>
                  <w:rStyle w:val="Hyperlink"/>
                </w:rPr>
                <w:t>nick.wilkinson@kent.gov.uk</w:t>
              </w:r>
            </w:hyperlink>
            <w:r w:rsidR="00072254">
              <w:t xml:space="preserve"> ; Laura Wright, KCC Prevent Coordinator </w:t>
            </w:r>
            <w:hyperlink r:id="rId10" w:history="1">
              <w:r w:rsidR="00072254" w:rsidRPr="00ED12F2">
                <w:rPr>
                  <w:rStyle w:val="Hyperlink"/>
                </w:rPr>
                <w:t>laura.wright@kent.gov.uk</w:t>
              </w:r>
            </w:hyperlink>
            <w:r w:rsidR="00072254">
              <w:t xml:space="preserve"> ; Sally Green, KCC Prevent Education Officer </w:t>
            </w:r>
            <w:hyperlink r:id="rId11" w:history="1">
              <w:r w:rsidR="00072254" w:rsidRPr="00ED12F2">
                <w:rPr>
                  <w:rStyle w:val="Hyperlink"/>
                </w:rPr>
                <w:t>sally.green2@kent.gov.uk</w:t>
              </w:r>
            </w:hyperlink>
            <w:r w:rsidR="00072254">
              <w:t xml:space="preserve"> ; Helene Morris, KCC Prevent Officer </w:t>
            </w:r>
            <w:hyperlink r:id="rId12" w:history="1">
              <w:r w:rsidR="00072254" w:rsidRPr="00ED12F2">
                <w:rPr>
                  <w:rStyle w:val="Hyperlink"/>
                </w:rPr>
                <w:t>helene.morris@kent.gov.uk</w:t>
              </w:r>
            </w:hyperlink>
            <w:r w:rsidR="00072254">
              <w:t xml:space="preserve">; Prevent Referrals </w:t>
            </w:r>
            <w:hyperlink r:id="rId13" w:history="1">
              <w:r w:rsidR="00072254" w:rsidRPr="00ED12F2">
                <w:rPr>
                  <w:rStyle w:val="Hyperlink"/>
                </w:rPr>
                <w:t>prevent.referrals@kent.police.uk</w:t>
              </w:r>
            </w:hyperlink>
            <w:r w:rsidR="00072254">
              <w:t xml:space="preserve"> </w:t>
            </w:r>
          </w:p>
          <w:p w:rsidR="00B51A2A" w:rsidRDefault="00B51A2A" w:rsidP="00F87DEA">
            <w:pPr>
              <w:tabs>
                <w:tab w:val="left" w:pos="4420"/>
              </w:tabs>
              <w:jc w:val="both"/>
            </w:pPr>
          </w:p>
          <w:p w:rsidR="00B51A2A" w:rsidRDefault="00B51A2A" w:rsidP="00F87DEA">
            <w:pPr>
              <w:tabs>
                <w:tab w:val="left" w:pos="4420"/>
              </w:tabs>
              <w:jc w:val="both"/>
            </w:pPr>
            <w:r>
              <w:t>The Home Office can have priority areas across the UK, but the whole country is ranked as ‘Severe’</w:t>
            </w:r>
            <w:r w:rsidR="00BC6FF3">
              <w:t>.</w:t>
            </w:r>
          </w:p>
          <w:p w:rsidR="00E72E18" w:rsidRDefault="00E72E18" w:rsidP="00EA5EF0">
            <w:pPr>
              <w:tabs>
                <w:tab w:val="left" w:pos="4420"/>
              </w:tabs>
              <w:jc w:val="both"/>
            </w:pPr>
          </w:p>
        </w:tc>
        <w:tc>
          <w:tcPr>
            <w:tcW w:w="2977" w:type="dxa"/>
            <w:shd w:val="clear" w:color="auto" w:fill="auto"/>
          </w:tcPr>
          <w:p w:rsidR="00C86D65" w:rsidRPr="00AA7D59" w:rsidRDefault="00072254" w:rsidP="00C76E5F">
            <w:pPr>
              <w:rPr>
                <w:b/>
              </w:rPr>
            </w:pPr>
            <w:r>
              <w:rPr>
                <w:b/>
              </w:rPr>
              <w:t>RS to share digital fact sheets by email</w:t>
            </w:r>
          </w:p>
        </w:tc>
        <w:tc>
          <w:tcPr>
            <w:tcW w:w="709" w:type="dxa"/>
            <w:shd w:val="clear" w:color="auto" w:fill="auto"/>
          </w:tcPr>
          <w:p w:rsidR="00C86D65" w:rsidRDefault="00072254" w:rsidP="00D131A0">
            <w:pPr>
              <w:jc w:val="both"/>
              <w:rPr>
                <w:b/>
              </w:rPr>
            </w:pPr>
            <w:r>
              <w:rPr>
                <w:b/>
              </w:rPr>
              <w:t>RS</w:t>
            </w:r>
          </w:p>
        </w:tc>
        <w:tc>
          <w:tcPr>
            <w:tcW w:w="1134" w:type="dxa"/>
            <w:gridSpan w:val="2"/>
            <w:shd w:val="clear" w:color="auto" w:fill="auto"/>
          </w:tcPr>
          <w:p w:rsidR="00C86D65" w:rsidRDefault="00072254" w:rsidP="00715328">
            <w:pPr>
              <w:rPr>
                <w:b/>
                <w:color w:val="FF0000"/>
              </w:rPr>
            </w:pPr>
            <w:r>
              <w:rPr>
                <w:b/>
                <w:color w:val="FF0000"/>
              </w:rPr>
              <w:t>As available</w:t>
            </w:r>
          </w:p>
        </w:tc>
      </w:tr>
      <w:tr w:rsidR="00C86D65" w:rsidRPr="00745BAC" w:rsidTr="00715328">
        <w:tc>
          <w:tcPr>
            <w:tcW w:w="1702" w:type="dxa"/>
            <w:shd w:val="clear" w:color="auto" w:fill="auto"/>
          </w:tcPr>
          <w:p w:rsidR="00C86D65" w:rsidRPr="00C86D65" w:rsidRDefault="00F93788" w:rsidP="008719B0">
            <w:pPr>
              <w:rPr>
                <w:b/>
              </w:rPr>
            </w:pPr>
            <w:r>
              <w:rPr>
                <w:b/>
              </w:rPr>
              <w:lastRenderedPageBreak/>
              <w:t>The Tort Act</w:t>
            </w:r>
          </w:p>
        </w:tc>
        <w:tc>
          <w:tcPr>
            <w:tcW w:w="9497" w:type="dxa"/>
            <w:shd w:val="clear" w:color="auto" w:fill="auto"/>
          </w:tcPr>
          <w:p w:rsidR="00A53DE4" w:rsidRDefault="00A53DE4" w:rsidP="008B0ABE">
            <w:pPr>
              <w:jc w:val="both"/>
            </w:pPr>
            <w:r>
              <w:t xml:space="preserve"> </w:t>
            </w:r>
            <w:r w:rsidR="00BC6FF3">
              <w:t>AC advised that Ashford BC have experienced difficulties with regards to ending tenancies when a person has no capacity or family members.  Having asked across the KHG membership there was a varied response about how these tenancies are ended, are colleagues using a Tort notice and is this in conjunction with another notice and the relationship with Adult Social Care.</w:t>
            </w:r>
          </w:p>
          <w:p w:rsidR="00BC6FF3" w:rsidRDefault="00BC6FF3" w:rsidP="008B0ABE">
            <w:pPr>
              <w:jc w:val="both"/>
            </w:pPr>
          </w:p>
          <w:p w:rsidR="00BC6FF3" w:rsidRDefault="00BC6FF3" w:rsidP="008B0ABE">
            <w:pPr>
              <w:jc w:val="both"/>
            </w:pPr>
            <w:r>
              <w:t xml:space="preserve">DP advised that advice from their legal team was about a NTQ served, the Tort is then served when property is recovered, once that notice period has expired (14 days) the contents are disposed of.  </w:t>
            </w:r>
            <w:proofErr w:type="gramStart"/>
            <w:r>
              <w:t>ME</w:t>
            </w:r>
            <w:proofErr w:type="gramEnd"/>
            <w:r>
              <w:t xml:space="preserve"> advised that MHS do not clear to store, if still in occupation will serve a Tort notice and is on their internal system is recorded as a ‘Tort Tenancy’.    Optivo have used legal support internally through Litigation Friend as there is now power of eternity or capacity of tenancy.</w:t>
            </w:r>
          </w:p>
          <w:p w:rsidR="00BC6FF3" w:rsidRDefault="00BC6FF3" w:rsidP="008B0ABE">
            <w:pPr>
              <w:jc w:val="both"/>
            </w:pPr>
          </w:p>
          <w:p w:rsidR="00BC6FF3" w:rsidRDefault="00BC6FF3" w:rsidP="008B0ABE">
            <w:pPr>
              <w:jc w:val="both"/>
            </w:pPr>
            <w:r>
              <w:t>ME to share his policy about termination of ten</w:t>
            </w:r>
            <w:r w:rsidR="00172830">
              <w:t>ancy.</w:t>
            </w:r>
          </w:p>
          <w:p w:rsidR="00172830" w:rsidRDefault="00172830" w:rsidP="008B0ABE">
            <w:pPr>
              <w:jc w:val="both"/>
            </w:pPr>
          </w:p>
          <w:p w:rsidR="00172830" w:rsidRDefault="00172830" w:rsidP="008B0ABE">
            <w:pPr>
              <w:jc w:val="both"/>
            </w:pPr>
            <w:r>
              <w:t>VC advised that TCH have a ‘justification note’ when taking action ahead of notice being served, useful recording and audit trail and therefore how a decision is made.  Colleagues to share good examples of practice about Tort and end of tenancy policy for information.</w:t>
            </w:r>
          </w:p>
          <w:p w:rsidR="00172830" w:rsidRPr="00745BAC" w:rsidRDefault="00172830" w:rsidP="008B0ABE">
            <w:pPr>
              <w:jc w:val="both"/>
            </w:pPr>
          </w:p>
        </w:tc>
        <w:tc>
          <w:tcPr>
            <w:tcW w:w="2977" w:type="dxa"/>
            <w:shd w:val="clear" w:color="auto" w:fill="auto"/>
          </w:tcPr>
          <w:p w:rsidR="008B0ABE" w:rsidRDefault="008B0ABE"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Default="00072254" w:rsidP="001C12F4">
            <w:pPr>
              <w:jc w:val="both"/>
              <w:rPr>
                <w:b/>
              </w:rPr>
            </w:pPr>
          </w:p>
          <w:p w:rsidR="00072254" w:rsidRPr="008719B0" w:rsidRDefault="00072254" w:rsidP="001C12F4">
            <w:pPr>
              <w:jc w:val="both"/>
              <w:rPr>
                <w:b/>
              </w:rPr>
            </w:pPr>
            <w:r>
              <w:rPr>
                <w:b/>
              </w:rPr>
              <w:t>ME to share policy details via RS</w:t>
            </w:r>
          </w:p>
        </w:tc>
        <w:tc>
          <w:tcPr>
            <w:tcW w:w="709" w:type="dxa"/>
            <w:shd w:val="clear" w:color="auto" w:fill="auto"/>
          </w:tcPr>
          <w:p w:rsidR="00E812C0" w:rsidRDefault="00E812C0"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Default="00072254" w:rsidP="00D131A0">
            <w:pPr>
              <w:jc w:val="both"/>
              <w:rPr>
                <w:b/>
              </w:rPr>
            </w:pPr>
          </w:p>
          <w:p w:rsidR="00072254" w:rsidRPr="0044468F" w:rsidRDefault="00072254" w:rsidP="00D131A0">
            <w:pPr>
              <w:jc w:val="both"/>
              <w:rPr>
                <w:b/>
              </w:rPr>
            </w:pPr>
            <w:r>
              <w:rPr>
                <w:b/>
              </w:rPr>
              <w:t>RS</w:t>
            </w:r>
          </w:p>
        </w:tc>
        <w:tc>
          <w:tcPr>
            <w:tcW w:w="1134" w:type="dxa"/>
            <w:gridSpan w:val="2"/>
            <w:shd w:val="clear" w:color="auto" w:fill="auto"/>
          </w:tcPr>
          <w:p w:rsidR="00E812C0" w:rsidRDefault="00E812C0"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Default="00072254" w:rsidP="00D131A0">
            <w:pPr>
              <w:jc w:val="both"/>
              <w:rPr>
                <w:b/>
                <w:color w:val="FF0000"/>
              </w:rPr>
            </w:pPr>
          </w:p>
          <w:p w:rsidR="00072254" w:rsidRPr="0044468F" w:rsidRDefault="00072254" w:rsidP="00D131A0">
            <w:pPr>
              <w:jc w:val="both"/>
              <w:rPr>
                <w:b/>
                <w:color w:val="FF0000"/>
              </w:rPr>
            </w:pPr>
            <w:r>
              <w:rPr>
                <w:b/>
                <w:color w:val="FF0000"/>
              </w:rPr>
              <w:t xml:space="preserve">As available </w:t>
            </w:r>
          </w:p>
        </w:tc>
      </w:tr>
      <w:tr w:rsidR="00C86D65" w:rsidRPr="00745BAC" w:rsidTr="00715328">
        <w:tc>
          <w:tcPr>
            <w:tcW w:w="1702" w:type="dxa"/>
            <w:shd w:val="clear" w:color="auto" w:fill="auto"/>
          </w:tcPr>
          <w:p w:rsidR="00C86D65" w:rsidRPr="00C86D65" w:rsidRDefault="00F93788" w:rsidP="008719B0">
            <w:pPr>
              <w:rPr>
                <w:b/>
              </w:rPr>
            </w:pPr>
            <w:r>
              <w:rPr>
                <w:b/>
              </w:rPr>
              <w:t>Review of the Eviction Protocol</w:t>
            </w:r>
          </w:p>
        </w:tc>
        <w:tc>
          <w:tcPr>
            <w:tcW w:w="9497" w:type="dxa"/>
            <w:shd w:val="clear" w:color="auto" w:fill="auto"/>
          </w:tcPr>
          <w:p w:rsidR="00072254" w:rsidRDefault="00072254" w:rsidP="0044178D">
            <w:pPr>
              <w:jc w:val="both"/>
            </w:pPr>
            <w:r>
              <w:t xml:space="preserve">RS instigated a discussion about the draft Pre Eviction Protocol which is hoped to be signed </w:t>
            </w:r>
            <w:r w:rsidR="00FB3474">
              <w:t>off by</w:t>
            </w:r>
            <w:r>
              <w:t xml:space="preserve"> both this group and the Kent Housing Options Group.  The feedback previously was that making the referral to housing options teams at the point of serving a notice was too early, this has now been revised.   The new protocol reflects the focus of prevention of homelessness.</w:t>
            </w:r>
          </w:p>
          <w:p w:rsidR="00072254" w:rsidRDefault="00072254" w:rsidP="0044178D">
            <w:pPr>
              <w:jc w:val="both"/>
            </w:pPr>
          </w:p>
          <w:p w:rsidR="00F84893" w:rsidRDefault="00172830" w:rsidP="0044178D">
            <w:pPr>
              <w:jc w:val="both"/>
            </w:pPr>
            <w:proofErr w:type="gramStart"/>
            <w:r>
              <w:t>ME</w:t>
            </w:r>
            <w:proofErr w:type="gramEnd"/>
            <w:r>
              <w:t xml:space="preserve"> advised that in Medway the Housing Options Team are inviting those at risk of notice being served to have a conversation about the risk of homelessness, these s</w:t>
            </w:r>
            <w:r w:rsidR="00072254">
              <w:t>essions happen weekly current and prove successful.</w:t>
            </w:r>
          </w:p>
          <w:p w:rsidR="00072254" w:rsidRDefault="00072254" w:rsidP="0044178D">
            <w:pPr>
              <w:jc w:val="both"/>
            </w:pPr>
          </w:p>
          <w:p w:rsidR="00072254" w:rsidRDefault="00072254" w:rsidP="0044178D">
            <w:pPr>
              <w:jc w:val="both"/>
            </w:pPr>
            <w:r>
              <w:t xml:space="preserve">It was agreed that </w:t>
            </w:r>
            <w:r w:rsidR="00FB3474">
              <w:t>RS would share the draft protocol again for the group to review and feedback any comments by an agreed date, feedback would then be shared at the KHOG meeting on the 31</w:t>
            </w:r>
            <w:r w:rsidR="00FB3474" w:rsidRPr="00FB3474">
              <w:rPr>
                <w:vertAlign w:val="superscript"/>
              </w:rPr>
              <w:t>st</w:t>
            </w:r>
            <w:r w:rsidR="00FB3474">
              <w:t xml:space="preserve"> October with the intention to have a final version agreed and published.</w:t>
            </w:r>
          </w:p>
          <w:p w:rsidR="00C8239C" w:rsidRDefault="00C8239C" w:rsidP="0044178D">
            <w:pPr>
              <w:jc w:val="both"/>
            </w:pPr>
          </w:p>
          <w:p w:rsidR="00C8239C" w:rsidRPr="00745BAC" w:rsidRDefault="00C8239C" w:rsidP="0044178D">
            <w:pPr>
              <w:jc w:val="both"/>
            </w:pPr>
          </w:p>
        </w:tc>
        <w:tc>
          <w:tcPr>
            <w:tcW w:w="2977" w:type="dxa"/>
            <w:shd w:val="clear" w:color="auto" w:fill="auto"/>
          </w:tcPr>
          <w:p w:rsidR="00CB2B0F" w:rsidRDefault="00CB2B0F"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Pr="002D0116" w:rsidRDefault="00FB3474" w:rsidP="002D0116">
            <w:pPr>
              <w:rPr>
                <w:b/>
              </w:rPr>
            </w:pPr>
            <w:r>
              <w:rPr>
                <w:b/>
              </w:rPr>
              <w:t>Colleagues to share any feedback on the draft shared with the meeting notes by Monday 21</w:t>
            </w:r>
            <w:r w:rsidRPr="00FB3474">
              <w:rPr>
                <w:b/>
                <w:vertAlign w:val="superscript"/>
              </w:rPr>
              <w:t>st</w:t>
            </w:r>
            <w:r>
              <w:rPr>
                <w:b/>
              </w:rPr>
              <w:t xml:space="preserve"> October</w:t>
            </w:r>
          </w:p>
        </w:tc>
        <w:tc>
          <w:tcPr>
            <w:tcW w:w="709" w:type="dxa"/>
            <w:shd w:val="clear" w:color="auto" w:fill="auto"/>
          </w:tcPr>
          <w:p w:rsidR="00CB2B0F" w:rsidRDefault="00CB2B0F"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Pr="0044468F" w:rsidRDefault="00FB3474" w:rsidP="002D0116">
            <w:pPr>
              <w:rPr>
                <w:b/>
              </w:rPr>
            </w:pPr>
            <w:r>
              <w:rPr>
                <w:b/>
              </w:rPr>
              <w:t>ALL</w:t>
            </w:r>
          </w:p>
        </w:tc>
        <w:tc>
          <w:tcPr>
            <w:tcW w:w="1134" w:type="dxa"/>
            <w:gridSpan w:val="2"/>
            <w:shd w:val="clear" w:color="auto" w:fill="auto"/>
          </w:tcPr>
          <w:p w:rsidR="002D0116" w:rsidRDefault="002D0116" w:rsidP="002D0116">
            <w:pPr>
              <w:rPr>
                <w:b/>
                <w:color w:val="FF0000"/>
              </w:rPr>
            </w:pPr>
          </w:p>
          <w:p w:rsidR="00FB3474" w:rsidRDefault="00FB3474" w:rsidP="002D0116">
            <w:pPr>
              <w:rPr>
                <w:b/>
                <w:color w:val="FF0000"/>
              </w:rPr>
            </w:pPr>
          </w:p>
          <w:p w:rsidR="00FB3474" w:rsidRDefault="00FB3474" w:rsidP="002D0116">
            <w:pPr>
              <w:rPr>
                <w:b/>
                <w:color w:val="FF0000"/>
              </w:rPr>
            </w:pPr>
          </w:p>
          <w:p w:rsidR="00FB3474" w:rsidRDefault="00FB3474" w:rsidP="002D0116">
            <w:pPr>
              <w:rPr>
                <w:b/>
                <w:color w:val="FF0000"/>
              </w:rPr>
            </w:pPr>
          </w:p>
          <w:p w:rsidR="00FB3474" w:rsidRDefault="00FB3474" w:rsidP="002D0116">
            <w:pPr>
              <w:rPr>
                <w:b/>
                <w:color w:val="FF0000"/>
              </w:rPr>
            </w:pPr>
          </w:p>
          <w:p w:rsidR="00FB3474" w:rsidRDefault="00FB3474" w:rsidP="002D0116">
            <w:pPr>
              <w:rPr>
                <w:b/>
                <w:color w:val="FF0000"/>
              </w:rPr>
            </w:pPr>
          </w:p>
          <w:p w:rsidR="00FB3474" w:rsidRDefault="00FB3474" w:rsidP="002D0116">
            <w:pPr>
              <w:rPr>
                <w:b/>
                <w:color w:val="FF0000"/>
              </w:rPr>
            </w:pPr>
          </w:p>
          <w:p w:rsidR="00FB3474" w:rsidRDefault="00FB3474" w:rsidP="002D0116">
            <w:pPr>
              <w:rPr>
                <w:b/>
                <w:color w:val="FF0000"/>
              </w:rPr>
            </w:pPr>
          </w:p>
          <w:p w:rsidR="00FB3474" w:rsidRDefault="00FB3474" w:rsidP="002D0116">
            <w:pPr>
              <w:rPr>
                <w:b/>
                <w:color w:val="FF0000"/>
              </w:rPr>
            </w:pPr>
          </w:p>
          <w:p w:rsidR="00FB3474" w:rsidRPr="0044468F" w:rsidRDefault="00FB3474" w:rsidP="002D0116">
            <w:pPr>
              <w:rPr>
                <w:b/>
                <w:color w:val="FF0000"/>
              </w:rPr>
            </w:pPr>
            <w:r>
              <w:rPr>
                <w:b/>
                <w:color w:val="FF0000"/>
              </w:rPr>
              <w:t>By 21</w:t>
            </w:r>
            <w:r w:rsidRPr="00FB3474">
              <w:rPr>
                <w:b/>
                <w:color w:val="FF0000"/>
                <w:vertAlign w:val="superscript"/>
              </w:rPr>
              <w:t>st</w:t>
            </w:r>
            <w:r>
              <w:rPr>
                <w:b/>
                <w:color w:val="FF0000"/>
              </w:rPr>
              <w:t xml:space="preserve"> Oct 2019</w:t>
            </w:r>
          </w:p>
        </w:tc>
      </w:tr>
      <w:tr w:rsidR="00C86D65" w:rsidRPr="00745BAC" w:rsidTr="00715328">
        <w:tc>
          <w:tcPr>
            <w:tcW w:w="1702" w:type="dxa"/>
            <w:shd w:val="clear" w:color="auto" w:fill="auto"/>
          </w:tcPr>
          <w:p w:rsidR="00C86D65" w:rsidRPr="00C86D65" w:rsidRDefault="00F93788" w:rsidP="008719B0">
            <w:pPr>
              <w:rPr>
                <w:b/>
              </w:rPr>
            </w:pPr>
            <w:r>
              <w:rPr>
                <w:b/>
              </w:rPr>
              <w:t>Rent Arrears and UC</w:t>
            </w:r>
          </w:p>
        </w:tc>
        <w:tc>
          <w:tcPr>
            <w:tcW w:w="9497" w:type="dxa"/>
            <w:shd w:val="clear" w:color="auto" w:fill="auto"/>
          </w:tcPr>
          <w:p w:rsidR="0090104C" w:rsidRDefault="00C8239C" w:rsidP="001C12F4">
            <w:pPr>
              <w:jc w:val="both"/>
            </w:pPr>
            <w:proofErr w:type="gramStart"/>
            <w:r>
              <w:t>ME</w:t>
            </w:r>
            <w:proofErr w:type="gramEnd"/>
            <w:r>
              <w:t xml:space="preserve"> advised that this will remain as a standing item for the group moving forward.  AC advised that 495 tenants on UC, 3 of 12 evictions are for UC, not accepting APA unless exceptional circumstances.  DP raised that this should be reflected in an application to court with regards to APA as is this is a missed opportunity to avoid eviction.</w:t>
            </w:r>
          </w:p>
          <w:p w:rsidR="00C8239C" w:rsidRDefault="00C8239C" w:rsidP="001C12F4">
            <w:pPr>
              <w:jc w:val="both"/>
            </w:pPr>
            <w:r>
              <w:lastRenderedPageBreak/>
              <w:t>DE advised that approximately 600 tenants on UC.   DP advised that a large number of tenants on UC are in arrears but were previously.  Not many evictions for GCHA, focused work to get individuals back on track and they can overcome the disruption of UC, they also use a text trigger reminder about UC and paying rent and also for a missed rent payment.   GCHA have had UC embedded due to stock distribution for about 4 years so have a good amount of experience in dealing with UC.</w:t>
            </w:r>
          </w:p>
          <w:p w:rsidR="00C8239C" w:rsidRDefault="00C8239C" w:rsidP="001C12F4">
            <w:pPr>
              <w:jc w:val="both"/>
            </w:pPr>
          </w:p>
          <w:p w:rsidR="00C8239C" w:rsidRDefault="00C8239C" w:rsidP="001C12F4">
            <w:pPr>
              <w:jc w:val="both"/>
            </w:pPr>
            <w:r>
              <w:t>DP advised that on line there is an online button to make a request for an APA (7 question criteria).</w:t>
            </w:r>
          </w:p>
          <w:p w:rsidR="00C8239C" w:rsidRDefault="00C8239C" w:rsidP="001C12F4">
            <w:pPr>
              <w:jc w:val="both"/>
            </w:pPr>
          </w:p>
          <w:p w:rsidR="00C8239C" w:rsidRDefault="00C8239C" w:rsidP="001C12F4">
            <w:pPr>
              <w:jc w:val="both"/>
            </w:pPr>
            <w:r>
              <w:t>Information from TCH via email – ‘</w:t>
            </w:r>
            <w:r w:rsidRPr="00C8239C">
              <w:rPr>
                <w:i/>
              </w:rPr>
              <w:t>we now have 1073 tenants in receipt of UC, We are receiving direct payment for 112 (10.4%) of these’.</w:t>
            </w:r>
          </w:p>
          <w:p w:rsidR="00C8239C" w:rsidRDefault="00C8239C" w:rsidP="001C12F4">
            <w:pPr>
              <w:jc w:val="both"/>
            </w:pPr>
          </w:p>
          <w:p w:rsidR="00C8239C" w:rsidRDefault="00C8239C" w:rsidP="001C12F4">
            <w:pPr>
              <w:jc w:val="both"/>
            </w:pPr>
            <w:proofErr w:type="gramStart"/>
            <w:r>
              <w:t>ME</w:t>
            </w:r>
            <w:proofErr w:type="gramEnd"/>
            <w:r>
              <w:t xml:space="preserve"> questioned if anyone has automated reconciliation of payments, as currently in some areas provided by post and this is an administrative burden.  DE advised that their recent reconciliation information </w:t>
            </w:r>
            <w:r w:rsidR="006E5A11">
              <w:t>has com</w:t>
            </w:r>
            <w:r>
              <w:t>e via email.</w:t>
            </w:r>
          </w:p>
          <w:p w:rsidR="00C8239C" w:rsidRDefault="00C8239C" w:rsidP="001C12F4">
            <w:pPr>
              <w:jc w:val="both"/>
            </w:pPr>
          </w:p>
          <w:p w:rsidR="006E5A11" w:rsidRDefault="006E5A11" w:rsidP="001C12F4">
            <w:pPr>
              <w:jc w:val="both"/>
            </w:pPr>
            <w:r>
              <w:t xml:space="preserve">To ask DWP if can come to a future meeting and talk about what is forth coming with regards to UC.  DE has a colleague within his team that could attend to discuss </w:t>
            </w:r>
          </w:p>
          <w:p w:rsidR="00C8239C" w:rsidRPr="00745BAC" w:rsidRDefault="00C8239C" w:rsidP="001C12F4">
            <w:pPr>
              <w:jc w:val="both"/>
            </w:pPr>
          </w:p>
        </w:tc>
        <w:tc>
          <w:tcPr>
            <w:tcW w:w="2977" w:type="dxa"/>
            <w:shd w:val="clear" w:color="auto" w:fill="auto"/>
          </w:tcPr>
          <w:p w:rsidR="00C86D65" w:rsidRDefault="00C86D65"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Default="00FB3474" w:rsidP="002D0116">
            <w:pPr>
              <w:rPr>
                <w:b/>
              </w:rPr>
            </w:pPr>
          </w:p>
          <w:p w:rsidR="00FB3474" w:rsidRPr="0027714F" w:rsidRDefault="00FB3474" w:rsidP="002D0116">
            <w:pPr>
              <w:rPr>
                <w:b/>
              </w:rPr>
            </w:pPr>
            <w:r>
              <w:rPr>
                <w:b/>
              </w:rPr>
              <w:t>RS to approach DWP colleagues / DE to approach Dartford BC colleague</w:t>
            </w:r>
          </w:p>
        </w:tc>
        <w:tc>
          <w:tcPr>
            <w:tcW w:w="709" w:type="dxa"/>
            <w:shd w:val="clear" w:color="auto" w:fill="auto"/>
          </w:tcPr>
          <w:p w:rsidR="00C86D65" w:rsidRDefault="00C86D65"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Pr="0044468F" w:rsidRDefault="00FB3474" w:rsidP="00D131A0">
            <w:pPr>
              <w:jc w:val="both"/>
              <w:rPr>
                <w:b/>
              </w:rPr>
            </w:pPr>
            <w:r>
              <w:rPr>
                <w:b/>
              </w:rPr>
              <w:t>RS / DE</w:t>
            </w:r>
          </w:p>
        </w:tc>
        <w:tc>
          <w:tcPr>
            <w:tcW w:w="1134" w:type="dxa"/>
            <w:gridSpan w:val="2"/>
            <w:shd w:val="clear" w:color="auto" w:fill="auto"/>
          </w:tcPr>
          <w:p w:rsidR="00C86D65" w:rsidRDefault="00C86D65"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Default="00FB3474" w:rsidP="00CC02A0">
            <w:pPr>
              <w:rPr>
                <w:b/>
                <w:color w:val="FF0000"/>
              </w:rPr>
            </w:pPr>
          </w:p>
          <w:p w:rsidR="00FB3474" w:rsidRPr="0027714F" w:rsidRDefault="00FB3474" w:rsidP="00CC02A0">
            <w:pPr>
              <w:rPr>
                <w:b/>
                <w:color w:val="FF0000"/>
              </w:rPr>
            </w:pPr>
            <w:r>
              <w:rPr>
                <w:b/>
                <w:color w:val="FF0000"/>
              </w:rPr>
              <w:t>For Feb 2020 date</w:t>
            </w:r>
          </w:p>
        </w:tc>
      </w:tr>
      <w:tr w:rsidR="00C86D65" w:rsidRPr="00745BAC" w:rsidTr="00715328">
        <w:tc>
          <w:tcPr>
            <w:tcW w:w="1702" w:type="dxa"/>
            <w:shd w:val="clear" w:color="auto" w:fill="auto"/>
          </w:tcPr>
          <w:p w:rsidR="00C86D65" w:rsidRPr="00C86D65" w:rsidRDefault="00F93788" w:rsidP="008719B0">
            <w:pPr>
              <w:rPr>
                <w:b/>
              </w:rPr>
            </w:pPr>
            <w:r>
              <w:rPr>
                <w:b/>
              </w:rPr>
              <w:lastRenderedPageBreak/>
              <w:t xml:space="preserve">See the Person </w:t>
            </w:r>
            <w:r w:rsidR="006E5A11">
              <w:rPr>
                <w:b/>
              </w:rPr>
              <w:t>Campaign</w:t>
            </w:r>
          </w:p>
        </w:tc>
        <w:tc>
          <w:tcPr>
            <w:tcW w:w="9497" w:type="dxa"/>
            <w:shd w:val="clear" w:color="auto" w:fill="auto"/>
          </w:tcPr>
          <w:p w:rsidR="006E5A11" w:rsidRDefault="006E5A11" w:rsidP="001C12F4">
            <w:pPr>
              <w:jc w:val="both"/>
            </w:pPr>
            <w:proofErr w:type="gramStart"/>
            <w:r>
              <w:t>ME</w:t>
            </w:r>
            <w:proofErr w:type="gramEnd"/>
            <w:r>
              <w:t xml:space="preserve"> is going to de</w:t>
            </w:r>
            <w:r w:rsidR="008C324E">
              <w:t>fer the See the Person Campaign to the February meeting agenda.</w:t>
            </w:r>
            <w:r w:rsidR="00FB3474">
              <w:t xml:space="preserve">  </w:t>
            </w:r>
            <w:r>
              <w:t>Make a Stand Campaign to be on the agenda for the KMSG</w:t>
            </w:r>
            <w:r w:rsidR="00FB3474">
              <w:t xml:space="preserve"> February</w:t>
            </w:r>
            <w:r>
              <w:t xml:space="preserve"> meeting.</w:t>
            </w:r>
          </w:p>
          <w:p w:rsidR="006E5A11" w:rsidRPr="00676FD2" w:rsidRDefault="006E5A11" w:rsidP="001C12F4">
            <w:pPr>
              <w:jc w:val="both"/>
            </w:pPr>
          </w:p>
        </w:tc>
        <w:tc>
          <w:tcPr>
            <w:tcW w:w="2977" w:type="dxa"/>
            <w:shd w:val="clear" w:color="auto" w:fill="auto"/>
          </w:tcPr>
          <w:p w:rsidR="004919F6" w:rsidRPr="00FB3474" w:rsidRDefault="00FB3474" w:rsidP="006A1123">
            <w:pPr>
              <w:rPr>
                <w:b/>
              </w:rPr>
            </w:pPr>
            <w:r w:rsidRPr="00FB3474">
              <w:rPr>
                <w:b/>
              </w:rPr>
              <w:t>RS to note for February 2020 agenda</w:t>
            </w:r>
          </w:p>
        </w:tc>
        <w:tc>
          <w:tcPr>
            <w:tcW w:w="709" w:type="dxa"/>
            <w:shd w:val="clear" w:color="auto" w:fill="auto"/>
          </w:tcPr>
          <w:p w:rsidR="004919F6" w:rsidRPr="0044468F" w:rsidRDefault="00FB3474" w:rsidP="00D131A0">
            <w:pPr>
              <w:jc w:val="both"/>
              <w:rPr>
                <w:b/>
              </w:rPr>
            </w:pPr>
            <w:r>
              <w:rPr>
                <w:b/>
              </w:rPr>
              <w:t>RS</w:t>
            </w:r>
          </w:p>
        </w:tc>
        <w:tc>
          <w:tcPr>
            <w:tcW w:w="1134" w:type="dxa"/>
            <w:gridSpan w:val="2"/>
            <w:shd w:val="clear" w:color="auto" w:fill="auto"/>
          </w:tcPr>
          <w:p w:rsidR="004919F6" w:rsidRPr="0044468F" w:rsidRDefault="00FB3474" w:rsidP="009A1443">
            <w:pPr>
              <w:rPr>
                <w:b/>
                <w:color w:val="FF0000"/>
              </w:rPr>
            </w:pPr>
            <w:r>
              <w:rPr>
                <w:b/>
                <w:color w:val="FF0000"/>
              </w:rPr>
              <w:t>For agenda</w:t>
            </w:r>
          </w:p>
        </w:tc>
      </w:tr>
      <w:tr w:rsidR="008B0ABE" w:rsidRPr="00745BAC" w:rsidTr="00715328">
        <w:tc>
          <w:tcPr>
            <w:tcW w:w="1702" w:type="dxa"/>
            <w:shd w:val="clear" w:color="auto" w:fill="auto"/>
          </w:tcPr>
          <w:p w:rsidR="008B0ABE" w:rsidRDefault="00F93788" w:rsidP="008719B0">
            <w:pPr>
              <w:rPr>
                <w:b/>
              </w:rPr>
            </w:pPr>
            <w:r>
              <w:rPr>
                <w:b/>
              </w:rPr>
              <w:t>Dates and Agenda Planning 202</w:t>
            </w:r>
          </w:p>
        </w:tc>
        <w:tc>
          <w:tcPr>
            <w:tcW w:w="9497" w:type="dxa"/>
            <w:shd w:val="clear" w:color="auto" w:fill="auto"/>
          </w:tcPr>
          <w:p w:rsidR="006E5A11" w:rsidRDefault="002F5565" w:rsidP="00A7161B">
            <w:pPr>
              <w:jc w:val="both"/>
            </w:pPr>
            <w:r>
              <w:t xml:space="preserve"> </w:t>
            </w:r>
            <w:r w:rsidR="006E5A11">
              <w:t xml:space="preserve">It was agreed to have three sessions for 2020, to commence in February, June, </w:t>
            </w:r>
            <w:proofErr w:type="gramStart"/>
            <w:r w:rsidR="006E5A11">
              <w:t>Oct</w:t>
            </w:r>
            <w:proofErr w:type="gramEnd"/>
            <w:r w:rsidR="006E5A11">
              <w:t xml:space="preserve"> to opt for mid-week.</w:t>
            </w:r>
          </w:p>
          <w:p w:rsidR="006E5A11" w:rsidRDefault="006E5A11" w:rsidP="00A7161B">
            <w:pPr>
              <w:jc w:val="both"/>
            </w:pPr>
          </w:p>
          <w:p w:rsidR="002F5565" w:rsidRDefault="006E5A11" w:rsidP="00A7161B">
            <w:pPr>
              <w:jc w:val="both"/>
            </w:pPr>
            <w:r>
              <w:t>DE offered to host, Ashford to host (Farrow Court) and RS to approach Golding Homes/West Kent HA for a third date.</w:t>
            </w:r>
          </w:p>
          <w:p w:rsidR="006E5A11" w:rsidRDefault="006E5A11" w:rsidP="00A7161B">
            <w:pPr>
              <w:jc w:val="both"/>
            </w:pPr>
          </w:p>
          <w:p w:rsidR="006E5A11" w:rsidRDefault="006E5A11" w:rsidP="00A7161B">
            <w:pPr>
              <w:jc w:val="both"/>
            </w:pPr>
            <w:r>
              <w:t>Rent arrears and UC as standing item, S21 for the February 2020 meeting, Make a Stand Campaign, Dartford to share information about their multi agency hub.</w:t>
            </w:r>
          </w:p>
          <w:p w:rsidR="006E5A11" w:rsidRPr="00676FD2" w:rsidRDefault="006E5A11" w:rsidP="00A7161B">
            <w:pPr>
              <w:jc w:val="both"/>
            </w:pPr>
          </w:p>
        </w:tc>
        <w:tc>
          <w:tcPr>
            <w:tcW w:w="2977" w:type="dxa"/>
            <w:shd w:val="clear" w:color="auto" w:fill="auto"/>
          </w:tcPr>
          <w:p w:rsidR="002F5565" w:rsidRPr="00FB3474" w:rsidRDefault="00FB3474" w:rsidP="006A1123">
            <w:pPr>
              <w:rPr>
                <w:b/>
              </w:rPr>
            </w:pPr>
            <w:r w:rsidRPr="00FB3474">
              <w:rPr>
                <w:b/>
              </w:rPr>
              <w:t>RS to note and share dates and venue information</w:t>
            </w:r>
          </w:p>
        </w:tc>
        <w:tc>
          <w:tcPr>
            <w:tcW w:w="709" w:type="dxa"/>
            <w:shd w:val="clear" w:color="auto" w:fill="auto"/>
          </w:tcPr>
          <w:p w:rsidR="002F5565" w:rsidRPr="0044468F" w:rsidRDefault="00FB3474" w:rsidP="00D131A0">
            <w:pPr>
              <w:jc w:val="both"/>
              <w:rPr>
                <w:b/>
              </w:rPr>
            </w:pPr>
            <w:r>
              <w:rPr>
                <w:b/>
              </w:rPr>
              <w:t>RS</w:t>
            </w:r>
          </w:p>
        </w:tc>
        <w:tc>
          <w:tcPr>
            <w:tcW w:w="1134" w:type="dxa"/>
            <w:gridSpan w:val="2"/>
            <w:shd w:val="clear" w:color="auto" w:fill="auto"/>
          </w:tcPr>
          <w:p w:rsidR="002F5565" w:rsidRPr="0044468F" w:rsidRDefault="00FB3474" w:rsidP="009A1443">
            <w:pPr>
              <w:rPr>
                <w:b/>
                <w:color w:val="FF0000"/>
              </w:rPr>
            </w:pPr>
            <w:r>
              <w:rPr>
                <w:b/>
                <w:color w:val="FF0000"/>
              </w:rPr>
              <w:t>ASAP</w:t>
            </w:r>
          </w:p>
        </w:tc>
      </w:tr>
      <w:tr w:rsidR="001C12F4" w:rsidRPr="00745BAC" w:rsidTr="00715328">
        <w:tc>
          <w:tcPr>
            <w:tcW w:w="1702" w:type="dxa"/>
            <w:shd w:val="clear" w:color="auto" w:fill="auto"/>
          </w:tcPr>
          <w:p w:rsidR="001C12F4" w:rsidRDefault="001C12F4" w:rsidP="008719B0">
            <w:pPr>
              <w:rPr>
                <w:b/>
              </w:rPr>
            </w:pPr>
            <w:r>
              <w:rPr>
                <w:b/>
              </w:rPr>
              <w:t>AOB</w:t>
            </w:r>
          </w:p>
        </w:tc>
        <w:tc>
          <w:tcPr>
            <w:tcW w:w="9497" w:type="dxa"/>
            <w:shd w:val="clear" w:color="auto" w:fill="auto"/>
          </w:tcPr>
          <w:p w:rsidR="001C12F4" w:rsidRDefault="006E5A11" w:rsidP="00A7161B">
            <w:pPr>
              <w:jc w:val="both"/>
            </w:pPr>
            <w:r>
              <w:t>ME will be standing down as the Chair of the KMSG, GP will become the new chair and a new Vice Chair will be elected, colleagues to express an interes</w:t>
            </w:r>
            <w:r w:rsidR="008C324E">
              <w:t>t ahead of the next meeting of the group and a vote on the day.</w:t>
            </w:r>
          </w:p>
          <w:p w:rsidR="008C324E" w:rsidRDefault="008C324E" w:rsidP="00A7161B">
            <w:pPr>
              <w:jc w:val="both"/>
            </w:pPr>
          </w:p>
          <w:p w:rsidR="008C324E" w:rsidRDefault="008C324E" w:rsidP="00A7161B">
            <w:pPr>
              <w:jc w:val="both"/>
            </w:pPr>
            <w:r>
              <w:lastRenderedPageBreak/>
              <w:t>Hoarding training – RS to put the overview back out for the full day Hoarding Training, including costs, RS advised that need a max of 16 to fill the places as this keeps the costs reduced for those attending.  Colleagues to confirm if have capacity and staff to attend to fill spaces.</w:t>
            </w:r>
          </w:p>
          <w:p w:rsidR="008C324E" w:rsidRDefault="008C324E" w:rsidP="00A7161B">
            <w:pPr>
              <w:jc w:val="both"/>
            </w:pPr>
          </w:p>
          <w:p w:rsidR="008C324E" w:rsidRDefault="008C324E" w:rsidP="00A7161B">
            <w:pPr>
              <w:jc w:val="both"/>
            </w:pPr>
            <w:r>
              <w:t xml:space="preserve">Kent Homechoice Mutual Exchange model has ceased, DE advised now using Homeswapper.   SH advised that Clarion HG use an internal programme ‘Home Exchange’ to enable residents to undertake a mutual exchange, this is free to Clarion residents   </w:t>
            </w:r>
            <w:hyperlink r:id="rId14" w:history="1">
              <w:r w:rsidRPr="00ED12F2">
                <w:rPr>
                  <w:rStyle w:val="Hyperlink"/>
                </w:rPr>
                <w:t>www.houseexchange.org.uk</w:t>
              </w:r>
            </w:hyperlink>
            <w:r>
              <w:t xml:space="preserve"> and can be used outside of Clarion residents, Clarion no longer subscribing to Homeswapper.</w:t>
            </w:r>
            <w:bookmarkStart w:id="0" w:name="_GoBack"/>
            <w:bookmarkEnd w:id="0"/>
          </w:p>
        </w:tc>
        <w:tc>
          <w:tcPr>
            <w:tcW w:w="2977" w:type="dxa"/>
            <w:shd w:val="clear" w:color="auto" w:fill="auto"/>
          </w:tcPr>
          <w:p w:rsidR="001C12F4" w:rsidRDefault="00FB3474" w:rsidP="006A1123">
            <w:r>
              <w:lastRenderedPageBreak/>
              <w:t>Colleagues to share an expression of interest via email, with a short overview of themselves with RS by 1</w:t>
            </w:r>
            <w:r w:rsidRPr="00FB3474">
              <w:rPr>
                <w:vertAlign w:val="superscript"/>
              </w:rPr>
              <w:t>st</w:t>
            </w:r>
            <w:r>
              <w:t xml:space="preserve"> November</w:t>
            </w:r>
          </w:p>
          <w:p w:rsidR="00FB3474" w:rsidRDefault="00FB3474" w:rsidP="006A1123"/>
          <w:p w:rsidR="00FB3474" w:rsidRPr="008725B1" w:rsidRDefault="00FB3474" w:rsidP="006A1123">
            <w:r>
              <w:lastRenderedPageBreak/>
              <w:t>RS to share overview and costing information</w:t>
            </w:r>
          </w:p>
        </w:tc>
        <w:tc>
          <w:tcPr>
            <w:tcW w:w="709" w:type="dxa"/>
            <w:shd w:val="clear" w:color="auto" w:fill="auto"/>
          </w:tcPr>
          <w:p w:rsidR="001C12F4" w:rsidRDefault="00FB3474" w:rsidP="00D131A0">
            <w:pPr>
              <w:jc w:val="both"/>
              <w:rPr>
                <w:b/>
              </w:rPr>
            </w:pPr>
            <w:r>
              <w:rPr>
                <w:b/>
              </w:rPr>
              <w:lastRenderedPageBreak/>
              <w:t>ALL</w:t>
            </w: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Default="00FB3474" w:rsidP="00D131A0">
            <w:pPr>
              <w:jc w:val="both"/>
              <w:rPr>
                <w:b/>
              </w:rPr>
            </w:pPr>
          </w:p>
          <w:p w:rsidR="00FB3474" w:rsidRPr="0044468F" w:rsidRDefault="00FB3474" w:rsidP="00D131A0">
            <w:pPr>
              <w:jc w:val="both"/>
              <w:rPr>
                <w:b/>
              </w:rPr>
            </w:pPr>
            <w:r>
              <w:rPr>
                <w:b/>
              </w:rPr>
              <w:lastRenderedPageBreak/>
              <w:t>RS</w:t>
            </w:r>
          </w:p>
        </w:tc>
        <w:tc>
          <w:tcPr>
            <w:tcW w:w="1134" w:type="dxa"/>
            <w:gridSpan w:val="2"/>
            <w:shd w:val="clear" w:color="auto" w:fill="auto"/>
          </w:tcPr>
          <w:p w:rsidR="001C12F4" w:rsidRDefault="00FB3474" w:rsidP="009A1443">
            <w:pPr>
              <w:rPr>
                <w:b/>
                <w:color w:val="FF0000"/>
              </w:rPr>
            </w:pPr>
            <w:r>
              <w:rPr>
                <w:b/>
                <w:color w:val="FF0000"/>
              </w:rPr>
              <w:lastRenderedPageBreak/>
              <w:t>By 1</w:t>
            </w:r>
            <w:r w:rsidRPr="00FB3474">
              <w:rPr>
                <w:b/>
                <w:color w:val="FF0000"/>
                <w:vertAlign w:val="superscript"/>
              </w:rPr>
              <w:t>st</w:t>
            </w:r>
            <w:r>
              <w:rPr>
                <w:b/>
                <w:color w:val="FF0000"/>
              </w:rPr>
              <w:t xml:space="preserve"> Nov </w:t>
            </w:r>
          </w:p>
          <w:p w:rsidR="00FB3474" w:rsidRDefault="00FB3474" w:rsidP="009A1443">
            <w:pPr>
              <w:rPr>
                <w:b/>
                <w:color w:val="FF0000"/>
              </w:rPr>
            </w:pPr>
          </w:p>
          <w:p w:rsidR="00FB3474" w:rsidRDefault="00FB3474" w:rsidP="009A1443">
            <w:pPr>
              <w:rPr>
                <w:b/>
                <w:color w:val="FF0000"/>
              </w:rPr>
            </w:pPr>
          </w:p>
          <w:p w:rsidR="00FB3474" w:rsidRDefault="00FB3474" w:rsidP="009A1443">
            <w:pPr>
              <w:rPr>
                <w:b/>
                <w:color w:val="FF0000"/>
              </w:rPr>
            </w:pPr>
          </w:p>
          <w:p w:rsidR="00FB3474" w:rsidRDefault="00FB3474" w:rsidP="009A1443">
            <w:pPr>
              <w:rPr>
                <w:b/>
                <w:color w:val="FF0000"/>
              </w:rPr>
            </w:pPr>
          </w:p>
          <w:p w:rsidR="00FB3474" w:rsidRDefault="00FB3474" w:rsidP="009A1443">
            <w:pPr>
              <w:rPr>
                <w:b/>
                <w:color w:val="FF0000"/>
              </w:rPr>
            </w:pPr>
          </w:p>
          <w:p w:rsidR="00FB3474" w:rsidRPr="0044468F" w:rsidRDefault="00FB3474" w:rsidP="009A1443">
            <w:pPr>
              <w:rPr>
                <w:b/>
                <w:color w:val="FF0000"/>
              </w:rPr>
            </w:pPr>
            <w:r>
              <w:rPr>
                <w:b/>
                <w:color w:val="FF0000"/>
              </w:rPr>
              <w:lastRenderedPageBreak/>
              <w:t>With minutes</w:t>
            </w:r>
          </w:p>
        </w:tc>
      </w:tr>
    </w:tbl>
    <w:p w:rsidR="00194850" w:rsidRDefault="00194850"/>
    <w:p w:rsidR="00443F82" w:rsidRDefault="00E42640">
      <w:pPr>
        <w:rPr>
          <w:b/>
          <w:i/>
        </w:rPr>
      </w:pPr>
      <w:r>
        <w:t xml:space="preserve"> </w:t>
      </w:r>
      <w:r w:rsidRPr="00B86E64">
        <w:rPr>
          <w:b/>
          <w:i/>
        </w:rPr>
        <w:t>Thanks not</w:t>
      </w:r>
      <w:r w:rsidR="00DB38AF" w:rsidRPr="00B86E64">
        <w:rPr>
          <w:b/>
          <w:i/>
        </w:rPr>
        <w:t xml:space="preserve">ed to </w:t>
      </w:r>
      <w:r w:rsidR="00F93788">
        <w:rPr>
          <w:b/>
          <w:i/>
        </w:rPr>
        <w:t xml:space="preserve">Ashford BC for hosting </w:t>
      </w:r>
    </w:p>
    <w:sectPr w:rsidR="00443F82" w:rsidSect="002D569F">
      <w:headerReference w:type="even" r:id="rId15"/>
      <w:headerReference w:type="default" r:id="rId16"/>
      <w:footerReference w:type="even" r:id="rId17"/>
      <w:footerReference w:type="default" r:id="rId18"/>
      <w:headerReference w:type="first" r:id="rId19"/>
      <w:footerReference w:type="first" r:id="rId2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1D" w:rsidRDefault="0085321D" w:rsidP="001D0582">
      <w:pPr>
        <w:spacing w:after="0" w:line="240" w:lineRule="auto"/>
      </w:pPr>
      <w:r>
        <w:separator/>
      </w:r>
    </w:p>
  </w:endnote>
  <w:endnote w:type="continuationSeparator" w:id="0">
    <w:p w:rsidR="0085321D" w:rsidRDefault="0085321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2D0116" w:rsidRDefault="002D0116">
        <w:pPr>
          <w:pStyle w:val="Footer"/>
          <w:jc w:val="right"/>
        </w:pPr>
        <w:r>
          <w:fldChar w:fldCharType="begin"/>
        </w:r>
        <w:r>
          <w:instrText xml:space="preserve"> PAGE   \* MERGEFORMAT </w:instrText>
        </w:r>
        <w:r>
          <w:fldChar w:fldCharType="separate"/>
        </w:r>
        <w:r w:rsidR="00FB3474">
          <w:rPr>
            <w:noProof/>
          </w:rPr>
          <w:t>5</w:t>
        </w:r>
        <w:r>
          <w:rPr>
            <w:noProof/>
          </w:rPr>
          <w:fldChar w:fldCharType="end"/>
        </w:r>
      </w:p>
    </w:sdtContent>
  </w:sdt>
  <w:p w:rsidR="002D0116" w:rsidRDefault="002D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1D" w:rsidRDefault="0085321D" w:rsidP="001D0582">
      <w:pPr>
        <w:spacing w:after="0" w:line="240" w:lineRule="auto"/>
      </w:pPr>
      <w:r>
        <w:separator/>
      </w:r>
    </w:p>
  </w:footnote>
  <w:footnote w:type="continuationSeparator" w:id="0">
    <w:p w:rsidR="0085321D" w:rsidRDefault="0085321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2D0116" w:rsidRDefault="00FB347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18"/>
    <w:multiLevelType w:val="hybridMultilevel"/>
    <w:tmpl w:val="2D1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84627"/>
    <w:multiLevelType w:val="hybridMultilevel"/>
    <w:tmpl w:val="2B7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01B80"/>
    <w:multiLevelType w:val="hybridMultilevel"/>
    <w:tmpl w:val="881C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5590C"/>
    <w:multiLevelType w:val="hybridMultilevel"/>
    <w:tmpl w:val="C10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1"/>
  </w:num>
  <w:num w:numId="5">
    <w:abstractNumId w:val="5"/>
  </w:num>
  <w:num w:numId="6">
    <w:abstractNumId w:val="3"/>
  </w:num>
  <w:num w:numId="7">
    <w:abstractNumId w:val="7"/>
  </w:num>
  <w:num w:numId="8">
    <w:abstractNumId w:val="6"/>
  </w:num>
  <w:num w:numId="9">
    <w:abstractNumId w:val="0"/>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0AB"/>
    <w:rsid w:val="00022E7A"/>
    <w:rsid w:val="00023C4B"/>
    <w:rsid w:val="000245BF"/>
    <w:rsid w:val="0002794B"/>
    <w:rsid w:val="00030B86"/>
    <w:rsid w:val="00051B1E"/>
    <w:rsid w:val="0005688A"/>
    <w:rsid w:val="00061235"/>
    <w:rsid w:val="000718CE"/>
    <w:rsid w:val="00072254"/>
    <w:rsid w:val="00074BA3"/>
    <w:rsid w:val="00075AEA"/>
    <w:rsid w:val="00077CCB"/>
    <w:rsid w:val="00080744"/>
    <w:rsid w:val="00085AA4"/>
    <w:rsid w:val="000871E7"/>
    <w:rsid w:val="00094B7F"/>
    <w:rsid w:val="00094D7E"/>
    <w:rsid w:val="00095958"/>
    <w:rsid w:val="000A139A"/>
    <w:rsid w:val="000B2686"/>
    <w:rsid w:val="000B4C89"/>
    <w:rsid w:val="000D2680"/>
    <w:rsid w:val="000E09FF"/>
    <w:rsid w:val="000E1AF4"/>
    <w:rsid w:val="000E46F3"/>
    <w:rsid w:val="000E5093"/>
    <w:rsid w:val="000E6197"/>
    <w:rsid w:val="000E7D73"/>
    <w:rsid w:val="00104901"/>
    <w:rsid w:val="00111B2B"/>
    <w:rsid w:val="00115336"/>
    <w:rsid w:val="001262F3"/>
    <w:rsid w:val="00127DAF"/>
    <w:rsid w:val="00127ED4"/>
    <w:rsid w:val="00130B92"/>
    <w:rsid w:val="00133889"/>
    <w:rsid w:val="00137E51"/>
    <w:rsid w:val="001439DD"/>
    <w:rsid w:val="001475A9"/>
    <w:rsid w:val="00150D2E"/>
    <w:rsid w:val="00156EA5"/>
    <w:rsid w:val="00161B77"/>
    <w:rsid w:val="00165BDC"/>
    <w:rsid w:val="00167755"/>
    <w:rsid w:val="00172830"/>
    <w:rsid w:val="00176C25"/>
    <w:rsid w:val="00182CF3"/>
    <w:rsid w:val="00194850"/>
    <w:rsid w:val="001965ED"/>
    <w:rsid w:val="001A1975"/>
    <w:rsid w:val="001A75B2"/>
    <w:rsid w:val="001C12F4"/>
    <w:rsid w:val="001C3A06"/>
    <w:rsid w:val="001C7AAC"/>
    <w:rsid w:val="001D0582"/>
    <w:rsid w:val="001D1337"/>
    <w:rsid w:val="001D4ADB"/>
    <w:rsid w:val="001D54FF"/>
    <w:rsid w:val="001E3BD2"/>
    <w:rsid w:val="001F0061"/>
    <w:rsid w:val="00200B68"/>
    <w:rsid w:val="00211BD3"/>
    <w:rsid w:val="00214261"/>
    <w:rsid w:val="002147E0"/>
    <w:rsid w:val="002169FF"/>
    <w:rsid w:val="002171B0"/>
    <w:rsid w:val="00222A5F"/>
    <w:rsid w:val="00234120"/>
    <w:rsid w:val="00236F44"/>
    <w:rsid w:val="00240ACA"/>
    <w:rsid w:val="00243F4C"/>
    <w:rsid w:val="002479D5"/>
    <w:rsid w:val="002514E8"/>
    <w:rsid w:val="0025298F"/>
    <w:rsid w:val="0026205B"/>
    <w:rsid w:val="00262705"/>
    <w:rsid w:val="00267BEB"/>
    <w:rsid w:val="00267C42"/>
    <w:rsid w:val="002718DD"/>
    <w:rsid w:val="00271F22"/>
    <w:rsid w:val="00274D25"/>
    <w:rsid w:val="0027714F"/>
    <w:rsid w:val="00283FBE"/>
    <w:rsid w:val="00293C7B"/>
    <w:rsid w:val="00297E1C"/>
    <w:rsid w:val="002A6E7D"/>
    <w:rsid w:val="002B184E"/>
    <w:rsid w:val="002B7C40"/>
    <w:rsid w:val="002C4971"/>
    <w:rsid w:val="002C521E"/>
    <w:rsid w:val="002D0116"/>
    <w:rsid w:val="002D569F"/>
    <w:rsid w:val="002E1DBC"/>
    <w:rsid w:val="002E2A04"/>
    <w:rsid w:val="002F5565"/>
    <w:rsid w:val="002F5ABE"/>
    <w:rsid w:val="003016B3"/>
    <w:rsid w:val="00305A58"/>
    <w:rsid w:val="0030692E"/>
    <w:rsid w:val="00315A95"/>
    <w:rsid w:val="00326A5C"/>
    <w:rsid w:val="00330F11"/>
    <w:rsid w:val="00331236"/>
    <w:rsid w:val="003317F9"/>
    <w:rsid w:val="0033294D"/>
    <w:rsid w:val="003352B8"/>
    <w:rsid w:val="00337706"/>
    <w:rsid w:val="00341299"/>
    <w:rsid w:val="00341EA6"/>
    <w:rsid w:val="00365150"/>
    <w:rsid w:val="00366D02"/>
    <w:rsid w:val="00371ECA"/>
    <w:rsid w:val="0037203C"/>
    <w:rsid w:val="00373C97"/>
    <w:rsid w:val="00375457"/>
    <w:rsid w:val="003763CD"/>
    <w:rsid w:val="003771C3"/>
    <w:rsid w:val="003805C2"/>
    <w:rsid w:val="00382671"/>
    <w:rsid w:val="0038370A"/>
    <w:rsid w:val="003839CD"/>
    <w:rsid w:val="003839CF"/>
    <w:rsid w:val="003900EE"/>
    <w:rsid w:val="00391561"/>
    <w:rsid w:val="0039728D"/>
    <w:rsid w:val="003A12E5"/>
    <w:rsid w:val="003A1419"/>
    <w:rsid w:val="003C7C89"/>
    <w:rsid w:val="003D7835"/>
    <w:rsid w:val="003E1FB0"/>
    <w:rsid w:val="003E3946"/>
    <w:rsid w:val="003E4299"/>
    <w:rsid w:val="003E6D4B"/>
    <w:rsid w:val="003F19AE"/>
    <w:rsid w:val="003F33D2"/>
    <w:rsid w:val="003F5CB0"/>
    <w:rsid w:val="00414345"/>
    <w:rsid w:val="00417809"/>
    <w:rsid w:val="00420965"/>
    <w:rsid w:val="004241B5"/>
    <w:rsid w:val="00426472"/>
    <w:rsid w:val="00432746"/>
    <w:rsid w:val="004409D4"/>
    <w:rsid w:val="0044178D"/>
    <w:rsid w:val="00443F82"/>
    <w:rsid w:val="0044468F"/>
    <w:rsid w:val="00451853"/>
    <w:rsid w:val="00454E00"/>
    <w:rsid w:val="004800AC"/>
    <w:rsid w:val="00486834"/>
    <w:rsid w:val="004919F6"/>
    <w:rsid w:val="004951B9"/>
    <w:rsid w:val="00495785"/>
    <w:rsid w:val="004A500E"/>
    <w:rsid w:val="004B36B2"/>
    <w:rsid w:val="004B501A"/>
    <w:rsid w:val="004B7B43"/>
    <w:rsid w:val="004C57A0"/>
    <w:rsid w:val="004D1D2D"/>
    <w:rsid w:val="004D2EC3"/>
    <w:rsid w:val="004D686A"/>
    <w:rsid w:val="004F3A69"/>
    <w:rsid w:val="005071C3"/>
    <w:rsid w:val="00540DE2"/>
    <w:rsid w:val="00557253"/>
    <w:rsid w:val="0057197C"/>
    <w:rsid w:val="005755F2"/>
    <w:rsid w:val="005764C5"/>
    <w:rsid w:val="00583C1A"/>
    <w:rsid w:val="00596291"/>
    <w:rsid w:val="005A7FF7"/>
    <w:rsid w:val="005B4E78"/>
    <w:rsid w:val="005C2EBA"/>
    <w:rsid w:val="005C39F5"/>
    <w:rsid w:val="005D1AB8"/>
    <w:rsid w:val="005D20EB"/>
    <w:rsid w:val="005D279F"/>
    <w:rsid w:val="005D31FF"/>
    <w:rsid w:val="005D68EF"/>
    <w:rsid w:val="00620AC9"/>
    <w:rsid w:val="0062347F"/>
    <w:rsid w:val="00637CB2"/>
    <w:rsid w:val="00640FCB"/>
    <w:rsid w:val="00643A5E"/>
    <w:rsid w:val="00647CA0"/>
    <w:rsid w:val="00663A8B"/>
    <w:rsid w:val="0066483C"/>
    <w:rsid w:val="00666D5A"/>
    <w:rsid w:val="00673B7F"/>
    <w:rsid w:val="00676FD2"/>
    <w:rsid w:val="00681AFC"/>
    <w:rsid w:val="006835C0"/>
    <w:rsid w:val="00685510"/>
    <w:rsid w:val="0069129B"/>
    <w:rsid w:val="006928DE"/>
    <w:rsid w:val="006969C5"/>
    <w:rsid w:val="0069739D"/>
    <w:rsid w:val="006A0F46"/>
    <w:rsid w:val="006A1123"/>
    <w:rsid w:val="006A44D8"/>
    <w:rsid w:val="006B0BF9"/>
    <w:rsid w:val="006B4E6F"/>
    <w:rsid w:val="006C2977"/>
    <w:rsid w:val="006C353E"/>
    <w:rsid w:val="006C76F0"/>
    <w:rsid w:val="006D4F1E"/>
    <w:rsid w:val="006D52CE"/>
    <w:rsid w:val="006E5120"/>
    <w:rsid w:val="006E5A11"/>
    <w:rsid w:val="006F3586"/>
    <w:rsid w:val="006F73A7"/>
    <w:rsid w:val="006F7820"/>
    <w:rsid w:val="00702D6B"/>
    <w:rsid w:val="00707E57"/>
    <w:rsid w:val="00713007"/>
    <w:rsid w:val="00715328"/>
    <w:rsid w:val="0071574E"/>
    <w:rsid w:val="007253F4"/>
    <w:rsid w:val="00730D8F"/>
    <w:rsid w:val="00735129"/>
    <w:rsid w:val="00745BAC"/>
    <w:rsid w:val="007547C5"/>
    <w:rsid w:val="0075537B"/>
    <w:rsid w:val="0076489E"/>
    <w:rsid w:val="007652BA"/>
    <w:rsid w:val="00790C1F"/>
    <w:rsid w:val="00791545"/>
    <w:rsid w:val="0079363C"/>
    <w:rsid w:val="007A5862"/>
    <w:rsid w:val="007C2B6F"/>
    <w:rsid w:val="007C78F2"/>
    <w:rsid w:val="007D358C"/>
    <w:rsid w:val="007D3984"/>
    <w:rsid w:val="007E3AA8"/>
    <w:rsid w:val="007E53DB"/>
    <w:rsid w:val="007F0729"/>
    <w:rsid w:val="00805F77"/>
    <w:rsid w:val="00813C87"/>
    <w:rsid w:val="0082091E"/>
    <w:rsid w:val="00830A60"/>
    <w:rsid w:val="008319F8"/>
    <w:rsid w:val="00833CBA"/>
    <w:rsid w:val="0083657E"/>
    <w:rsid w:val="00843F80"/>
    <w:rsid w:val="008465AE"/>
    <w:rsid w:val="00846D75"/>
    <w:rsid w:val="00851586"/>
    <w:rsid w:val="0085321D"/>
    <w:rsid w:val="00863010"/>
    <w:rsid w:val="008634D4"/>
    <w:rsid w:val="00864C89"/>
    <w:rsid w:val="00866EAC"/>
    <w:rsid w:val="008719B0"/>
    <w:rsid w:val="008725B1"/>
    <w:rsid w:val="0087426F"/>
    <w:rsid w:val="00882841"/>
    <w:rsid w:val="0088348D"/>
    <w:rsid w:val="008A7E9E"/>
    <w:rsid w:val="008B0ABE"/>
    <w:rsid w:val="008B1CA5"/>
    <w:rsid w:val="008B438C"/>
    <w:rsid w:val="008C324E"/>
    <w:rsid w:val="008D01A3"/>
    <w:rsid w:val="008D7F6E"/>
    <w:rsid w:val="008E1C5B"/>
    <w:rsid w:val="008E7E63"/>
    <w:rsid w:val="008F2C58"/>
    <w:rsid w:val="008F3E58"/>
    <w:rsid w:val="008F530D"/>
    <w:rsid w:val="008F693D"/>
    <w:rsid w:val="008F7807"/>
    <w:rsid w:val="0090104C"/>
    <w:rsid w:val="00905451"/>
    <w:rsid w:val="009060F9"/>
    <w:rsid w:val="00906FB7"/>
    <w:rsid w:val="00911690"/>
    <w:rsid w:val="00926174"/>
    <w:rsid w:val="00931B59"/>
    <w:rsid w:val="00932015"/>
    <w:rsid w:val="00932B5D"/>
    <w:rsid w:val="00933209"/>
    <w:rsid w:val="00937777"/>
    <w:rsid w:val="00940033"/>
    <w:rsid w:val="00951585"/>
    <w:rsid w:val="00954B2F"/>
    <w:rsid w:val="00972ECF"/>
    <w:rsid w:val="00976329"/>
    <w:rsid w:val="009830C0"/>
    <w:rsid w:val="0098492A"/>
    <w:rsid w:val="00985443"/>
    <w:rsid w:val="00996D1A"/>
    <w:rsid w:val="009A1443"/>
    <w:rsid w:val="009A59AF"/>
    <w:rsid w:val="009A6591"/>
    <w:rsid w:val="009A70EB"/>
    <w:rsid w:val="009A7BEE"/>
    <w:rsid w:val="009B30E4"/>
    <w:rsid w:val="009B671E"/>
    <w:rsid w:val="009C0E21"/>
    <w:rsid w:val="009C155C"/>
    <w:rsid w:val="009D06FB"/>
    <w:rsid w:val="009E3045"/>
    <w:rsid w:val="009E4490"/>
    <w:rsid w:val="009E732B"/>
    <w:rsid w:val="009F6A91"/>
    <w:rsid w:val="00A000A4"/>
    <w:rsid w:val="00A0161B"/>
    <w:rsid w:val="00A0569E"/>
    <w:rsid w:val="00A20A77"/>
    <w:rsid w:val="00A23580"/>
    <w:rsid w:val="00A2502B"/>
    <w:rsid w:val="00A41B69"/>
    <w:rsid w:val="00A5205C"/>
    <w:rsid w:val="00A53DE4"/>
    <w:rsid w:val="00A54854"/>
    <w:rsid w:val="00A5558F"/>
    <w:rsid w:val="00A579C0"/>
    <w:rsid w:val="00A61C7E"/>
    <w:rsid w:val="00A7161B"/>
    <w:rsid w:val="00A718EA"/>
    <w:rsid w:val="00A74FDB"/>
    <w:rsid w:val="00A76291"/>
    <w:rsid w:val="00A83286"/>
    <w:rsid w:val="00A91826"/>
    <w:rsid w:val="00A93502"/>
    <w:rsid w:val="00A9386E"/>
    <w:rsid w:val="00AA098E"/>
    <w:rsid w:val="00AA336E"/>
    <w:rsid w:val="00AA7D59"/>
    <w:rsid w:val="00AB0CAA"/>
    <w:rsid w:val="00AB2449"/>
    <w:rsid w:val="00AB45E0"/>
    <w:rsid w:val="00AC1941"/>
    <w:rsid w:val="00AC4B44"/>
    <w:rsid w:val="00AC5535"/>
    <w:rsid w:val="00AD242F"/>
    <w:rsid w:val="00AD377B"/>
    <w:rsid w:val="00AD41B0"/>
    <w:rsid w:val="00AD4D11"/>
    <w:rsid w:val="00AF0BF5"/>
    <w:rsid w:val="00AF7A24"/>
    <w:rsid w:val="00B0796E"/>
    <w:rsid w:val="00B1036F"/>
    <w:rsid w:val="00B14B4D"/>
    <w:rsid w:val="00B21636"/>
    <w:rsid w:val="00B21C00"/>
    <w:rsid w:val="00B338EE"/>
    <w:rsid w:val="00B469BF"/>
    <w:rsid w:val="00B51A2A"/>
    <w:rsid w:val="00B53735"/>
    <w:rsid w:val="00B550C2"/>
    <w:rsid w:val="00B60719"/>
    <w:rsid w:val="00B613D2"/>
    <w:rsid w:val="00B666CB"/>
    <w:rsid w:val="00B71004"/>
    <w:rsid w:val="00B77576"/>
    <w:rsid w:val="00B8529C"/>
    <w:rsid w:val="00B86E64"/>
    <w:rsid w:val="00B9511D"/>
    <w:rsid w:val="00BA27D3"/>
    <w:rsid w:val="00BA29F6"/>
    <w:rsid w:val="00BA3C76"/>
    <w:rsid w:val="00BA4C5F"/>
    <w:rsid w:val="00BA7C27"/>
    <w:rsid w:val="00BB1307"/>
    <w:rsid w:val="00BB2A96"/>
    <w:rsid w:val="00BB2AAD"/>
    <w:rsid w:val="00BB3D21"/>
    <w:rsid w:val="00BC2B6E"/>
    <w:rsid w:val="00BC6FF3"/>
    <w:rsid w:val="00BC7803"/>
    <w:rsid w:val="00BD10F9"/>
    <w:rsid w:val="00BD7917"/>
    <w:rsid w:val="00BE5D7D"/>
    <w:rsid w:val="00BF07DA"/>
    <w:rsid w:val="00BF31E9"/>
    <w:rsid w:val="00BF403B"/>
    <w:rsid w:val="00BF76C5"/>
    <w:rsid w:val="00C127AE"/>
    <w:rsid w:val="00C14626"/>
    <w:rsid w:val="00C14A6C"/>
    <w:rsid w:val="00C263CF"/>
    <w:rsid w:val="00C3309B"/>
    <w:rsid w:val="00C5337C"/>
    <w:rsid w:val="00C61842"/>
    <w:rsid w:val="00C70D27"/>
    <w:rsid w:val="00C76E5F"/>
    <w:rsid w:val="00C8239C"/>
    <w:rsid w:val="00C836EB"/>
    <w:rsid w:val="00C83FFB"/>
    <w:rsid w:val="00C84FA2"/>
    <w:rsid w:val="00C86D65"/>
    <w:rsid w:val="00C937B6"/>
    <w:rsid w:val="00CA27E0"/>
    <w:rsid w:val="00CB2B0F"/>
    <w:rsid w:val="00CB371F"/>
    <w:rsid w:val="00CC02A0"/>
    <w:rsid w:val="00CC28C9"/>
    <w:rsid w:val="00CC5D2C"/>
    <w:rsid w:val="00CD3142"/>
    <w:rsid w:val="00CE0030"/>
    <w:rsid w:val="00CF109C"/>
    <w:rsid w:val="00D101F5"/>
    <w:rsid w:val="00D131A0"/>
    <w:rsid w:val="00D23A52"/>
    <w:rsid w:val="00D3313F"/>
    <w:rsid w:val="00D37C09"/>
    <w:rsid w:val="00D55D11"/>
    <w:rsid w:val="00D55EE3"/>
    <w:rsid w:val="00D6704C"/>
    <w:rsid w:val="00D72CF7"/>
    <w:rsid w:val="00D75B11"/>
    <w:rsid w:val="00D8088B"/>
    <w:rsid w:val="00D84CDB"/>
    <w:rsid w:val="00D92BA3"/>
    <w:rsid w:val="00D942B4"/>
    <w:rsid w:val="00DA472E"/>
    <w:rsid w:val="00DB1514"/>
    <w:rsid w:val="00DB38AF"/>
    <w:rsid w:val="00DB7928"/>
    <w:rsid w:val="00DC3C82"/>
    <w:rsid w:val="00DC3FBE"/>
    <w:rsid w:val="00DC4624"/>
    <w:rsid w:val="00DC5AC6"/>
    <w:rsid w:val="00DD4461"/>
    <w:rsid w:val="00DD4998"/>
    <w:rsid w:val="00DE763C"/>
    <w:rsid w:val="00DF2FAC"/>
    <w:rsid w:val="00DF3302"/>
    <w:rsid w:val="00DF3888"/>
    <w:rsid w:val="00DF74F2"/>
    <w:rsid w:val="00E0115C"/>
    <w:rsid w:val="00E01461"/>
    <w:rsid w:val="00E12356"/>
    <w:rsid w:val="00E128D7"/>
    <w:rsid w:val="00E32E40"/>
    <w:rsid w:val="00E42640"/>
    <w:rsid w:val="00E4409D"/>
    <w:rsid w:val="00E45720"/>
    <w:rsid w:val="00E546E6"/>
    <w:rsid w:val="00E547C9"/>
    <w:rsid w:val="00E5585D"/>
    <w:rsid w:val="00E577CB"/>
    <w:rsid w:val="00E61C72"/>
    <w:rsid w:val="00E65DCC"/>
    <w:rsid w:val="00E71FF5"/>
    <w:rsid w:val="00E723BB"/>
    <w:rsid w:val="00E72E18"/>
    <w:rsid w:val="00E763C8"/>
    <w:rsid w:val="00E80552"/>
    <w:rsid w:val="00E805A7"/>
    <w:rsid w:val="00E812C0"/>
    <w:rsid w:val="00E87D2F"/>
    <w:rsid w:val="00E9001C"/>
    <w:rsid w:val="00E92DF9"/>
    <w:rsid w:val="00E945E0"/>
    <w:rsid w:val="00E95A57"/>
    <w:rsid w:val="00E97198"/>
    <w:rsid w:val="00E97F02"/>
    <w:rsid w:val="00EA5EF0"/>
    <w:rsid w:val="00EB1CF0"/>
    <w:rsid w:val="00EC6211"/>
    <w:rsid w:val="00EC630B"/>
    <w:rsid w:val="00EC76B3"/>
    <w:rsid w:val="00ED16B5"/>
    <w:rsid w:val="00ED7102"/>
    <w:rsid w:val="00EE0E30"/>
    <w:rsid w:val="00EE13BA"/>
    <w:rsid w:val="00EE5454"/>
    <w:rsid w:val="00F02F1B"/>
    <w:rsid w:val="00F4695A"/>
    <w:rsid w:val="00F47DC4"/>
    <w:rsid w:val="00F513B0"/>
    <w:rsid w:val="00F57B47"/>
    <w:rsid w:val="00F6297A"/>
    <w:rsid w:val="00F71CB7"/>
    <w:rsid w:val="00F75850"/>
    <w:rsid w:val="00F81332"/>
    <w:rsid w:val="00F84893"/>
    <w:rsid w:val="00F85723"/>
    <w:rsid w:val="00F85B9E"/>
    <w:rsid w:val="00F87DEA"/>
    <w:rsid w:val="00F93788"/>
    <w:rsid w:val="00FB113B"/>
    <w:rsid w:val="00FB15C0"/>
    <w:rsid w:val="00FB3474"/>
    <w:rsid w:val="00FB39EE"/>
    <w:rsid w:val="00FB47D9"/>
    <w:rsid w:val="00FC0BB3"/>
    <w:rsid w:val="00FC77C1"/>
    <w:rsid w:val="00FD0151"/>
    <w:rsid w:val="00FD5B84"/>
    <w:rsid w:val="00FD7444"/>
    <w:rsid w:val="00FE0566"/>
    <w:rsid w:val="00FE13C1"/>
    <w:rsid w:val="00FE4392"/>
    <w:rsid w:val="00FF61EF"/>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FD4E3"/>
  <w15:docId w15:val="{B1BDE6F8-577B-4AEE-8D36-8108EC4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cmp.org.uk/prevent" TargetMode="External"/><Relationship Id="rId13" Type="http://schemas.openxmlformats.org/officeDocument/2006/relationships/hyperlink" Target="mailto:prevent.referrals@kent.police.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ene.morris@kent.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green2@kent.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ura.wright@kent.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ick.wilkinson@kent.gov.uk" TargetMode="External"/><Relationship Id="rId14" Type="http://schemas.openxmlformats.org/officeDocument/2006/relationships/hyperlink" Target="http://www.houseexchang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2110-E9DC-4B94-998A-6FE0A515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10</cp:revision>
  <dcterms:created xsi:type="dcterms:W3CDTF">2019-10-14T08:24:00Z</dcterms:created>
  <dcterms:modified xsi:type="dcterms:W3CDTF">2019-10-14T13:03:00Z</dcterms:modified>
</cp:coreProperties>
</file>