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Default="00305A58" w:rsidP="00933209">
      <w:pPr>
        <w:tabs>
          <w:tab w:val="left" w:pos="3533"/>
          <w:tab w:val="center" w:pos="6979"/>
        </w:tabs>
        <w:rPr>
          <w:b/>
          <w:sz w:val="28"/>
          <w:szCs w:val="28"/>
          <w:u w:val="double" w:color="0070C0"/>
        </w:rPr>
      </w:pPr>
      <w:r w:rsidRPr="00305A58">
        <w:rPr>
          <w:b/>
          <w:sz w:val="28"/>
          <w:szCs w:val="28"/>
          <w:highlight w:val="yellow"/>
          <w:u w:val="double" w:color="0070C0"/>
        </w:rPr>
        <w:t>DRAFT</w:t>
      </w:r>
      <w:r>
        <w:rPr>
          <w:b/>
          <w:sz w:val="28"/>
          <w:szCs w:val="28"/>
          <w:u w:val="double" w:color="0070C0"/>
        </w:rPr>
        <w:t xml:space="preserve"> - </w:t>
      </w:r>
      <w:r w:rsidR="00E95A57">
        <w:rPr>
          <w:b/>
          <w:sz w:val="28"/>
          <w:szCs w:val="28"/>
          <w:u w:val="double" w:color="0070C0"/>
        </w:rPr>
        <w:t>NMSG Action Log – 15</w:t>
      </w:r>
      <w:r w:rsidR="00E95A57" w:rsidRPr="00E95A57">
        <w:rPr>
          <w:b/>
          <w:sz w:val="28"/>
          <w:szCs w:val="28"/>
          <w:u w:val="double" w:color="0070C0"/>
          <w:vertAlign w:val="superscript"/>
        </w:rPr>
        <w:t>th</w:t>
      </w:r>
      <w:r w:rsidR="00E95A57">
        <w:rPr>
          <w:b/>
          <w:sz w:val="28"/>
          <w:szCs w:val="28"/>
          <w:u w:val="double" w:color="0070C0"/>
        </w:rPr>
        <w:t xml:space="preserve"> May, Ashford Borough Council, Ashford,</w:t>
      </w:r>
      <w:r w:rsidR="00685510">
        <w:rPr>
          <w:b/>
          <w:sz w:val="28"/>
          <w:szCs w:val="28"/>
          <w:u w:val="double" w:color="0070C0"/>
        </w:rPr>
        <w:t xml:space="preserve"> Kent</w:t>
      </w:r>
    </w:p>
    <w:tbl>
      <w:tblPr>
        <w:tblStyle w:val="TableGrid"/>
        <w:tblW w:w="16019" w:type="dxa"/>
        <w:tblInd w:w="-856" w:type="dxa"/>
        <w:tblLayout w:type="fixed"/>
        <w:tblLook w:val="04A0" w:firstRow="1" w:lastRow="0" w:firstColumn="1" w:lastColumn="0" w:noHBand="0" w:noVBand="1"/>
      </w:tblPr>
      <w:tblGrid>
        <w:gridCol w:w="2411"/>
        <w:gridCol w:w="7767"/>
        <w:gridCol w:w="3431"/>
        <w:gridCol w:w="992"/>
        <w:gridCol w:w="1389"/>
        <w:gridCol w:w="29"/>
      </w:tblGrid>
      <w:tr w:rsidR="00B613D2" w:rsidRPr="00745BAC" w:rsidTr="002D569F">
        <w:trPr>
          <w:gridAfter w:val="1"/>
          <w:wAfter w:w="29" w:type="dxa"/>
        </w:trPr>
        <w:tc>
          <w:tcPr>
            <w:tcW w:w="15990" w:type="dxa"/>
            <w:gridSpan w:val="5"/>
            <w:shd w:val="clear" w:color="auto" w:fill="0070C0"/>
          </w:tcPr>
          <w:p w:rsidR="00B613D2" w:rsidRPr="00B53735" w:rsidRDefault="00B613D2" w:rsidP="00F6297A">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E95A57">
              <w:rPr>
                <w:rFonts w:cstheme="minorHAnsi"/>
                <w:color w:val="FFFFFF" w:themeColor="background1"/>
              </w:rPr>
              <w:t xml:space="preserve"> Matt Eddy, Chair &amp; MHS Homes; </w:t>
            </w:r>
            <w:r w:rsidR="002D569F">
              <w:rPr>
                <w:rFonts w:cstheme="minorHAnsi"/>
                <w:color w:val="FFFFFF" w:themeColor="background1"/>
              </w:rPr>
              <w:t xml:space="preserve">Tina Dust, Sanctuary Housing; Genette </w:t>
            </w:r>
            <w:proofErr w:type="spellStart"/>
            <w:r w:rsidR="002D569F">
              <w:rPr>
                <w:rFonts w:cstheme="minorHAnsi"/>
                <w:color w:val="FFFFFF" w:themeColor="background1"/>
              </w:rPr>
              <w:t>Pinwell</w:t>
            </w:r>
            <w:proofErr w:type="spellEnd"/>
            <w:r w:rsidR="002D569F">
              <w:rPr>
                <w:rFonts w:cstheme="minorHAnsi"/>
                <w:color w:val="FFFFFF" w:themeColor="background1"/>
              </w:rPr>
              <w:t xml:space="preserve">, West Kent HA; June Heslop, Southern Housing Group;  Tom Harding, Medway Council; </w:t>
            </w:r>
            <w:r w:rsidR="00E812C0" w:rsidRPr="00E812C0">
              <w:rPr>
                <w:rFonts w:cstheme="minorHAnsi"/>
                <w:color w:val="FFFFFF" w:themeColor="background1"/>
              </w:rPr>
              <w:t>Tina Mowat,</w:t>
            </w:r>
            <w:r w:rsidR="002D569F" w:rsidRPr="00E812C0">
              <w:rPr>
                <w:rFonts w:cstheme="minorHAnsi"/>
                <w:color w:val="FFFFFF" w:themeColor="background1"/>
              </w:rPr>
              <w:t xml:space="preserve"> Moat</w:t>
            </w:r>
            <w:r w:rsidR="002D569F">
              <w:rPr>
                <w:rFonts w:cstheme="minorHAnsi"/>
                <w:color w:val="FFFFFF" w:themeColor="background1"/>
              </w:rPr>
              <w:t>; David Edie, Dartford BC; Anthony Crossley, Ashford BC; Keith Cane, TCHG; Helen Sudbury, Golding Homes; Rebecca Smith, Kent Housing Group;</w:t>
            </w:r>
          </w:p>
          <w:p w:rsidR="00B613D2" w:rsidRPr="00B53735" w:rsidRDefault="00B613D2" w:rsidP="00F6297A">
            <w:pPr>
              <w:jc w:val="center"/>
              <w:rPr>
                <w:color w:val="FFFFFF" w:themeColor="background1"/>
              </w:rPr>
            </w:pPr>
          </w:p>
          <w:p w:rsidR="00074BA3" w:rsidRDefault="00B613D2" w:rsidP="00F6297A">
            <w:pPr>
              <w:rPr>
                <w:rFonts w:cstheme="minorHAnsi"/>
                <w:color w:val="FFFFFF" w:themeColor="background1"/>
              </w:rPr>
            </w:pPr>
            <w:r w:rsidRPr="00B53735">
              <w:rPr>
                <w:rFonts w:cstheme="minorHAnsi"/>
                <w:b/>
                <w:color w:val="FFFFFF" w:themeColor="background1"/>
              </w:rPr>
              <w:t>Apologies</w:t>
            </w:r>
            <w:r w:rsidRPr="00B53735">
              <w:rPr>
                <w:rFonts w:cstheme="minorHAnsi"/>
                <w:color w:val="FFFFFF" w:themeColor="background1"/>
              </w:rPr>
              <w:t xml:space="preserve">: </w:t>
            </w:r>
            <w:r w:rsidR="00E95A57">
              <w:rPr>
                <w:rFonts w:cstheme="minorHAnsi"/>
                <w:color w:val="FFFFFF" w:themeColor="background1"/>
              </w:rPr>
              <w:t xml:space="preserve"> Eileen Martin, Matthew Robbins &amp; Terry Spillard, Optivo; Jody Bullman, Moat; Stefan </w:t>
            </w:r>
            <w:proofErr w:type="spellStart"/>
            <w:r w:rsidR="00E95A57">
              <w:rPr>
                <w:rFonts w:cstheme="minorHAnsi"/>
                <w:color w:val="FFFFFF" w:themeColor="background1"/>
              </w:rPr>
              <w:t>Polom</w:t>
            </w:r>
            <w:proofErr w:type="spellEnd"/>
            <w:r w:rsidR="00E95A57">
              <w:rPr>
                <w:rFonts w:cstheme="minorHAnsi"/>
                <w:color w:val="FFFFFF" w:themeColor="background1"/>
              </w:rPr>
              <w:t xml:space="preserve">, TCHG; Brian Horton, SELEP; </w:t>
            </w:r>
            <w:r w:rsidR="006A1123">
              <w:rPr>
                <w:rFonts w:cstheme="minorHAnsi"/>
                <w:color w:val="FFFFFF" w:themeColor="background1"/>
              </w:rPr>
              <w:t>Sophie Hargreaves, Moat</w:t>
            </w:r>
            <w:r w:rsidR="00236F44">
              <w:rPr>
                <w:rFonts w:cstheme="minorHAnsi"/>
                <w:color w:val="FFFFFF" w:themeColor="background1"/>
              </w:rPr>
              <w:t xml:space="preserve">; Chailean </w:t>
            </w:r>
            <w:r w:rsidR="00236F44" w:rsidRPr="00236F44">
              <w:rPr>
                <w:rFonts w:cstheme="minorHAnsi"/>
                <w:color w:val="FFFFFF" w:themeColor="background1"/>
              </w:rPr>
              <w:t xml:space="preserve">Dottin-John, </w:t>
            </w:r>
            <w:r w:rsidR="00236F44">
              <w:rPr>
                <w:rFonts w:cstheme="minorHAnsi"/>
                <w:color w:val="FFFFFF" w:themeColor="background1"/>
              </w:rPr>
              <w:t>Gravesham BC</w:t>
            </w:r>
          </w:p>
          <w:p w:rsidR="002F5ABE" w:rsidRPr="00B53735" w:rsidRDefault="002F5ABE" w:rsidP="00F6297A">
            <w:pPr>
              <w:rPr>
                <w:rFonts w:cstheme="minorHAnsi"/>
                <w:color w:val="FFFFFF" w:themeColor="background1"/>
              </w:rPr>
            </w:pPr>
          </w:p>
          <w:p w:rsidR="00B613D2" w:rsidRDefault="00B613D2" w:rsidP="00F6297A">
            <w:pPr>
              <w:rPr>
                <w:rFonts w:cstheme="minorHAnsi"/>
                <w:color w:val="FFFFFF" w:themeColor="background1"/>
              </w:rPr>
            </w:pPr>
            <w:r w:rsidRPr="00B53735">
              <w:rPr>
                <w:rFonts w:cstheme="minorHAnsi"/>
                <w:b/>
                <w:color w:val="FFFFFF" w:themeColor="background1"/>
              </w:rPr>
              <w:t>Visitors</w:t>
            </w:r>
            <w:r w:rsidRPr="00B53735">
              <w:rPr>
                <w:rFonts w:cstheme="minorHAnsi"/>
                <w:color w:val="FFFFFF" w:themeColor="background1"/>
              </w:rPr>
              <w:t xml:space="preserve">: </w:t>
            </w:r>
            <w:r w:rsidR="00E95A57">
              <w:rPr>
                <w:rFonts w:cstheme="minorHAnsi"/>
                <w:color w:val="FFFFFF" w:themeColor="background1"/>
              </w:rPr>
              <w:t xml:space="preserve">Richard </w:t>
            </w:r>
            <w:proofErr w:type="spellStart"/>
            <w:r w:rsidR="00E95A57">
              <w:rPr>
                <w:rFonts w:cstheme="minorHAnsi"/>
                <w:color w:val="FFFFFF" w:themeColor="background1"/>
              </w:rPr>
              <w:t>Denyer</w:t>
            </w:r>
            <w:proofErr w:type="spellEnd"/>
            <w:r w:rsidR="00E95A57">
              <w:rPr>
                <w:rFonts w:cstheme="minorHAnsi"/>
                <w:color w:val="FFFFFF" w:themeColor="background1"/>
              </w:rPr>
              <w:t>-Berwick, Citizens Online</w:t>
            </w:r>
          </w:p>
          <w:p w:rsidR="00B613D2" w:rsidRPr="00745BAC" w:rsidRDefault="00B613D2" w:rsidP="00F6297A">
            <w:pPr>
              <w:rPr>
                <w:rFonts w:cstheme="minorHAnsi"/>
                <w:color w:val="FFFFFF" w:themeColor="background1"/>
              </w:rPr>
            </w:pPr>
          </w:p>
        </w:tc>
      </w:tr>
      <w:tr w:rsidR="00C86D65" w:rsidRPr="00745BAC" w:rsidTr="00A7161B">
        <w:tc>
          <w:tcPr>
            <w:tcW w:w="2411" w:type="dxa"/>
            <w:shd w:val="clear" w:color="auto" w:fill="DBE5F1" w:themeFill="accent1" w:themeFillTint="33"/>
          </w:tcPr>
          <w:p w:rsidR="00C86D65" w:rsidRPr="00745BAC" w:rsidRDefault="00C86D65" w:rsidP="008719B0">
            <w:pPr>
              <w:jc w:val="center"/>
              <w:rPr>
                <w:b/>
              </w:rPr>
            </w:pPr>
            <w:r w:rsidRPr="00745BAC">
              <w:rPr>
                <w:b/>
              </w:rPr>
              <w:t>Reference</w:t>
            </w:r>
          </w:p>
        </w:tc>
        <w:tc>
          <w:tcPr>
            <w:tcW w:w="7767" w:type="dxa"/>
            <w:shd w:val="clear" w:color="auto" w:fill="DBE5F1" w:themeFill="accent1" w:themeFillTint="33"/>
          </w:tcPr>
          <w:p w:rsidR="00C86D65" w:rsidRPr="00745BAC" w:rsidRDefault="00C86D65" w:rsidP="002B184E">
            <w:pPr>
              <w:jc w:val="center"/>
              <w:rPr>
                <w:b/>
              </w:rPr>
            </w:pPr>
            <w:r>
              <w:rPr>
                <w:b/>
              </w:rPr>
              <w:t>Notes</w:t>
            </w:r>
          </w:p>
        </w:tc>
        <w:tc>
          <w:tcPr>
            <w:tcW w:w="3431" w:type="dxa"/>
            <w:shd w:val="clear" w:color="auto" w:fill="DBE5F1" w:themeFill="accent1" w:themeFillTint="33"/>
          </w:tcPr>
          <w:p w:rsidR="00C86D65" w:rsidRPr="00745BAC" w:rsidRDefault="00C86D65" w:rsidP="008719B0">
            <w:pPr>
              <w:jc w:val="center"/>
              <w:rPr>
                <w:b/>
              </w:rPr>
            </w:pPr>
            <w:r w:rsidRPr="00745BAC">
              <w:rPr>
                <w:b/>
              </w:rPr>
              <w:t>Action/Decision</w:t>
            </w:r>
          </w:p>
        </w:tc>
        <w:tc>
          <w:tcPr>
            <w:tcW w:w="992" w:type="dxa"/>
            <w:shd w:val="clear" w:color="auto" w:fill="DBE5F1" w:themeFill="accent1" w:themeFillTint="33"/>
          </w:tcPr>
          <w:p w:rsidR="00C86D65" w:rsidRPr="00745BAC" w:rsidRDefault="00C86D65" w:rsidP="00E9001C">
            <w:pPr>
              <w:jc w:val="center"/>
              <w:rPr>
                <w:b/>
              </w:rPr>
            </w:pPr>
            <w:r>
              <w:rPr>
                <w:b/>
              </w:rPr>
              <w:t xml:space="preserve">Lead </w:t>
            </w:r>
          </w:p>
        </w:tc>
        <w:tc>
          <w:tcPr>
            <w:tcW w:w="1418" w:type="dxa"/>
            <w:gridSpan w:val="2"/>
            <w:shd w:val="clear" w:color="auto" w:fill="DBE5F1" w:themeFill="accent1" w:themeFillTint="33"/>
          </w:tcPr>
          <w:p w:rsidR="00C86D65" w:rsidRPr="00745BAC" w:rsidRDefault="00C86D65" w:rsidP="008719B0">
            <w:pPr>
              <w:jc w:val="center"/>
              <w:rPr>
                <w:b/>
              </w:rPr>
            </w:pPr>
            <w:r w:rsidRPr="00E9001C">
              <w:rPr>
                <w:b/>
                <w:sz w:val="20"/>
              </w:rPr>
              <w:t>Timescale</w:t>
            </w:r>
          </w:p>
        </w:tc>
      </w:tr>
      <w:tr w:rsidR="00C86D65" w:rsidRPr="00745BAC" w:rsidTr="00A7161B">
        <w:tc>
          <w:tcPr>
            <w:tcW w:w="2411" w:type="dxa"/>
            <w:shd w:val="clear" w:color="auto" w:fill="auto"/>
          </w:tcPr>
          <w:p w:rsidR="00C86D65" w:rsidRPr="00C86D65" w:rsidRDefault="00C86D65" w:rsidP="00E95A57">
            <w:pPr>
              <w:rPr>
                <w:b/>
              </w:rPr>
            </w:pPr>
            <w:r w:rsidRPr="00C86D65">
              <w:rPr>
                <w:b/>
              </w:rPr>
              <w:t>Minute</w:t>
            </w:r>
            <w:r w:rsidR="002F5ABE">
              <w:rPr>
                <w:b/>
              </w:rPr>
              <w:t xml:space="preserve">s and Matters Arising </w:t>
            </w:r>
            <w:r w:rsidR="00E95A57">
              <w:rPr>
                <w:b/>
              </w:rPr>
              <w:t>November 2017</w:t>
            </w:r>
          </w:p>
        </w:tc>
        <w:tc>
          <w:tcPr>
            <w:tcW w:w="7767" w:type="dxa"/>
            <w:shd w:val="clear" w:color="auto" w:fill="auto"/>
          </w:tcPr>
          <w:p w:rsidR="006A44D8" w:rsidRPr="00745BAC" w:rsidRDefault="00BB1307" w:rsidP="00663A8B">
            <w:pPr>
              <w:jc w:val="both"/>
            </w:pPr>
            <w:r>
              <w:t>Agreed.</w:t>
            </w:r>
            <w:r w:rsidR="006A44D8">
              <w:t xml:space="preserve">  No matters arising noted.</w:t>
            </w:r>
          </w:p>
        </w:tc>
        <w:tc>
          <w:tcPr>
            <w:tcW w:w="3431" w:type="dxa"/>
            <w:shd w:val="clear" w:color="auto" w:fill="auto"/>
          </w:tcPr>
          <w:p w:rsidR="00C86D65" w:rsidRPr="00745BAC" w:rsidRDefault="00C86D65" w:rsidP="008719B0">
            <w:pPr>
              <w:jc w:val="both"/>
            </w:pPr>
          </w:p>
        </w:tc>
        <w:tc>
          <w:tcPr>
            <w:tcW w:w="992" w:type="dxa"/>
            <w:shd w:val="clear" w:color="auto" w:fill="auto"/>
          </w:tcPr>
          <w:p w:rsidR="00C86D65" w:rsidRPr="0044468F" w:rsidRDefault="00C86D65" w:rsidP="008719B0">
            <w:pPr>
              <w:jc w:val="both"/>
              <w:rPr>
                <w:b/>
              </w:rPr>
            </w:pPr>
          </w:p>
        </w:tc>
        <w:tc>
          <w:tcPr>
            <w:tcW w:w="1418" w:type="dxa"/>
            <w:gridSpan w:val="2"/>
            <w:shd w:val="clear" w:color="auto" w:fill="auto"/>
          </w:tcPr>
          <w:p w:rsidR="00C86D65" w:rsidRPr="0044468F" w:rsidRDefault="00C86D65" w:rsidP="008719B0">
            <w:pPr>
              <w:jc w:val="both"/>
              <w:rPr>
                <w:b/>
                <w:color w:val="FF0000"/>
              </w:rPr>
            </w:pPr>
          </w:p>
        </w:tc>
      </w:tr>
      <w:tr w:rsidR="00C86D65" w:rsidRPr="00745BAC" w:rsidTr="00A7161B">
        <w:tc>
          <w:tcPr>
            <w:tcW w:w="2411" w:type="dxa"/>
            <w:shd w:val="clear" w:color="auto" w:fill="auto"/>
          </w:tcPr>
          <w:p w:rsidR="00C86D65" w:rsidRPr="00C86D65" w:rsidRDefault="00E95A57" w:rsidP="008719B0">
            <w:pPr>
              <w:rPr>
                <w:b/>
              </w:rPr>
            </w:pPr>
            <w:r>
              <w:rPr>
                <w:b/>
              </w:rPr>
              <w:t>Citizens Online</w:t>
            </w:r>
          </w:p>
        </w:tc>
        <w:tc>
          <w:tcPr>
            <w:tcW w:w="7767" w:type="dxa"/>
            <w:shd w:val="clear" w:color="auto" w:fill="auto"/>
          </w:tcPr>
          <w:p w:rsidR="003839CF" w:rsidRDefault="002D569F" w:rsidP="00420965">
            <w:pPr>
              <w:jc w:val="both"/>
            </w:pPr>
            <w:r>
              <w:t>Citizens Online is a digital inclusion company based in Gloustershire but carries out projects country wide, with a new project in Kent.</w:t>
            </w:r>
            <w:r w:rsidR="00305A58">
              <w:t xml:space="preserve">  Helping people sustain tenancies longer and using digital as a positive lifestyle choice.</w:t>
            </w:r>
          </w:p>
          <w:p w:rsidR="00305A58" w:rsidRDefault="00305A58" w:rsidP="00420965">
            <w:pPr>
              <w:jc w:val="both"/>
            </w:pPr>
          </w:p>
          <w:p w:rsidR="00305A58" w:rsidRDefault="00305A58" w:rsidP="00420965">
            <w:pPr>
              <w:jc w:val="both"/>
            </w:pPr>
            <w:r>
              <w:t xml:space="preserve">Have been established since 2000, working as part of a consortium across the UK, with Big Lottery Funding.  Orbit, TCHG and Golding </w:t>
            </w:r>
            <w:r w:rsidR="005D20EB">
              <w:t xml:space="preserve">(Kent Switch Project) </w:t>
            </w:r>
            <w:r>
              <w:t xml:space="preserve">are working with Citizens Online in a Kent based digital inclusion </w:t>
            </w:r>
            <w:r w:rsidR="00E812C0">
              <w:t>project/research</w:t>
            </w:r>
            <w:r>
              <w:t xml:space="preserve"> how the providers will be looking at all relevant strategies about digital inclusion, with a report and evidence base for digital change.  Data included is housing stock, social deprivation, low income households and other data to establish communities of interest and asset based approach for the recommendations to benefit tenants.  Advocate collaboration amongst partners and organisations to tackle digital exclusion.  Also advocate that colleagues in organisations are confident to help customers/tenants using digital based services.</w:t>
            </w:r>
          </w:p>
          <w:p w:rsidR="00305A58" w:rsidRDefault="00305A58" w:rsidP="00420965">
            <w:pPr>
              <w:jc w:val="both"/>
            </w:pPr>
          </w:p>
          <w:p w:rsidR="00305A58" w:rsidRDefault="00305A58" w:rsidP="00420965">
            <w:pPr>
              <w:jc w:val="both"/>
            </w:pPr>
            <w:r>
              <w:t>12</w:t>
            </w:r>
            <w:r w:rsidRPr="00305A58">
              <w:rPr>
                <w:vertAlign w:val="superscript"/>
              </w:rPr>
              <w:t>th</w:t>
            </w:r>
            <w:r>
              <w:t xml:space="preserve"> June 2018 from 10 – 1 in Maidstone Digital Inclusion Network Get together – attend to share ideas and collaborate.</w:t>
            </w:r>
          </w:p>
          <w:p w:rsidR="00305A58" w:rsidRDefault="00305A58" w:rsidP="00420965">
            <w:pPr>
              <w:jc w:val="both"/>
            </w:pPr>
          </w:p>
          <w:p w:rsidR="005D20EB" w:rsidRDefault="00305A58" w:rsidP="00420965">
            <w:pPr>
              <w:jc w:val="both"/>
            </w:pPr>
            <w:r>
              <w:t xml:space="preserve">Also support Digital Leadership, how organisations are taking forward digital inclusion agenda?  </w:t>
            </w:r>
            <w:r w:rsidR="005D20EB">
              <w:t xml:space="preserve">Access to an e-learning resource currently to the three Kent based providers, to help staff understand how to help others (The Digital Champions </w:t>
            </w:r>
            <w:r w:rsidR="005D20EB">
              <w:lastRenderedPageBreak/>
              <w:t xml:space="preserve">Network).  </w:t>
            </w:r>
            <w:r w:rsidR="00A7161B">
              <w:t xml:space="preserve">  </w:t>
            </w:r>
            <w:r w:rsidR="00283FBE">
              <w:t>Taking a whole Kent view of the UC roll out as part of the Kent Switch Project, but focusing on Thanet Maidstone and Tunbridge Wells for the ‘deep dive’ asset approach work.</w:t>
            </w:r>
          </w:p>
          <w:p w:rsidR="00283FBE" w:rsidRDefault="00283FBE" w:rsidP="00420965">
            <w:pPr>
              <w:jc w:val="both"/>
            </w:pPr>
          </w:p>
          <w:p w:rsidR="00283FBE" w:rsidRPr="00A7161B" w:rsidRDefault="00A7161B" w:rsidP="00420965">
            <w:pPr>
              <w:jc w:val="both"/>
              <w:rPr>
                <w:u w:val="single"/>
              </w:rPr>
            </w:pPr>
            <w:r w:rsidRPr="00A7161B">
              <w:rPr>
                <w:u w:val="single"/>
              </w:rPr>
              <w:t>Discussion Points/questions:</w:t>
            </w:r>
          </w:p>
          <w:p w:rsidR="00A7161B" w:rsidRDefault="00A7161B" w:rsidP="00420965">
            <w:pPr>
              <w:jc w:val="both"/>
            </w:pPr>
          </w:p>
          <w:p w:rsidR="00A7161B" w:rsidRDefault="00A7161B" w:rsidP="00371ECA">
            <w:pPr>
              <w:pStyle w:val="ListParagraph"/>
              <w:numPr>
                <w:ilvl w:val="0"/>
                <w:numId w:val="10"/>
              </w:numPr>
              <w:jc w:val="both"/>
            </w:pPr>
            <w:r>
              <w:t>Residents are trained as Digital Champions along with staff.</w:t>
            </w:r>
          </w:p>
          <w:p w:rsidR="00A7161B" w:rsidRDefault="00A7161B" w:rsidP="00371ECA">
            <w:pPr>
              <w:pStyle w:val="ListParagraph"/>
              <w:numPr>
                <w:ilvl w:val="0"/>
                <w:numId w:val="10"/>
              </w:numPr>
              <w:jc w:val="both"/>
            </w:pPr>
            <w:r>
              <w:t>Data is gathered from a range of sources, including Ofcom and ONS and establish knowledge populations who are offline or don’t have sufficient connectivity.  Experian Mosaic</w:t>
            </w:r>
            <w:r w:rsidR="00371ECA">
              <w:t xml:space="preserve"> is also used.   Data is matched to establish the picture of the population in an area to build profiles for an area.</w:t>
            </w:r>
          </w:p>
          <w:p w:rsidR="00283FBE" w:rsidRDefault="00371ECA" w:rsidP="00420965">
            <w:pPr>
              <w:pStyle w:val="ListParagraph"/>
              <w:numPr>
                <w:ilvl w:val="0"/>
                <w:numId w:val="10"/>
              </w:numPr>
              <w:jc w:val="both"/>
            </w:pPr>
            <w:r>
              <w:t>Not about influencing the choice of service transformation for an organisation, it’s more about recognising the impact on communities around this change.</w:t>
            </w:r>
          </w:p>
          <w:p w:rsidR="006A44D8" w:rsidRDefault="006A44D8" w:rsidP="00420965">
            <w:pPr>
              <w:pStyle w:val="ListParagraph"/>
              <w:numPr>
                <w:ilvl w:val="0"/>
                <w:numId w:val="10"/>
              </w:numPr>
              <w:jc w:val="both"/>
            </w:pPr>
            <w:r>
              <w:t>Discussion about the role of KHG and enabling partners to work collaboratively around digital inclusion.</w:t>
            </w:r>
          </w:p>
          <w:p w:rsidR="006A44D8" w:rsidRPr="00745BAC" w:rsidRDefault="006A44D8" w:rsidP="006A44D8">
            <w:pPr>
              <w:jc w:val="both"/>
            </w:pPr>
          </w:p>
        </w:tc>
        <w:tc>
          <w:tcPr>
            <w:tcW w:w="3431" w:type="dxa"/>
            <w:shd w:val="clear" w:color="auto" w:fill="auto"/>
          </w:tcPr>
          <w:p w:rsidR="00315A95" w:rsidRDefault="00305A58" w:rsidP="00D131A0">
            <w:pPr>
              <w:jc w:val="both"/>
            </w:pPr>
            <w:r>
              <w:lastRenderedPageBreak/>
              <w:t>RS to share PDF version of the presentation with colleagues via the KHG website.</w:t>
            </w: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p>
          <w:p w:rsidR="00371ECA" w:rsidRDefault="00371ECA" w:rsidP="00D131A0">
            <w:pPr>
              <w:jc w:val="both"/>
            </w:pPr>
            <w:r>
              <w:t>RS to share Eventbrite information when received from Citizens Online</w:t>
            </w:r>
          </w:p>
          <w:p w:rsidR="006A44D8" w:rsidRDefault="006A44D8" w:rsidP="00D131A0">
            <w:pPr>
              <w:jc w:val="both"/>
            </w:pPr>
          </w:p>
          <w:p w:rsidR="006A44D8" w:rsidRPr="00745BAC" w:rsidRDefault="006A44D8" w:rsidP="00D131A0">
            <w:pPr>
              <w:jc w:val="both"/>
            </w:pPr>
            <w:r>
              <w:t xml:space="preserve">RS to share contact details from the group with Richard about sharing </w:t>
            </w:r>
            <w:r>
              <w:lastRenderedPageBreak/>
              <w:t>future information and work of the organisation.</w:t>
            </w:r>
          </w:p>
        </w:tc>
        <w:tc>
          <w:tcPr>
            <w:tcW w:w="992" w:type="dxa"/>
            <w:shd w:val="clear" w:color="auto" w:fill="auto"/>
          </w:tcPr>
          <w:p w:rsidR="00AB0CAA" w:rsidRDefault="00305A58" w:rsidP="00D131A0">
            <w:pPr>
              <w:jc w:val="both"/>
              <w:rPr>
                <w:b/>
              </w:rPr>
            </w:pPr>
            <w:r>
              <w:rPr>
                <w:b/>
              </w:rPr>
              <w:lastRenderedPageBreak/>
              <w:t>RS</w:t>
            </w: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p>
          <w:p w:rsidR="00371ECA" w:rsidRDefault="00371ECA" w:rsidP="00D131A0">
            <w:pPr>
              <w:jc w:val="both"/>
              <w:rPr>
                <w:b/>
              </w:rPr>
            </w:pPr>
            <w:r>
              <w:rPr>
                <w:b/>
              </w:rPr>
              <w:t>RS</w:t>
            </w:r>
          </w:p>
          <w:p w:rsidR="006A44D8" w:rsidRDefault="006A44D8" w:rsidP="00D131A0">
            <w:pPr>
              <w:jc w:val="both"/>
              <w:rPr>
                <w:b/>
              </w:rPr>
            </w:pPr>
          </w:p>
          <w:p w:rsidR="006A44D8" w:rsidRDefault="006A44D8" w:rsidP="00D131A0">
            <w:pPr>
              <w:jc w:val="both"/>
              <w:rPr>
                <w:b/>
              </w:rPr>
            </w:pPr>
          </w:p>
          <w:p w:rsidR="006A44D8" w:rsidRPr="0044468F" w:rsidRDefault="006A44D8" w:rsidP="00D131A0">
            <w:pPr>
              <w:jc w:val="both"/>
              <w:rPr>
                <w:b/>
              </w:rPr>
            </w:pPr>
            <w:r>
              <w:rPr>
                <w:b/>
              </w:rPr>
              <w:t>RS</w:t>
            </w:r>
          </w:p>
        </w:tc>
        <w:tc>
          <w:tcPr>
            <w:tcW w:w="1418" w:type="dxa"/>
            <w:gridSpan w:val="2"/>
            <w:shd w:val="clear" w:color="auto" w:fill="auto"/>
          </w:tcPr>
          <w:p w:rsidR="00C86D65" w:rsidRDefault="00305A58" w:rsidP="00F85B9E">
            <w:pPr>
              <w:rPr>
                <w:b/>
                <w:color w:val="FF0000"/>
              </w:rPr>
            </w:pPr>
            <w:r>
              <w:rPr>
                <w:b/>
                <w:color w:val="FF0000"/>
              </w:rPr>
              <w:t>As available</w:t>
            </w: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Default="00371ECA" w:rsidP="00F85B9E">
            <w:pPr>
              <w:rPr>
                <w:b/>
                <w:color w:val="FF0000"/>
              </w:rPr>
            </w:pPr>
          </w:p>
          <w:p w:rsidR="00371ECA" w:rsidRPr="0044468F" w:rsidRDefault="00371ECA" w:rsidP="00F85B9E">
            <w:pPr>
              <w:rPr>
                <w:b/>
                <w:color w:val="FF0000"/>
              </w:rPr>
            </w:pPr>
            <w:r>
              <w:rPr>
                <w:b/>
                <w:color w:val="FF0000"/>
              </w:rPr>
              <w:t>As Available</w:t>
            </w:r>
          </w:p>
        </w:tc>
      </w:tr>
      <w:tr w:rsidR="00C86D65" w:rsidRPr="00745BAC" w:rsidTr="00A7161B">
        <w:tc>
          <w:tcPr>
            <w:tcW w:w="2411" w:type="dxa"/>
            <w:shd w:val="clear" w:color="auto" w:fill="auto"/>
          </w:tcPr>
          <w:p w:rsidR="00C86D65" w:rsidRPr="00C86D65" w:rsidRDefault="00E95A57" w:rsidP="008719B0">
            <w:pPr>
              <w:rPr>
                <w:b/>
              </w:rPr>
            </w:pPr>
            <w:r>
              <w:rPr>
                <w:b/>
              </w:rPr>
              <w:t>Election of Vice Chair</w:t>
            </w:r>
          </w:p>
        </w:tc>
        <w:tc>
          <w:tcPr>
            <w:tcW w:w="7767" w:type="dxa"/>
            <w:shd w:val="clear" w:color="auto" w:fill="auto"/>
          </w:tcPr>
          <w:p w:rsidR="00E95A57" w:rsidRDefault="006A44D8" w:rsidP="002D569F">
            <w:pPr>
              <w:jc w:val="both"/>
            </w:pPr>
            <w:r>
              <w:t>GP nominated herself as Vice Chair for the group and this was agreed by those attending the meeting.</w:t>
            </w:r>
          </w:p>
          <w:p w:rsidR="006A44D8" w:rsidRPr="00745BAC" w:rsidRDefault="006A44D8" w:rsidP="002D569F">
            <w:pPr>
              <w:jc w:val="both"/>
            </w:pPr>
          </w:p>
        </w:tc>
        <w:tc>
          <w:tcPr>
            <w:tcW w:w="3431" w:type="dxa"/>
            <w:shd w:val="clear" w:color="auto" w:fill="auto"/>
          </w:tcPr>
          <w:p w:rsidR="00AB0CAA" w:rsidRPr="00AA7D59" w:rsidRDefault="006A44D8" w:rsidP="00D131A0">
            <w:pPr>
              <w:jc w:val="both"/>
              <w:rPr>
                <w:b/>
              </w:rPr>
            </w:pPr>
            <w:r>
              <w:rPr>
                <w:b/>
              </w:rPr>
              <w:t>RS to update details for the group</w:t>
            </w:r>
          </w:p>
        </w:tc>
        <w:tc>
          <w:tcPr>
            <w:tcW w:w="992" w:type="dxa"/>
            <w:shd w:val="clear" w:color="auto" w:fill="auto"/>
          </w:tcPr>
          <w:p w:rsidR="00C86D65" w:rsidRPr="0044468F" w:rsidRDefault="006A44D8" w:rsidP="00D131A0">
            <w:pPr>
              <w:jc w:val="both"/>
              <w:rPr>
                <w:b/>
              </w:rPr>
            </w:pPr>
            <w:r>
              <w:rPr>
                <w:b/>
              </w:rPr>
              <w:t>RS</w:t>
            </w:r>
          </w:p>
        </w:tc>
        <w:tc>
          <w:tcPr>
            <w:tcW w:w="1418" w:type="dxa"/>
            <w:gridSpan w:val="2"/>
            <w:shd w:val="clear" w:color="auto" w:fill="auto"/>
          </w:tcPr>
          <w:p w:rsidR="00C86D65" w:rsidRPr="0044468F" w:rsidRDefault="006A44D8" w:rsidP="00EE5454">
            <w:pPr>
              <w:jc w:val="both"/>
              <w:rPr>
                <w:b/>
                <w:color w:val="FF0000"/>
              </w:rPr>
            </w:pPr>
            <w:r>
              <w:rPr>
                <w:b/>
                <w:color w:val="FF0000"/>
              </w:rPr>
              <w:t>By 24</w:t>
            </w:r>
            <w:r w:rsidRPr="006A44D8">
              <w:rPr>
                <w:b/>
                <w:color w:val="FF0000"/>
                <w:vertAlign w:val="superscript"/>
              </w:rPr>
              <w:t>th</w:t>
            </w:r>
            <w:r>
              <w:rPr>
                <w:b/>
                <w:color w:val="FF0000"/>
              </w:rPr>
              <w:t xml:space="preserve"> May</w:t>
            </w:r>
          </w:p>
        </w:tc>
      </w:tr>
      <w:tr w:rsidR="00C86D65" w:rsidRPr="00745BAC" w:rsidTr="00A7161B">
        <w:tc>
          <w:tcPr>
            <w:tcW w:w="2411" w:type="dxa"/>
            <w:shd w:val="clear" w:color="auto" w:fill="auto"/>
          </w:tcPr>
          <w:p w:rsidR="00C86D65" w:rsidRPr="00C86D65" w:rsidRDefault="00E95A57" w:rsidP="008719B0">
            <w:pPr>
              <w:rPr>
                <w:b/>
              </w:rPr>
            </w:pPr>
            <w:r>
              <w:rPr>
                <w:b/>
              </w:rPr>
              <w:t>New Build Allocation &amp; Management Issues</w:t>
            </w:r>
          </w:p>
        </w:tc>
        <w:tc>
          <w:tcPr>
            <w:tcW w:w="7767" w:type="dxa"/>
            <w:shd w:val="clear" w:color="auto" w:fill="auto"/>
          </w:tcPr>
          <w:p w:rsidR="006A44D8" w:rsidRDefault="006A44D8" w:rsidP="00C263CF">
            <w:pPr>
              <w:tabs>
                <w:tab w:val="left" w:pos="4420"/>
              </w:tabs>
              <w:jc w:val="both"/>
            </w:pPr>
            <w:r>
              <w:t xml:space="preserve">MHS are struggling to let one bed flats in the Maidstone area and are considering using Rightmove to advertise.  There is not a creation of sustainable tenancies.  Golding </w:t>
            </w:r>
            <w:r w:rsidR="00A0161B">
              <w:t xml:space="preserve">Homes </w:t>
            </w:r>
            <w:r>
              <w:t xml:space="preserve">have had a similar issue in the area of </w:t>
            </w:r>
            <w:r w:rsidR="00A0161B">
              <w:t>Maidstone;</w:t>
            </w:r>
            <w:r>
              <w:t xml:space="preserve"> they are going to other local </w:t>
            </w:r>
            <w:r w:rsidR="00A0161B">
              <w:t xml:space="preserve">authorities for assistance to fill the voids.  Moat had a similar experience with direct nominations from their local authority for a Future Homes new build scheme.  </w:t>
            </w:r>
          </w:p>
          <w:p w:rsidR="00A0161B" w:rsidRDefault="00A0161B" w:rsidP="00C263CF">
            <w:pPr>
              <w:tabs>
                <w:tab w:val="left" w:pos="4420"/>
              </w:tabs>
              <w:jc w:val="both"/>
            </w:pPr>
          </w:p>
        </w:tc>
        <w:tc>
          <w:tcPr>
            <w:tcW w:w="3431" w:type="dxa"/>
            <w:shd w:val="clear" w:color="auto" w:fill="auto"/>
          </w:tcPr>
          <w:p w:rsidR="00C86D65" w:rsidRPr="00AA7D59" w:rsidRDefault="00C86D65" w:rsidP="00F85B9E">
            <w:pPr>
              <w:rPr>
                <w:b/>
              </w:rPr>
            </w:pPr>
          </w:p>
        </w:tc>
        <w:tc>
          <w:tcPr>
            <w:tcW w:w="992" w:type="dxa"/>
            <w:shd w:val="clear" w:color="auto" w:fill="auto"/>
          </w:tcPr>
          <w:p w:rsidR="00C86D65" w:rsidRDefault="00C86D65" w:rsidP="00D131A0">
            <w:pPr>
              <w:jc w:val="both"/>
              <w:rPr>
                <w:b/>
              </w:rPr>
            </w:pPr>
          </w:p>
        </w:tc>
        <w:tc>
          <w:tcPr>
            <w:tcW w:w="1418" w:type="dxa"/>
            <w:gridSpan w:val="2"/>
            <w:shd w:val="clear" w:color="auto" w:fill="auto"/>
          </w:tcPr>
          <w:p w:rsidR="00C86D65" w:rsidRDefault="00C86D65" w:rsidP="00EE5454">
            <w:pPr>
              <w:jc w:val="both"/>
              <w:rPr>
                <w:b/>
                <w:color w:val="FF0000"/>
              </w:rPr>
            </w:pPr>
          </w:p>
        </w:tc>
      </w:tr>
      <w:tr w:rsidR="00C86D65" w:rsidRPr="00745BAC" w:rsidTr="00A7161B">
        <w:tc>
          <w:tcPr>
            <w:tcW w:w="2411" w:type="dxa"/>
            <w:shd w:val="clear" w:color="auto" w:fill="auto"/>
          </w:tcPr>
          <w:p w:rsidR="00C86D65" w:rsidRPr="00C86D65" w:rsidRDefault="00E95A57" w:rsidP="008719B0">
            <w:pPr>
              <w:rPr>
                <w:b/>
              </w:rPr>
            </w:pPr>
            <w:r>
              <w:rPr>
                <w:b/>
              </w:rPr>
              <w:t>Universal Credit Roll Out</w:t>
            </w:r>
          </w:p>
        </w:tc>
        <w:tc>
          <w:tcPr>
            <w:tcW w:w="7767" w:type="dxa"/>
            <w:shd w:val="clear" w:color="auto" w:fill="auto"/>
          </w:tcPr>
          <w:p w:rsidR="00A0161B" w:rsidRDefault="00A0161B" w:rsidP="002D0116">
            <w:pPr>
              <w:jc w:val="both"/>
            </w:pPr>
            <w:r>
              <w:t xml:space="preserve">Appeals for PIP and ESA are taking up to 11 weeks.  This can have a potential negative impact on the financial situation for the applicant.  </w:t>
            </w:r>
            <w:r w:rsidR="00E812C0">
              <w:t xml:space="preserve"> </w:t>
            </w:r>
            <w:r>
              <w:t xml:space="preserve">Golding Homes are setting up shadow working with Job Coaches to encourage them to have a perspective and understanding about housing.  </w:t>
            </w:r>
          </w:p>
          <w:p w:rsidR="00A0161B" w:rsidRDefault="00A0161B" w:rsidP="002D0116">
            <w:pPr>
              <w:jc w:val="both"/>
            </w:pPr>
          </w:p>
          <w:p w:rsidR="00A0161B" w:rsidRDefault="00A0161B" w:rsidP="002D0116">
            <w:pPr>
              <w:jc w:val="both"/>
            </w:pPr>
            <w:r>
              <w:lastRenderedPageBreak/>
              <w:t>GP advised that WKHA are looking to partner with an Academic partner to look at interventions and working around the roll out and transition around welfare benefit and use the Social Impact Group through KHG.</w:t>
            </w:r>
          </w:p>
          <w:p w:rsidR="000E7D73" w:rsidRDefault="000E7D73" w:rsidP="002D0116">
            <w:pPr>
              <w:jc w:val="both"/>
            </w:pPr>
            <w:bookmarkStart w:id="0" w:name="_GoBack"/>
            <w:bookmarkEnd w:id="0"/>
          </w:p>
          <w:p w:rsidR="00A0161B" w:rsidRDefault="00AD377B" w:rsidP="00AD377B">
            <w:pPr>
              <w:jc w:val="both"/>
            </w:pPr>
            <w:r>
              <w:t>JH advised that SHG have been working around ‘</w:t>
            </w:r>
            <w:r w:rsidR="00A0161B">
              <w:t xml:space="preserve">Customer </w:t>
            </w:r>
            <w:r>
              <w:t>Segmentation’ which involves c</w:t>
            </w:r>
            <w:r w:rsidR="00A0161B">
              <w:t xml:space="preserve">ustomer journey mapping around arrears and support, with a pilot running to understand the results from the change of service, using data more effectively around communications, managing </w:t>
            </w:r>
            <w:r>
              <w:t>the payment of rent</w:t>
            </w:r>
            <w:r w:rsidR="00A0161B">
              <w:t xml:space="preserve"> as examples.  JH to ask the contact at SHG to come and present this back to NMSG.  </w:t>
            </w:r>
          </w:p>
          <w:p w:rsidR="00AD377B" w:rsidRPr="00745BAC" w:rsidRDefault="00AD377B" w:rsidP="00E812C0">
            <w:pPr>
              <w:jc w:val="both"/>
            </w:pPr>
          </w:p>
        </w:tc>
        <w:tc>
          <w:tcPr>
            <w:tcW w:w="3431" w:type="dxa"/>
            <w:shd w:val="clear" w:color="auto" w:fill="auto"/>
          </w:tcPr>
          <w:p w:rsidR="00C86D65" w:rsidRDefault="00C86D65" w:rsidP="009C0E21">
            <w:pPr>
              <w:jc w:val="both"/>
              <w:rPr>
                <w:b/>
              </w:rPr>
            </w:pPr>
          </w:p>
          <w:p w:rsidR="00E812C0" w:rsidRDefault="00E812C0" w:rsidP="009C0E21">
            <w:pPr>
              <w:jc w:val="both"/>
              <w:rPr>
                <w:b/>
              </w:rPr>
            </w:pPr>
          </w:p>
          <w:p w:rsidR="00E812C0" w:rsidRDefault="00E812C0" w:rsidP="009C0E21">
            <w:pPr>
              <w:jc w:val="both"/>
              <w:rPr>
                <w:b/>
              </w:rPr>
            </w:pPr>
          </w:p>
          <w:p w:rsidR="00E812C0" w:rsidRDefault="00E812C0" w:rsidP="009C0E21">
            <w:pPr>
              <w:jc w:val="both"/>
              <w:rPr>
                <w:b/>
              </w:rPr>
            </w:pPr>
          </w:p>
          <w:p w:rsidR="00E812C0" w:rsidRDefault="00E812C0" w:rsidP="009C0E21">
            <w:pPr>
              <w:jc w:val="both"/>
              <w:rPr>
                <w:b/>
              </w:rPr>
            </w:pPr>
          </w:p>
          <w:p w:rsidR="00E812C0" w:rsidRDefault="00E812C0" w:rsidP="009C0E21">
            <w:pPr>
              <w:jc w:val="both"/>
              <w:rPr>
                <w:b/>
              </w:rPr>
            </w:pPr>
          </w:p>
          <w:p w:rsidR="00E812C0" w:rsidRDefault="00E812C0" w:rsidP="009C0E21">
            <w:pPr>
              <w:jc w:val="both"/>
              <w:rPr>
                <w:b/>
              </w:rPr>
            </w:pPr>
          </w:p>
          <w:p w:rsidR="00E812C0" w:rsidRDefault="00E812C0" w:rsidP="009C0E21">
            <w:pPr>
              <w:jc w:val="both"/>
              <w:rPr>
                <w:b/>
              </w:rPr>
            </w:pPr>
          </w:p>
          <w:p w:rsidR="00E812C0" w:rsidRPr="008719B0" w:rsidRDefault="00E812C0" w:rsidP="009C0E21">
            <w:pPr>
              <w:jc w:val="both"/>
              <w:rPr>
                <w:b/>
              </w:rPr>
            </w:pPr>
            <w:r>
              <w:rPr>
                <w:b/>
              </w:rPr>
              <w:t>RS to contact Elle Boyle at SHG about attending future NMSG meeting</w:t>
            </w:r>
          </w:p>
        </w:tc>
        <w:tc>
          <w:tcPr>
            <w:tcW w:w="992" w:type="dxa"/>
            <w:shd w:val="clear" w:color="auto" w:fill="auto"/>
          </w:tcPr>
          <w:p w:rsidR="00C86D65" w:rsidRDefault="00C86D65" w:rsidP="00D131A0">
            <w:pPr>
              <w:jc w:val="both"/>
              <w:rPr>
                <w:b/>
              </w:rPr>
            </w:pPr>
          </w:p>
          <w:p w:rsidR="00E812C0" w:rsidRDefault="00E812C0" w:rsidP="00D131A0">
            <w:pPr>
              <w:jc w:val="both"/>
              <w:rPr>
                <w:b/>
              </w:rPr>
            </w:pPr>
          </w:p>
          <w:p w:rsidR="00E812C0" w:rsidRDefault="00E812C0" w:rsidP="00D131A0">
            <w:pPr>
              <w:jc w:val="both"/>
              <w:rPr>
                <w:b/>
              </w:rPr>
            </w:pPr>
          </w:p>
          <w:p w:rsidR="00E812C0" w:rsidRDefault="00E812C0" w:rsidP="00D131A0">
            <w:pPr>
              <w:jc w:val="both"/>
              <w:rPr>
                <w:b/>
              </w:rPr>
            </w:pPr>
          </w:p>
          <w:p w:rsidR="00E812C0" w:rsidRDefault="00E812C0" w:rsidP="00D131A0">
            <w:pPr>
              <w:jc w:val="both"/>
              <w:rPr>
                <w:b/>
              </w:rPr>
            </w:pPr>
          </w:p>
          <w:p w:rsidR="00E812C0" w:rsidRDefault="00E812C0" w:rsidP="00D131A0">
            <w:pPr>
              <w:jc w:val="both"/>
              <w:rPr>
                <w:b/>
              </w:rPr>
            </w:pPr>
          </w:p>
          <w:p w:rsidR="00E812C0" w:rsidRDefault="00E812C0" w:rsidP="00D131A0">
            <w:pPr>
              <w:jc w:val="both"/>
              <w:rPr>
                <w:b/>
              </w:rPr>
            </w:pPr>
          </w:p>
          <w:p w:rsidR="00E812C0" w:rsidRDefault="00E812C0" w:rsidP="00D131A0">
            <w:pPr>
              <w:jc w:val="both"/>
              <w:rPr>
                <w:b/>
              </w:rPr>
            </w:pPr>
          </w:p>
          <w:p w:rsidR="00E812C0" w:rsidRPr="0044468F" w:rsidRDefault="00E812C0" w:rsidP="00D131A0">
            <w:pPr>
              <w:jc w:val="both"/>
              <w:rPr>
                <w:b/>
              </w:rPr>
            </w:pPr>
            <w:r>
              <w:rPr>
                <w:b/>
              </w:rPr>
              <w:t>RS</w:t>
            </w:r>
          </w:p>
        </w:tc>
        <w:tc>
          <w:tcPr>
            <w:tcW w:w="1418" w:type="dxa"/>
            <w:gridSpan w:val="2"/>
            <w:shd w:val="clear" w:color="auto" w:fill="auto"/>
          </w:tcPr>
          <w:p w:rsidR="00C86D65" w:rsidRDefault="00C86D65"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Default="00E812C0" w:rsidP="00D131A0">
            <w:pPr>
              <w:jc w:val="both"/>
              <w:rPr>
                <w:b/>
                <w:color w:val="FF0000"/>
              </w:rPr>
            </w:pPr>
          </w:p>
          <w:p w:rsidR="00E812C0" w:rsidRPr="0044468F" w:rsidRDefault="00E812C0" w:rsidP="00D131A0">
            <w:pPr>
              <w:jc w:val="both"/>
              <w:rPr>
                <w:b/>
                <w:color w:val="FF0000"/>
              </w:rPr>
            </w:pPr>
            <w:r>
              <w:rPr>
                <w:b/>
                <w:color w:val="FF0000"/>
              </w:rPr>
              <w:t>By 24</w:t>
            </w:r>
            <w:r w:rsidRPr="00E812C0">
              <w:rPr>
                <w:b/>
                <w:color w:val="FF0000"/>
                <w:vertAlign w:val="superscript"/>
              </w:rPr>
              <w:t>th</w:t>
            </w:r>
            <w:r>
              <w:rPr>
                <w:b/>
                <w:color w:val="FF0000"/>
              </w:rPr>
              <w:t xml:space="preserve"> May</w:t>
            </w:r>
          </w:p>
        </w:tc>
      </w:tr>
      <w:tr w:rsidR="00C86D65" w:rsidRPr="00745BAC" w:rsidTr="00A7161B">
        <w:tc>
          <w:tcPr>
            <w:tcW w:w="2411" w:type="dxa"/>
            <w:shd w:val="clear" w:color="auto" w:fill="auto"/>
          </w:tcPr>
          <w:p w:rsidR="00C86D65" w:rsidRPr="00C86D65" w:rsidRDefault="00E95A57" w:rsidP="008719B0">
            <w:pPr>
              <w:rPr>
                <w:b/>
              </w:rPr>
            </w:pPr>
            <w:r>
              <w:rPr>
                <w:b/>
              </w:rPr>
              <w:lastRenderedPageBreak/>
              <w:t>Fixed Term Tenancies</w:t>
            </w:r>
            <w:r w:rsidR="00E812C0">
              <w:rPr>
                <w:b/>
              </w:rPr>
              <w:t xml:space="preserve"> (FTT)</w:t>
            </w:r>
          </w:p>
        </w:tc>
        <w:tc>
          <w:tcPr>
            <w:tcW w:w="7767" w:type="dxa"/>
            <w:shd w:val="clear" w:color="auto" w:fill="auto"/>
          </w:tcPr>
          <w:p w:rsidR="002D0116" w:rsidRDefault="00451853" w:rsidP="0044178D">
            <w:pPr>
              <w:jc w:val="both"/>
            </w:pPr>
            <w:r>
              <w:t>AC advised that Ashford have set up a review panel for FTT, the main issue at the moment is about the information to enable the review and how to manage an appeal on a decision.  Timescales are very exacting and how to maintain the momentum and reporting around the reviews of those tenancies coming to an end.</w:t>
            </w:r>
          </w:p>
          <w:p w:rsidR="00451853" w:rsidRDefault="00451853" w:rsidP="0044178D">
            <w:pPr>
              <w:jc w:val="both"/>
            </w:pPr>
          </w:p>
          <w:p w:rsidR="00451853" w:rsidRDefault="00451853" w:rsidP="0044178D">
            <w:pPr>
              <w:jc w:val="both"/>
            </w:pPr>
            <w:r>
              <w:t>West Kent HA is currently writing reports around the FTT and would like them to trigger the necessary work streams to manage the process in the timescale.   SHG are looking to have a system where there is a visible countdown for all colleagues to see when a tenancy period is due for review.</w:t>
            </w:r>
          </w:p>
          <w:p w:rsidR="00451853" w:rsidRDefault="00451853" w:rsidP="0044178D">
            <w:pPr>
              <w:jc w:val="both"/>
            </w:pPr>
          </w:p>
          <w:p w:rsidR="008F530D" w:rsidRDefault="008F530D" w:rsidP="0044178D">
            <w:pPr>
              <w:jc w:val="both"/>
            </w:pPr>
            <w:r>
              <w:t>General discussion about review periods and the work load/staff resources to undertake the review processes and to what property types FTT are applicable to (including designated OP accommodation).</w:t>
            </w:r>
          </w:p>
          <w:p w:rsidR="008F530D" w:rsidRPr="00745BAC" w:rsidRDefault="008F530D" w:rsidP="0044178D">
            <w:pPr>
              <w:jc w:val="both"/>
            </w:pPr>
          </w:p>
        </w:tc>
        <w:tc>
          <w:tcPr>
            <w:tcW w:w="3431" w:type="dxa"/>
            <w:shd w:val="clear" w:color="auto" w:fill="auto"/>
          </w:tcPr>
          <w:p w:rsidR="00CB2B0F" w:rsidRPr="002D0116" w:rsidRDefault="00CB2B0F" w:rsidP="002D0116">
            <w:pPr>
              <w:rPr>
                <w:b/>
              </w:rPr>
            </w:pPr>
          </w:p>
        </w:tc>
        <w:tc>
          <w:tcPr>
            <w:tcW w:w="992" w:type="dxa"/>
            <w:shd w:val="clear" w:color="auto" w:fill="auto"/>
          </w:tcPr>
          <w:p w:rsidR="00CB2B0F" w:rsidRPr="0044468F" w:rsidRDefault="00CB2B0F" w:rsidP="002D0116">
            <w:pPr>
              <w:rPr>
                <w:b/>
              </w:rPr>
            </w:pPr>
          </w:p>
        </w:tc>
        <w:tc>
          <w:tcPr>
            <w:tcW w:w="1418" w:type="dxa"/>
            <w:gridSpan w:val="2"/>
            <w:shd w:val="clear" w:color="auto" w:fill="auto"/>
          </w:tcPr>
          <w:p w:rsidR="002D0116" w:rsidRPr="0044468F" w:rsidRDefault="002D0116" w:rsidP="002D0116">
            <w:pPr>
              <w:rPr>
                <w:b/>
                <w:color w:val="FF0000"/>
              </w:rPr>
            </w:pPr>
          </w:p>
        </w:tc>
      </w:tr>
      <w:tr w:rsidR="00C86D65" w:rsidRPr="00745BAC" w:rsidTr="00A7161B">
        <w:tc>
          <w:tcPr>
            <w:tcW w:w="2411" w:type="dxa"/>
            <w:shd w:val="clear" w:color="auto" w:fill="auto"/>
          </w:tcPr>
          <w:p w:rsidR="00C86D65" w:rsidRPr="00C86D65" w:rsidRDefault="00E95A57" w:rsidP="008719B0">
            <w:pPr>
              <w:rPr>
                <w:b/>
              </w:rPr>
            </w:pPr>
            <w:r>
              <w:rPr>
                <w:b/>
              </w:rPr>
              <w:t>GDPR</w:t>
            </w:r>
          </w:p>
        </w:tc>
        <w:tc>
          <w:tcPr>
            <w:tcW w:w="7767" w:type="dxa"/>
            <w:shd w:val="clear" w:color="auto" w:fill="auto"/>
          </w:tcPr>
          <w:p w:rsidR="009C155C" w:rsidRDefault="008F530D" w:rsidP="002D0116">
            <w:pPr>
              <w:jc w:val="both"/>
            </w:pPr>
            <w:r>
              <w:t>Ashford BC is due to change the Privacy Notice element on their Tenancy Agreement, any examples to be shared with Anthony Crossley at Ashford BC.</w:t>
            </w:r>
          </w:p>
          <w:p w:rsidR="008F530D" w:rsidRDefault="008F530D" w:rsidP="002D0116">
            <w:pPr>
              <w:jc w:val="both"/>
            </w:pPr>
          </w:p>
          <w:p w:rsidR="008F530D" w:rsidRDefault="006A1123" w:rsidP="002D0116">
            <w:pPr>
              <w:jc w:val="both"/>
            </w:pPr>
            <w:r>
              <w:t>Agreed it was w</w:t>
            </w:r>
            <w:r w:rsidR="008F530D">
              <w:t>orth investing the time around how activity is legitimacy linked to business</w:t>
            </w:r>
            <w:r w:rsidR="00931B59">
              <w:t>/interests</w:t>
            </w:r>
            <w:r w:rsidR="008F530D">
              <w:t xml:space="preserve"> when considering marketing or contacting residents.</w:t>
            </w:r>
            <w:r w:rsidR="00931B59">
              <w:t xml:space="preserve">  Expressed consent can be verbalised if evidenced.  Having suitable clear rationale for eac</w:t>
            </w:r>
            <w:r>
              <w:t>h method of contact is key.</w:t>
            </w:r>
          </w:p>
          <w:p w:rsidR="008F530D" w:rsidRPr="00745BAC" w:rsidRDefault="008F530D" w:rsidP="002D0116">
            <w:pPr>
              <w:jc w:val="both"/>
            </w:pPr>
          </w:p>
        </w:tc>
        <w:tc>
          <w:tcPr>
            <w:tcW w:w="3431" w:type="dxa"/>
            <w:shd w:val="clear" w:color="auto" w:fill="auto"/>
          </w:tcPr>
          <w:p w:rsidR="00C86D65" w:rsidRPr="0027714F" w:rsidRDefault="008F530D" w:rsidP="002D0116">
            <w:pPr>
              <w:rPr>
                <w:b/>
              </w:rPr>
            </w:pPr>
            <w:r>
              <w:rPr>
                <w:b/>
              </w:rPr>
              <w:t>All to share any good practice examples</w:t>
            </w:r>
          </w:p>
        </w:tc>
        <w:tc>
          <w:tcPr>
            <w:tcW w:w="992" w:type="dxa"/>
            <w:shd w:val="clear" w:color="auto" w:fill="auto"/>
          </w:tcPr>
          <w:p w:rsidR="00C86D65" w:rsidRPr="0044468F" w:rsidRDefault="006A1123" w:rsidP="00D131A0">
            <w:pPr>
              <w:jc w:val="both"/>
              <w:rPr>
                <w:b/>
              </w:rPr>
            </w:pPr>
            <w:r>
              <w:rPr>
                <w:b/>
              </w:rPr>
              <w:t>ALL</w:t>
            </w:r>
          </w:p>
        </w:tc>
        <w:tc>
          <w:tcPr>
            <w:tcW w:w="1418" w:type="dxa"/>
            <w:gridSpan w:val="2"/>
            <w:shd w:val="clear" w:color="auto" w:fill="auto"/>
          </w:tcPr>
          <w:p w:rsidR="00C86D65" w:rsidRPr="0027714F" w:rsidRDefault="008F530D" w:rsidP="0027714F">
            <w:pPr>
              <w:rPr>
                <w:b/>
                <w:color w:val="FF0000"/>
              </w:rPr>
            </w:pPr>
            <w:r>
              <w:rPr>
                <w:b/>
                <w:color w:val="FF0000"/>
              </w:rPr>
              <w:t>As available</w:t>
            </w:r>
          </w:p>
        </w:tc>
      </w:tr>
      <w:tr w:rsidR="00C86D65" w:rsidRPr="00745BAC" w:rsidTr="00A7161B">
        <w:tc>
          <w:tcPr>
            <w:tcW w:w="2411" w:type="dxa"/>
            <w:shd w:val="clear" w:color="auto" w:fill="auto"/>
          </w:tcPr>
          <w:p w:rsidR="00C86D65" w:rsidRPr="00C86D65" w:rsidRDefault="00E95A57" w:rsidP="008719B0">
            <w:pPr>
              <w:rPr>
                <w:b/>
              </w:rPr>
            </w:pPr>
            <w:r>
              <w:rPr>
                <w:b/>
              </w:rPr>
              <w:t>KHG Update</w:t>
            </w:r>
          </w:p>
        </w:tc>
        <w:tc>
          <w:tcPr>
            <w:tcW w:w="7767" w:type="dxa"/>
            <w:shd w:val="clear" w:color="auto" w:fill="auto"/>
          </w:tcPr>
          <w:p w:rsidR="006A1123" w:rsidRDefault="00E95A57" w:rsidP="00A7161B">
            <w:pPr>
              <w:jc w:val="both"/>
            </w:pPr>
            <w:r>
              <w:t>RS advised that KHG are currently on the refresh of the Kent and Medway Housing Strategy.  This document has been agreed for refresh by Kent Leaders, work around themes and content continues and sub groups will be asked to engage accordingly.</w:t>
            </w:r>
            <w:r w:rsidR="006A1123">
              <w:t xml:space="preserve">  </w:t>
            </w:r>
            <w:r w:rsidR="006A1123">
              <w:lastRenderedPageBreak/>
              <w:t xml:space="preserve">There are themes that include Growth and delivery, affordability, Health and Wellbeing. </w:t>
            </w:r>
          </w:p>
          <w:p w:rsidR="006A1123" w:rsidRDefault="006A1123" w:rsidP="00A7161B">
            <w:pPr>
              <w:jc w:val="both"/>
            </w:pPr>
          </w:p>
          <w:p w:rsidR="00E95A57" w:rsidRDefault="00E95A57" w:rsidP="00A7161B">
            <w:pPr>
              <w:jc w:val="both"/>
            </w:pPr>
            <w:r>
              <w:t xml:space="preserve">Jill Pells has now retired, there is not a replacement Partnership Manager in post currently, this will be reviewed going forward based on </w:t>
            </w:r>
            <w:r w:rsidR="006A1123">
              <w:t>workload</w:t>
            </w:r>
            <w:r>
              <w:t xml:space="preserve"> for the group.</w:t>
            </w:r>
          </w:p>
          <w:p w:rsidR="00E95A57" w:rsidRDefault="00E95A57" w:rsidP="00A7161B">
            <w:pPr>
              <w:jc w:val="both"/>
            </w:pPr>
          </w:p>
          <w:p w:rsidR="00E95A57" w:rsidRDefault="00E95A57" w:rsidP="00A7161B">
            <w:pPr>
              <w:jc w:val="both"/>
            </w:pPr>
            <w:r>
              <w:t>KHG are working on the Website to ensure compliant for GDPR and then to look at more options for the members, including password protection, a message or block area and a place for membership organisations to have a the members spotlight and share good news.  There is also work around a Communications Plan for the group to keep the profile high.</w:t>
            </w:r>
          </w:p>
          <w:p w:rsidR="00E95A57" w:rsidRDefault="00E95A57" w:rsidP="00022E7A"/>
          <w:p w:rsidR="00E95A57" w:rsidRDefault="00E95A57" w:rsidP="00A7161B">
            <w:pPr>
              <w:jc w:val="both"/>
            </w:pPr>
            <w:r>
              <w:t xml:space="preserve">KHG and JPPB Excellence Awards 2018 nominations are open all details on the website and the deadline is </w:t>
            </w:r>
            <w:r w:rsidRPr="00E95A57">
              <w:rPr>
                <w:highlight w:val="yellow"/>
              </w:rPr>
              <w:t>22</w:t>
            </w:r>
            <w:r w:rsidRPr="00E95A57">
              <w:rPr>
                <w:highlight w:val="yellow"/>
                <w:vertAlign w:val="superscript"/>
              </w:rPr>
              <w:t>nd</w:t>
            </w:r>
            <w:r w:rsidRPr="00E95A57">
              <w:rPr>
                <w:highlight w:val="yellow"/>
              </w:rPr>
              <w:t xml:space="preserve"> June</w:t>
            </w:r>
            <w:r>
              <w:t>.  Colleagues encouraged to submit nominations to one or more of the 8 categories.</w:t>
            </w:r>
          </w:p>
          <w:p w:rsidR="006A1123" w:rsidRPr="00676FD2" w:rsidRDefault="006A1123" w:rsidP="00A7161B">
            <w:pPr>
              <w:jc w:val="both"/>
            </w:pPr>
          </w:p>
        </w:tc>
        <w:tc>
          <w:tcPr>
            <w:tcW w:w="3431" w:type="dxa"/>
            <w:shd w:val="clear" w:color="auto" w:fill="auto"/>
          </w:tcPr>
          <w:p w:rsidR="008725B1" w:rsidRDefault="008725B1"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E95A57" w:rsidP="00417809"/>
          <w:p w:rsidR="00E95A57" w:rsidRDefault="000E7D73" w:rsidP="006A1123">
            <w:hyperlink r:id="rId8" w:history="1">
              <w:r w:rsidR="006A1123" w:rsidRPr="002F3DF5">
                <w:rPr>
                  <w:rStyle w:val="Hyperlink"/>
                </w:rPr>
                <w:t>http://www.kenthousinggroup.org.uk/khg-awards/</w:t>
              </w:r>
            </w:hyperlink>
          </w:p>
          <w:p w:rsidR="006A1123" w:rsidRPr="008725B1" w:rsidRDefault="006A1123" w:rsidP="006A1123"/>
        </w:tc>
        <w:tc>
          <w:tcPr>
            <w:tcW w:w="992" w:type="dxa"/>
            <w:shd w:val="clear" w:color="auto" w:fill="auto"/>
          </w:tcPr>
          <w:p w:rsidR="00022E7A" w:rsidRDefault="00022E7A"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Default="006A1123" w:rsidP="00D131A0">
            <w:pPr>
              <w:jc w:val="both"/>
              <w:rPr>
                <w:b/>
              </w:rPr>
            </w:pPr>
          </w:p>
          <w:p w:rsidR="006A1123" w:rsidRPr="0044468F" w:rsidRDefault="006A1123" w:rsidP="00D131A0">
            <w:pPr>
              <w:jc w:val="both"/>
              <w:rPr>
                <w:b/>
              </w:rPr>
            </w:pPr>
            <w:r>
              <w:rPr>
                <w:b/>
              </w:rPr>
              <w:t>ALL</w:t>
            </w:r>
          </w:p>
        </w:tc>
        <w:tc>
          <w:tcPr>
            <w:tcW w:w="1418" w:type="dxa"/>
            <w:gridSpan w:val="2"/>
            <w:shd w:val="clear" w:color="auto" w:fill="auto"/>
          </w:tcPr>
          <w:p w:rsidR="00C86D65" w:rsidRDefault="00C86D65"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Default="006A1123" w:rsidP="009A1443">
            <w:pPr>
              <w:rPr>
                <w:b/>
                <w:color w:val="FF0000"/>
              </w:rPr>
            </w:pPr>
          </w:p>
          <w:p w:rsidR="006A1123" w:rsidRPr="0044468F" w:rsidRDefault="006A1123" w:rsidP="009A1443">
            <w:pPr>
              <w:rPr>
                <w:b/>
                <w:color w:val="FF0000"/>
              </w:rPr>
            </w:pPr>
            <w:r>
              <w:rPr>
                <w:b/>
                <w:color w:val="FF0000"/>
              </w:rPr>
              <w:t>By 22 June</w:t>
            </w:r>
          </w:p>
        </w:tc>
      </w:tr>
      <w:tr w:rsidR="00C86D65" w:rsidRPr="00745BAC" w:rsidTr="00A7161B">
        <w:tc>
          <w:tcPr>
            <w:tcW w:w="2411" w:type="dxa"/>
            <w:shd w:val="clear" w:color="auto" w:fill="auto"/>
          </w:tcPr>
          <w:p w:rsidR="00C86D65" w:rsidRPr="00C86D65" w:rsidRDefault="00E95A57" w:rsidP="008719B0">
            <w:pPr>
              <w:rPr>
                <w:b/>
              </w:rPr>
            </w:pPr>
            <w:r>
              <w:rPr>
                <w:b/>
              </w:rPr>
              <w:lastRenderedPageBreak/>
              <w:t>July &amp; Oct Meeting Agendas</w:t>
            </w:r>
          </w:p>
        </w:tc>
        <w:tc>
          <w:tcPr>
            <w:tcW w:w="7767" w:type="dxa"/>
            <w:shd w:val="clear" w:color="auto" w:fill="auto"/>
          </w:tcPr>
          <w:p w:rsidR="00022E7A" w:rsidRDefault="00331236" w:rsidP="00022E7A">
            <w:pPr>
              <w:jc w:val="both"/>
            </w:pPr>
            <w:r>
              <w:t>Housing Law Update and Kent Police are both on the agenda for July.</w:t>
            </w:r>
            <w:r w:rsidR="00931B59">
              <w:t xml:space="preserve">  </w:t>
            </w:r>
            <w:r w:rsidR="006A1123">
              <w:t xml:space="preserve">Potential to have SHG on the July agenda.  ME, GP and RS to meet to discuss October agenda.  </w:t>
            </w:r>
            <w:r w:rsidR="00931B59">
              <w:t xml:space="preserve"> </w:t>
            </w:r>
          </w:p>
          <w:p w:rsidR="00931B59" w:rsidRPr="00745BAC" w:rsidRDefault="00931B59" w:rsidP="00022E7A">
            <w:pPr>
              <w:jc w:val="both"/>
            </w:pPr>
          </w:p>
        </w:tc>
        <w:tc>
          <w:tcPr>
            <w:tcW w:w="3431" w:type="dxa"/>
            <w:shd w:val="clear" w:color="auto" w:fill="auto"/>
          </w:tcPr>
          <w:p w:rsidR="00C86D65" w:rsidRPr="00194850" w:rsidRDefault="006A1123" w:rsidP="00D131A0">
            <w:pPr>
              <w:jc w:val="both"/>
              <w:rPr>
                <w:b/>
              </w:rPr>
            </w:pPr>
            <w:r>
              <w:rPr>
                <w:b/>
              </w:rPr>
              <w:t>All colleagues to contact ME/RS with any agenda items for July/Oct</w:t>
            </w:r>
          </w:p>
        </w:tc>
        <w:tc>
          <w:tcPr>
            <w:tcW w:w="992" w:type="dxa"/>
            <w:shd w:val="clear" w:color="auto" w:fill="auto"/>
          </w:tcPr>
          <w:p w:rsidR="00C86D65" w:rsidRPr="0044468F" w:rsidRDefault="006A1123" w:rsidP="00D131A0">
            <w:pPr>
              <w:jc w:val="both"/>
              <w:rPr>
                <w:b/>
              </w:rPr>
            </w:pPr>
            <w:r>
              <w:rPr>
                <w:b/>
              </w:rPr>
              <w:t>ALL</w:t>
            </w:r>
          </w:p>
        </w:tc>
        <w:tc>
          <w:tcPr>
            <w:tcW w:w="1418" w:type="dxa"/>
            <w:gridSpan w:val="2"/>
            <w:shd w:val="clear" w:color="auto" w:fill="auto"/>
          </w:tcPr>
          <w:p w:rsidR="00C86D65" w:rsidRPr="0044468F" w:rsidRDefault="006A1123" w:rsidP="009A1443">
            <w:pPr>
              <w:rPr>
                <w:b/>
                <w:color w:val="FF0000"/>
              </w:rPr>
            </w:pPr>
            <w:r>
              <w:rPr>
                <w:b/>
                <w:color w:val="FF0000"/>
              </w:rPr>
              <w:t>ASAP</w:t>
            </w:r>
          </w:p>
        </w:tc>
      </w:tr>
      <w:tr w:rsidR="00C86D65" w:rsidRPr="00745BAC" w:rsidTr="00A7161B">
        <w:tc>
          <w:tcPr>
            <w:tcW w:w="2411" w:type="dxa"/>
            <w:shd w:val="clear" w:color="auto" w:fill="auto"/>
          </w:tcPr>
          <w:p w:rsidR="00C86D65" w:rsidRPr="00C86D65" w:rsidRDefault="00E95A57" w:rsidP="008719B0">
            <w:pPr>
              <w:rPr>
                <w:b/>
              </w:rPr>
            </w:pPr>
            <w:r>
              <w:rPr>
                <w:b/>
              </w:rPr>
              <w:t>AOB</w:t>
            </w:r>
          </w:p>
        </w:tc>
        <w:tc>
          <w:tcPr>
            <w:tcW w:w="7767" w:type="dxa"/>
            <w:shd w:val="clear" w:color="auto" w:fill="auto"/>
          </w:tcPr>
          <w:p w:rsidR="00C86D65" w:rsidRPr="0005688A" w:rsidRDefault="006A1123" w:rsidP="003E3946">
            <w:pPr>
              <w:jc w:val="both"/>
            </w:pPr>
            <w:r>
              <w:t xml:space="preserve">TM </w:t>
            </w:r>
            <w:r w:rsidR="00931B59">
              <w:t>attend EROSH yesterday, they would like updated contacted details from organisations who may want to attend future meetings</w:t>
            </w:r>
            <w:r>
              <w:t xml:space="preserve"> of this group</w:t>
            </w:r>
            <w:r w:rsidR="00931B59">
              <w:t xml:space="preserve"> (supported housing element).  </w:t>
            </w:r>
          </w:p>
        </w:tc>
        <w:tc>
          <w:tcPr>
            <w:tcW w:w="3431" w:type="dxa"/>
            <w:shd w:val="clear" w:color="auto" w:fill="auto"/>
          </w:tcPr>
          <w:p w:rsidR="00C86D65" w:rsidRPr="00745BAC" w:rsidRDefault="00931B59" w:rsidP="00D131A0">
            <w:pPr>
              <w:jc w:val="both"/>
            </w:pPr>
            <w:r>
              <w:t>Contact Tina (Moat for more information).</w:t>
            </w:r>
            <w:r w:rsidR="006A1123">
              <w:t xml:space="preserve"> </w:t>
            </w:r>
            <w:hyperlink r:id="rId9" w:history="1">
              <w:r w:rsidR="006A1123" w:rsidRPr="002F3DF5">
                <w:rPr>
                  <w:rStyle w:val="Hyperlink"/>
                </w:rPr>
                <w:t>Tina.mowat@moat.co.uk</w:t>
              </w:r>
            </w:hyperlink>
          </w:p>
        </w:tc>
        <w:tc>
          <w:tcPr>
            <w:tcW w:w="992" w:type="dxa"/>
            <w:shd w:val="clear" w:color="auto" w:fill="auto"/>
          </w:tcPr>
          <w:p w:rsidR="00C86D65" w:rsidRPr="0044468F" w:rsidRDefault="006A1123" w:rsidP="00D131A0">
            <w:pPr>
              <w:jc w:val="both"/>
              <w:rPr>
                <w:b/>
              </w:rPr>
            </w:pPr>
            <w:r>
              <w:rPr>
                <w:b/>
              </w:rPr>
              <w:t>ALL</w:t>
            </w:r>
          </w:p>
        </w:tc>
        <w:tc>
          <w:tcPr>
            <w:tcW w:w="1418" w:type="dxa"/>
            <w:gridSpan w:val="2"/>
            <w:shd w:val="clear" w:color="auto" w:fill="auto"/>
          </w:tcPr>
          <w:p w:rsidR="00C86D65" w:rsidRPr="0044468F" w:rsidRDefault="006A1123" w:rsidP="009A1443">
            <w:pPr>
              <w:rPr>
                <w:b/>
                <w:color w:val="FF0000"/>
              </w:rPr>
            </w:pPr>
            <w:r>
              <w:rPr>
                <w:b/>
                <w:color w:val="FF0000"/>
              </w:rPr>
              <w:t>As required</w:t>
            </w:r>
          </w:p>
        </w:tc>
      </w:tr>
    </w:tbl>
    <w:p w:rsidR="00194850" w:rsidRDefault="00194850"/>
    <w:p w:rsidR="00443F82" w:rsidRDefault="00E42640">
      <w:pPr>
        <w:rPr>
          <w:b/>
          <w:i/>
        </w:rPr>
      </w:pPr>
      <w:r>
        <w:t xml:space="preserve"> </w:t>
      </w:r>
      <w:r w:rsidRPr="00B86E64">
        <w:rPr>
          <w:b/>
          <w:i/>
        </w:rPr>
        <w:t>Thanks not</w:t>
      </w:r>
      <w:r w:rsidR="00DB38AF" w:rsidRPr="00B86E64">
        <w:rPr>
          <w:b/>
          <w:i/>
        </w:rPr>
        <w:t xml:space="preserve">ed to </w:t>
      </w:r>
      <w:r w:rsidR="00E95A57">
        <w:rPr>
          <w:b/>
          <w:i/>
        </w:rPr>
        <w:t>Ashford Borough Council</w:t>
      </w:r>
      <w:r w:rsidR="006F3586" w:rsidRPr="00B86E64">
        <w:rPr>
          <w:b/>
          <w:i/>
        </w:rPr>
        <w:t xml:space="preserve"> for hosting</w:t>
      </w:r>
    </w:p>
    <w:sectPr w:rsidR="00443F82" w:rsidSect="002D569F">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5C" w:rsidRDefault="00326A5C" w:rsidP="001D0582">
      <w:pPr>
        <w:spacing w:after="0" w:line="240" w:lineRule="auto"/>
      </w:pPr>
      <w:r>
        <w:separator/>
      </w:r>
    </w:p>
  </w:endnote>
  <w:endnote w:type="continuationSeparator" w:id="0">
    <w:p w:rsidR="00326A5C" w:rsidRDefault="00326A5C"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2D0116" w:rsidRDefault="002D0116">
        <w:pPr>
          <w:pStyle w:val="Footer"/>
          <w:jc w:val="right"/>
        </w:pPr>
        <w:r>
          <w:fldChar w:fldCharType="begin"/>
        </w:r>
        <w:r>
          <w:instrText xml:space="preserve"> PAGE   \* MERGEFORMAT </w:instrText>
        </w:r>
        <w:r>
          <w:fldChar w:fldCharType="separate"/>
        </w:r>
        <w:r w:rsidR="000E7D73">
          <w:rPr>
            <w:noProof/>
          </w:rPr>
          <w:t>3</w:t>
        </w:r>
        <w:r>
          <w:rPr>
            <w:noProof/>
          </w:rPr>
          <w:fldChar w:fldCharType="end"/>
        </w:r>
      </w:p>
    </w:sdtContent>
  </w:sdt>
  <w:p w:rsidR="002D0116" w:rsidRDefault="002D0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5C" w:rsidRDefault="00326A5C" w:rsidP="001D0582">
      <w:pPr>
        <w:spacing w:after="0" w:line="240" w:lineRule="auto"/>
      </w:pPr>
      <w:r>
        <w:separator/>
      </w:r>
    </w:p>
  </w:footnote>
  <w:footnote w:type="continuationSeparator" w:id="0">
    <w:p w:rsidR="00326A5C" w:rsidRDefault="00326A5C"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2D0116" w:rsidRDefault="000E7D7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16" w:rsidRDefault="002D0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918"/>
    <w:multiLevelType w:val="hybridMultilevel"/>
    <w:tmpl w:val="2D1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7280D"/>
    <w:multiLevelType w:val="hybridMultilevel"/>
    <w:tmpl w:val="6752530C"/>
    <w:lvl w:ilvl="0" w:tplc="7A5CB70C">
      <w:start w:val="1"/>
      <w:numFmt w:val="bullet"/>
      <w:lvlText w:val=""/>
      <w:lvlJc w:val="left"/>
      <w:pPr>
        <w:tabs>
          <w:tab w:val="num" w:pos="720"/>
        </w:tabs>
        <w:ind w:left="720" w:hanging="360"/>
      </w:pPr>
      <w:rPr>
        <w:rFonts w:ascii="Wingdings" w:hAnsi="Wingdings" w:hint="default"/>
      </w:rPr>
    </w:lvl>
    <w:lvl w:ilvl="1" w:tplc="B8B8FE94" w:tentative="1">
      <w:start w:val="1"/>
      <w:numFmt w:val="bullet"/>
      <w:lvlText w:val=""/>
      <w:lvlJc w:val="left"/>
      <w:pPr>
        <w:tabs>
          <w:tab w:val="num" w:pos="1440"/>
        </w:tabs>
        <w:ind w:left="1440" w:hanging="360"/>
      </w:pPr>
      <w:rPr>
        <w:rFonts w:ascii="Wingdings" w:hAnsi="Wingdings" w:hint="default"/>
      </w:rPr>
    </w:lvl>
    <w:lvl w:ilvl="2" w:tplc="2CD2D96C" w:tentative="1">
      <w:start w:val="1"/>
      <w:numFmt w:val="bullet"/>
      <w:lvlText w:val=""/>
      <w:lvlJc w:val="left"/>
      <w:pPr>
        <w:tabs>
          <w:tab w:val="num" w:pos="2160"/>
        </w:tabs>
        <w:ind w:left="2160" w:hanging="360"/>
      </w:pPr>
      <w:rPr>
        <w:rFonts w:ascii="Wingdings" w:hAnsi="Wingdings" w:hint="default"/>
      </w:rPr>
    </w:lvl>
    <w:lvl w:ilvl="3" w:tplc="8AA676E0" w:tentative="1">
      <w:start w:val="1"/>
      <w:numFmt w:val="bullet"/>
      <w:lvlText w:val=""/>
      <w:lvlJc w:val="left"/>
      <w:pPr>
        <w:tabs>
          <w:tab w:val="num" w:pos="2880"/>
        </w:tabs>
        <w:ind w:left="2880" w:hanging="360"/>
      </w:pPr>
      <w:rPr>
        <w:rFonts w:ascii="Wingdings" w:hAnsi="Wingdings" w:hint="default"/>
      </w:rPr>
    </w:lvl>
    <w:lvl w:ilvl="4" w:tplc="F9F4BA9E" w:tentative="1">
      <w:start w:val="1"/>
      <w:numFmt w:val="bullet"/>
      <w:lvlText w:val=""/>
      <w:lvlJc w:val="left"/>
      <w:pPr>
        <w:tabs>
          <w:tab w:val="num" w:pos="3600"/>
        </w:tabs>
        <w:ind w:left="3600" w:hanging="360"/>
      </w:pPr>
      <w:rPr>
        <w:rFonts w:ascii="Wingdings" w:hAnsi="Wingdings" w:hint="default"/>
      </w:rPr>
    </w:lvl>
    <w:lvl w:ilvl="5" w:tplc="D146F792" w:tentative="1">
      <w:start w:val="1"/>
      <w:numFmt w:val="bullet"/>
      <w:lvlText w:val=""/>
      <w:lvlJc w:val="left"/>
      <w:pPr>
        <w:tabs>
          <w:tab w:val="num" w:pos="4320"/>
        </w:tabs>
        <w:ind w:left="4320" w:hanging="360"/>
      </w:pPr>
      <w:rPr>
        <w:rFonts w:ascii="Wingdings" w:hAnsi="Wingdings" w:hint="default"/>
      </w:rPr>
    </w:lvl>
    <w:lvl w:ilvl="6" w:tplc="4FCA4924" w:tentative="1">
      <w:start w:val="1"/>
      <w:numFmt w:val="bullet"/>
      <w:lvlText w:val=""/>
      <w:lvlJc w:val="left"/>
      <w:pPr>
        <w:tabs>
          <w:tab w:val="num" w:pos="5040"/>
        </w:tabs>
        <w:ind w:left="5040" w:hanging="360"/>
      </w:pPr>
      <w:rPr>
        <w:rFonts w:ascii="Wingdings" w:hAnsi="Wingdings" w:hint="default"/>
      </w:rPr>
    </w:lvl>
    <w:lvl w:ilvl="7" w:tplc="5FEAF6D6" w:tentative="1">
      <w:start w:val="1"/>
      <w:numFmt w:val="bullet"/>
      <w:lvlText w:val=""/>
      <w:lvlJc w:val="left"/>
      <w:pPr>
        <w:tabs>
          <w:tab w:val="num" w:pos="5760"/>
        </w:tabs>
        <w:ind w:left="5760" w:hanging="360"/>
      </w:pPr>
      <w:rPr>
        <w:rFonts w:ascii="Wingdings" w:hAnsi="Wingdings" w:hint="default"/>
      </w:rPr>
    </w:lvl>
    <w:lvl w:ilvl="8" w:tplc="F74CD7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84627"/>
    <w:multiLevelType w:val="hybridMultilevel"/>
    <w:tmpl w:val="2B70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01178"/>
    <w:multiLevelType w:val="hybridMultilevel"/>
    <w:tmpl w:val="85D6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25803"/>
    <w:multiLevelType w:val="hybridMultilevel"/>
    <w:tmpl w:val="84AC2892"/>
    <w:lvl w:ilvl="0" w:tplc="ED0C7B92">
      <w:start w:val="1"/>
      <w:numFmt w:val="bullet"/>
      <w:lvlText w:val="•"/>
      <w:lvlJc w:val="left"/>
      <w:pPr>
        <w:tabs>
          <w:tab w:val="num" w:pos="720"/>
        </w:tabs>
        <w:ind w:left="720" w:hanging="360"/>
      </w:pPr>
      <w:rPr>
        <w:rFonts w:ascii="Arial" w:hAnsi="Arial" w:hint="default"/>
      </w:rPr>
    </w:lvl>
    <w:lvl w:ilvl="1" w:tplc="05783236" w:tentative="1">
      <w:start w:val="1"/>
      <w:numFmt w:val="bullet"/>
      <w:lvlText w:val="•"/>
      <w:lvlJc w:val="left"/>
      <w:pPr>
        <w:tabs>
          <w:tab w:val="num" w:pos="1440"/>
        </w:tabs>
        <w:ind w:left="1440" w:hanging="360"/>
      </w:pPr>
      <w:rPr>
        <w:rFonts w:ascii="Arial" w:hAnsi="Arial" w:hint="default"/>
      </w:rPr>
    </w:lvl>
    <w:lvl w:ilvl="2" w:tplc="CE16BB2A" w:tentative="1">
      <w:start w:val="1"/>
      <w:numFmt w:val="bullet"/>
      <w:lvlText w:val="•"/>
      <w:lvlJc w:val="left"/>
      <w:pPr>
        <w:tabs>
          <w:tab w:val="num" w:pos="2160"/>
        </w:tabs>
        <w:ind w:left="2160" w:hanging="360"/>
      </w:pPr>
      <w:rPr>
        <w:rFonts w:ascii="Arial" w:hAnsi="Arial" w:hint="default"/>
      </w:rPr>
    </w:lvl>
    <w:lvl w:ilvl="3" w:tplc="B13E31DC" w:tentative="1">
      <w:start w:val="1"/>
      <w:numFmt w:val="bullet"/>
      <w:lvlText w:val="•"/>
      <w:lvlJc w:val="left"/>
      <w:pPr>
        <w:tabs>
          <w:tab w:val="num" w:pos="2880"/>
        </w:tabs>
        <w:ind w:left="2880" w:hanging="360"/>
      </w:pPr>
      <w:rPr>
        <w:rFonts w:ascii="Arial" w:hAnsi="Arial" w:hint="default"/>
      </w:rPr>
    </w:lvl>
    <w:lvl w:ilvl="4" w:tplc="4ECAF4A8" w:tentative="1">
      <w:start w:val="1"/>
      <w:numFmt w:val="bullet"/>
      <w:lvlText w:val="•"/>
      <w:lvlJc w:val="left"/>
      <w:pPr>
        <w:tabs>
          <w:tab w:val="num" w:pos="3600"/>
        </w:tabs>
        <w:ind w:left="3600" w:hanging="360"/>
      </w:pPr>
      <w:rPr>
        <w:rFonts w:ascii="Arial" w:hAnsi="Arial" w:hint="default"/>
      </w:rPr>
    </w:lvl>
    <w:lvl w:ilvl="5" w:tplc="7FF0C09E" w:tentative="1">
      <w:start w:val="1"/>
      <w:numFmt w:val="bullet"/>
      <w:lvlText w:val="•"/>
      <w:lvlJc w:val="left"/>
      <w:pPr>
        <w:tabs>
          <w:tab w:val="num" w:pos="4320"/>
        </w:tabs>
        <w:ind w:left="4320" w:hanging="360"/>
      </w:pPr>
      <w:rPr>
        <w:rFonts w:ascii="Arial" w:hAnsi="Arial" w:hint="default"/>
      </w:rPr>
    </w:lvl>
    <w:lvl w:ilvl="6" w:tplc="21C4D83E" w:tentative="1">
      <w:start w:val="1"/>
      <w:numFmt w:val="bullet"/>
      <w:lvlText w:val="•"/>
      <w:lvlJc w:val="left"/>
      <w:pPr>
        <w:tabs>
          <w:tab w:val="num" w:pos="5040"/>
        </w:tabs>
        <w:ind w:left="5040" w:hanging="360"/>
      </w:pPr>
      <w:rPr>
        <w:rFonts w:ascii="Arial" w:hAnsi="Arial" w:hint="default"/>
      </w:rPr>
    </w:lvl>
    <w:lvl w:ilvl="7" w:tplc="758860D8" w:tentative="1">
      <w:start w:val="1"/>
      <w:numFmt w:val="bullet"/>
      <w:lvlText w:val="•"/>
      <w:lvlJc w:val="left"/>
      <w:pPr>
        <w:tabs>
          <w:tab w:val="num" w:pos="5760"/>
        </w:tabs>
        <w:ind w:left="5760" w:hanging="360"/>
      </w:pPr>
      <w:rPr>
        <w:rFonts w:ascii="Arial" w:hAnsi="Arial" w:hint="default"/>
      </w:rPr>
    </w:lvl>
    <w:lvl w:ilvl="8" w:tplc="A63CF5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3"/>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2E7A"/>
    <w:rsid w:val="0002794B"/>
    <w:rsid w:val="00030B86"/>
    <w:rsid w:val="0005688A"/>
    <w:rsid w:val="00061235"/>
    <w:rsid w:val="000718CE"/>
    <w:rsid w:val="00074BA3"/>
    <w:rsid w:val="00077CCB"/>
    <w:rsid w:val="00085AA4"/>
    <w:rsid w:val="000871E7"/>
    <w:rsid w:val="00094B7F"/>
    <w:rsid w:val="00094D7E"/>
    <w:rsid w:val="00095958"/>
    <w:rsid w:val="000A139A"/>
    <w:rsid w:val="000B2686"/>
    <w:rsid w:val="000B4C89"/>
    <w:rsid w:val="000D2680"/>
    <w:rsid w:val="000E09FF"/>
    <w:rsid w:val="000E1AF4"/>
    <w:rsid w:val="000E46F3"/>
    <w:rsid w:val="000E5093"/>
    <w:rsid w:val="000E6197"/>
    <w:rsid w:val="000E7D73"/>
    <w:rsid w:val="00111B2B"/>
    <w:rsid w:val="00115336"/>
    <w:rsid w:val="001262F3"/>
    <w:rsid w:val="00127DAF"/>
    <w:rsid w:val="00127ED4"/>
    <w:rsid w:val="00130B92"/>
    <w:rsid w:val="001439DD"/>
    <w:rsid w:val="001475A9"/>
    <w:rsid w:val="00150D2E"/>
    <w:rsid w:val="00156EA5"/>
    <w:rsid w:val="00167755"/>
    <w:rsid w:val="00176C25"/>
    <w:rsid w:val="00182CF3"/>
    <w:rsid w:val="00194850"/>
    <w:rsid w:val="001965ED"/>
    <w:rsid w:val="001A1975"/>
    <w:rsid w:val="001C3A06"/>
    <w:rsid w:val="001C7AAC"/>
    <w:rsid w:val="001D0582"/>
    <w:rsid w:val="001D1337"/>
    <w:rsid w:val="001D54FF"/>
    <w:rsid w:val="001E3BD2"/>
    <w:rsid w:val="001F0061"/>
    <w:rsid w:val="00200B68"/>
    <w:rsid w:val="002147E0"/>
    <w:rsid w:val="002171B0"/>
    <w:rsid w:val="00222A5F"/>
    <w:rsid w:val="00236F44"/>
    <w:rsid w:val="00240ACA"/>
    <w:rsid w:val="00243F4C"/>
    <w:rsid w:val="002479D5"/>
    <w:rsid w:val="0026205B"/>
    <w:rsid w:val="00262705"/>
    <w:rsid w:val="00267BEB"/>
    <w:rsid w:val="00267C42"/>
    <w:rsid w:val="002718DD"/>
    <w:rsid w:val="00271F22"/>
    <w:rsid w:val="00274D25"/>
    <w:rsid w:val="0027714F"/>
    <w:rsid w:val="00283FBE"/>
    <w:rsid w:val="00293C7B"/>
    <w:rsid w:val="00297E1C"/>
    <w:rsid w:val="002A6E7D"/>
    <w:rsid w:val="002B184E"/>
    <w:rsid w:val="002B7C40"/>
    <w:rsid w:val="002C4971"/>
    <w:rsid w:val="002C521E"/>
    <w:rsid w:val="002D0116"/>
    <w:rsid w:val="002D569F"/>
    <w:rsid w:val="002E1DBC"/>
    <w:rsid w:val="002E2A04"/>
    <w:rsid w:val="002F5ABE"/>
    <w:rsid w:val="003016B3"/>
    <w:rsid w:val="00305A58"/>
    <w:rsid w:val="0030692E"/>
    <w:rsid w:val="00315A95"/>
    <w:rsid w:val="00326A5C"/>
    <w:rsid w:val="00331236"/>
    <w:rsid w:val="0033294D"/>
    <w:rsid w:val="003352B8"/>
    <w:rsid w:val="00341299"/>
    <w:rsid w:val="00341EA6"/>
    <w:rsid w:val="00365150"/>
    <w:rsid w:val="00366D02"/>
    <w:rsid w:val="00371ECA"/>
    <w:rsid w:val="0037203C"/>
    <w:rsid w:val="00375457"/>
    <w:rsid w:val="003763CD"/>
    <w:rsid w:val="003771C3"/>
    <w:rsid w:val="003805C2"/>
    <w:rsid w:val="0038370A"/>
    <w:rsid w:val="003839CF"/>
    <w:rsid w:val="003900EE"/>
    <w:rsid w:val="00391561"/>
    <w:rsid w:val="0039728D"/>
    <w:rsid w:val="003A12E5"/>
    <w:rsid w:val="003C7C89"/>
    <w:rsid w:val="003E1FB0"/>
    <w:rsid w:val="003E3946"/>
    <w:rsid w:val="003E6D4B"/>
    <w:rsid w:val="003F19AE"/>
    <w:rsid w:val="003F5CB0"/>
    <w:rsid w:val="00414345"/>
    <w:rsid w:val="00417809"/>
    <w:rsid w:val="00420965"/>
    <w:rsid w:val="004241B5"/>
    <w:rsid w:val="00426472"/>
    <w:rsid w:val="00432746"/>
    <w:rsid w:val="004409D4"/>
    <w:rsid w:val="0044178D"/>
    <w:rsid w:val="00443F82"/>
    <w:rsid w:val="0044468F"/>
    <w:rsid w:val="00451853"/>
    <w:rsid w:val="00454E00"/>
    <w:rsid w:val="00486834"/>
    <w:rsid w:val="004951B9"/>
    <w:rsid w:val="00495785"/>
    <w:rsid w:val="004A500E"/>
    <w:rsid w:val="004B36B2"/>
    <w:rsid w:val="004B501A"/>
    <w:rsid w:val="004C57A0"/>
    <w:rsid w:val="004D1D2D"/>
    <w:rsid w:val="004D2EC3"/>
    <w:rsid w:val="004F3A69"/>
    <w:rsid w:val="00540DE2"/>
    <w:rsid w:val="00557253"/>
    <w:rsid w:val="0057197C"/>
    <w:rsid w:val="005755F2"/>
    <w:rsid w:val="00583C1A"/>
    <w:rsid w:val="00596291"/>
    <w:rsid w:val="005A7FF7"/>
    <w:rsid w:val="005B4E78"/>
    <w:rsid w:val="005C2EBA"/>
    <w:rsid w:val="005C39F5"/>
    <w:rsid w:val="005D1AB8"/>
    <w:rsid w:val="005D20EB"/>
    <w:rsid w:val="005D279F"/>
    <w:rsid w:val="005D31FF"/>
    <w:rsid w:val="005D68EF"/>
    <w:rsid w:val="00620AC9"/>
    <w:rsid w:val="00637CB2"/>
    <w:rsid w:val="00640FCB"/>
    <w:rsid w:val="00647CA0"/>
    <w:rsid w:val="00663A8B"/>
    <w:rsid w:val="00676FD2"/>
    <w:rsid w:val="00681AFC"/>
    <w:rsid w:val="006835C0"/>
    <w:rsid w:val="00685510"/>
    <w:rsid w:val="006969C5"/>
    <w:rsid w:val="0069739D"/>
    <w:rsid w:val="006A0F46"/>
    <w:rsid w:val="006A1123"/>
    <w:rsid w:val="006A44D8"/>
    <w:rsid w:val="006B0BF9"/>
    <w:rsid w:val="006B4E6F"/>
    <w:rsid w:val="006C2977"/>
    <w:rsid w:val="006C353E"/>
    <w:rsid w:val="006C76F0"/>
    <w:rsid w:val="006D52CE"/>
    <w:rsid w:val="006E5120"/>
    <w:rsid w:val="006F3586"/>
    <w:rsid w:val="006F73A7"/>
    <w:rsid w:val="006F7820"/>
    <w:rsid w:val="00702D6B"/>
    <w:rsid w:val="00707E57"/>
    <w:rsid w:val="0071574E"/>
    <w:rsid w:val="007253F4"/>
    <w:rsid w:val="00730D8F"/>
    <w:rsid w:val="00735129"/>
    <w:rsid w:val="00745BAC"/>
    <w:rsid w:val="007547C5"/>
    <w:rsid w:val="0075537B"/>
    <w:rsid w:val="0076489E"/>
    <w:rsid w:val="007652BA"/>
    <w:rsid w:val="00790C1F"/>
    <w:rsid w:val="00791545"/>
    <w:rsid w:val="0079363C"/>
    <w:rsid w:val="007A5862"/>
    <w:rsid w:val="007C78F2"/>
    <w:rsid w:val="007D358C"/>
    <w:rsid w:val="007D3984"/>
    <w:rsid w:val="007F0729"/>
    <w:rsid w:val="00805F77"/>
    <w:rsid w:val="00813C87"/>
    <w:rsid w:val="0082091E"/>
    <w:rsid w:val="008319F8"/>
    <w:rsid w:val="0083657E"/>
    <w:rsid w:val="00843F80"/>
    <w:rsid w:val="008465AE"/>
    <w:rsid w:val="00851586"/>
    <w:rsid w:val="00863010"/>
    <w:rsid w:val="008634D4"/>
    <w:rsid w:val="00864C89"/>
    <w:rsid w:val="008719B0"/>
    <w:rsid w:val="008725B1"/>
    <w:rsid w:val="0087426F"/>
    <w:rsid w:val="00882841"/>
    <w:rsid w:val="0088348D"/>
    <w:rsid w:val="008B1CA5"/>
    <w:rsid w:val="008B438C"/>
    <w:rsid w:val="008D7F6E"/>
    <w:rsid w:val="008E7E63"/>
    <w:rsid w:val="008F2C58"/>
    <w:rsid w:val="008F530D"/>
    <w:rsid w:val="008F693D"/>
    <w:rsid w:val="008F7807"/>
    <w:rsid w:val="00905451"/>
    <w:rsid w:val="009060F9"/>
    <w:rsid w:val="00911690"/>
    <w:rsid w:val="00926174"/>
    <w:rsid w:val="00931B59"/>
    <w:rsid w:val="00932B5D"/>
    <w:rsid w:val="00933209"/>
    <w:rsid w:val="00937777"/>
    <w:rsid w:val="00940033"/>
    <w:rsid w:val="00951585"/>
    <w:rsid w:val="00976329"/>
    <w:rsid w:val="009830C0"/>
    <w:rsid w:val="0098492A"/>
    <w:rsid w:val="00985443"/>
    <w:rsid w:val="00996D1A"/>
    <w:rsid w:val="009A1443"/>
    <w:rsid w:val="009A59AF"/>
    <w:rsid w:val="009A7BEE"/>
    <w:rsid w:val="009B30E4"/>
    <w:rsid w:val="009B671E"/>
    <w:rsid w:val="009C0E21"/>
    <w:rsid w:val="009C155C"/>
    <w:rsid w:val="009D06FB"/>
    <w:rsid w:val="009E3045"/>
    <w:rsid w:val="009E4490"/>
    <w:rsid w:val="009E732B"/>
    <w:rsid w:val="009F6A91"/>
    <w:rsid w:val="00A0161B"/>
    <w:rsid w:val="00A0569E"/>
    <w:rsid w:val="00A20A77"/>
    <w:rsid w:val="00A23580"/>
    <w:rsid w:val="00A2502B"/>
    <w:rsid w:val="00A41B69"/>
    <w:rsid w:val="00A61C7E"/>
    <w:rsid w:val="00A7161B"/>
    <w:rsid w:val="00A74FDB"/>
    <w:rsid w:val="00A91826"/>
    <w:rsid w:val="00A93502"/>
    <w:rsid w:val="00AA098E"/>
    <w:rsid w:val="00AA336E"/>
    <w:rsid w:val="00AA7D59"/>
    <w:rsid w:val="00AB0CAA"/>
    <w:rsid w:val="00AB45E0"/>
    <w:rsid w:val="00AC1941"/>
    <w:rsid w:val="00AC4B44"/>
    <w:rsid w:val="00AC5535"/>
    <w:rsid w:val="00AD242F"/>
    <w:rsid w:val="00AD377B"/>
    <w:rsid w:val="00AD4D11"/>
    <w:rsid w:val="00AF0BF5"/>
    <w:rsid w:val="00AF7A24"/>
    <w:rsid w:val="00B1036F"/>
    <w:rsid w:val="00B14B4D"/>
    <w:rsid w:val="00B21C00"/>
    <w:rsid w:val="00B469BF"/>
    <w:rsid w:val="00B53735"/>
    <w:rsid w:val="00B550C2"/>
    <w:rsid w:val="00B60719"/>
    <w:rsid w:val="00B613D2"/>
    <w:rsid w:val="00B666CB"/>
    <w:rsid w:val="00B71004"/>
    <w:rsid w:val="00B77576"/>
    <w:rsid w:val="00B8529C"/>
    <w:rsid w:val="00B86E64"/>
    <w:rsid w:val="00B9511D"/>
    <w:rsid w:val="00BA27D3"/>
    <w:rsid w:val="00BA4C5F"/>
    <w:rsid w:val="00BA7C27"/>
    <w:rsid w:val="00BB1307"/>
    <w:rsid w:val="00BB2A96"/>
    <w:rsid w:val="00BB2AAD"/>
    <w:rsid w:val="00BC2B6E"/>
    <w:rsid w:val="00BC7803"/>
    <w:rsid w:val="00BE5D7D"/>
    <w:rsid w:val="00BF07DA"/>
    <w:rsid w:val="00BF31E9"/>
    <w:rsid w:val="00BF76C5"/>
    <w:rsid w:val="00C127AE"/>
    <w:rsid w:val="00C14626"/>
    <w:rsid w:val="00C14A6C"/>
    <w:rsid w:val="00C263CF"/>
    <w:rsid w:val="00C3309B"/>
    <w:rsid w:val="00C61842"/>
    <w:rsid w:val="00C70D27"/>
    <w:rsid w:val="00C836EB"/>
    <w:rsid w:val="00C83FFB"/>
    <w:rsid w:val="00C86D65"/>
    <w:rsid w:val="00CA27E0"/>
    <w:rsid w:val="00CB2B0F"/>
    <w:rsid w:val="00CB371F"/>
    <w:rsid w:val="00CC28C9"/>
    <w:rsid w:val="00CC5D2C"/>
    <w:rsid w:val="00CD3142"/>
    <w:rsid w:val="00CE0030"/>
    <w:rsid w:val="00CF109C"/>
    <w:rsid w:val="00D131A0"/>
    <w:rsid w:val="00D23A52"/>
    <w:rsid w:val="00D3313F"/>
    <w:rsid w:val="00D37C09"/>
    <w:rsid w:val="00D55D11"/>
    <w:rsid w:val="00D55EE3"/>
    <w:rsid w:val="00D6704C"/>
    <w:rsid w:val="00D75B11"/>
    <w:rsid w:val="00D8088B"/>
    <w:rsid w:val="00D92BA3"/>
    <w:rsid w:val="00D942B4"/>
    <w:rsid w:val="00DA472E"/>
    <w:rsid w:val="00DB38AF"/>
    <w:rsid w:val="00DB7928"/>
    <w:rsid w:val="00DC3C82"/>
    <w:rsid w:val="00DC3FBE"/>
    <w:rsid w:val="00DC4624"/>
    <w:rsid w:val="00DC5AC6"/>
    <w:rsid w:val="00DD4461"/>
    <w:rsid w:val="00DF2FAC"/>
    <w:rsid w:val="00DF3302"/>
    <w:rsid w:val="00DF3888"/>
    <w:rsid w:val="00DF74F2"/>
    <w:rsid w:val="00E01461"/>
    <w:rsid w:val="00E12356"/>
    <w:rsid w:val="00E128D7"/>
    <w:rsid w:val="00E42640"/>
    <w:rsid w:val="00E4409D"/>
    <w:rsid w:val="00E45720"/>
    <w:rsid w:val="00E546E6"/>
    <w:rsid w:val="00E547C9"/>
    <w:rsid w:val="00E65DCC"/>
    <w:rsid w:val="00E71FF5"/>
    <w:rsid w:val="00E723BB"/>
    <w:rsid w:val="00E763C8"/>
    <w:rsid w:val="00E80552"/>
    <w:rsid w:val="00E805A7"/>
    <w:rsid w:val="00E812C0"/>
    <w:rsid w:val="00E87D2F"/>
    <w:rsid w:val="00E9001C"/>
    <w:rsid w:val="00E945E0"/>
    <w:rsid w:val="00E95A57"/>
    <w:rsid w:val="00E97198"/>
    <w:rsid w:val="00E97F02"/>
    <w:rsid w:val="00EB1CF0"/>
    <w:rsid w:val="00EC630B"/>
    <w:rsid w:val="00EC76B3"/>
    <w:rsid w:val="00ED7102"/>
    <w:rsid w:val="00EE0E30"/>
    <w:rsid w:val="00EE13BA"/>
    <w:rsid w:val="00EE5454"/>
    <w:rsid w:val="00F02F1B"/>
    <w:rsid w:val="00F4695A"/>
    <w:rsid w:val="00F47DC4"/>
    <w:rsid w:val="00F513B0"/>
    <w:rsid w:val="00F57B47"/>
    <w:rsid w:val="00F6297A"/>
    <w:rsid w:val="00F71CB7"/>
    <w:rsid w:val="00F85B9E"/>
    <w:rsid w:val="00FB113B"/>
    <w:rsid w:val="00FB39EE"/>
    <w:rsid w:val="00FB47D9"/>
    <w:rsid w:val="00FC77C1"/>
    <w:rsid w:val="00FD0151"/>
    <w:rsid w:val="00FD5B84"/>
    <w:rsid w:val="00FD7444"/>
    <w:rsid w:val="00FE0566"/>
    <w:rsid w:val="00FE4392"/>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9D5A2A"/>
  <w15:docId w15:val="{B1BDE6F8-577B-4AEE-8D36-8108EC4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11136">
      <w:bodyDiv w:val="1"/>
      <w:marLeft w:val="0"/>
      <w:marRight w:val="0"/>
      <w:marTop w:val="0"/>
      <w:marBottom w:val="0"/>
      <w:divBdr>
        <w:top w:val="none" w:sz="0" w:space="0" w:color="auto"/>
        <w:left w:val="none" w:sz="0" w:space="0" w:color="auto"/>
        <w:bottom w:val="none" w:sz="0" w:space="0" w:color="auto"/>
        <w:right w:val="none" w:sz="0" w:space="0" w:color="auto"/>
      </w:divBdr>
    </w:div>
    <w:div w:id="1264806048">
      <w:bodyDiv w:val="1"/>
      <w:marLeft w:val="0"/>
      <w:marRight w:val="0"/>
      <w:marTop w:val="0"/>
      <w:marBottom w:val="0"/>
      <w:divBdr>
        <w:top w:val="none" w:sz="0" w:space="0" w:color="auto"/>
        <w:left w:val="none" w:sz="0" w:space="0" w:color="auto"/>
        <w:bottom w:val="none" w:sz="0" w:space="0" w:color="auto"/>
        <w:right w:val="none" w:sz="0" w:space="0" w:color="auto"/>
      </w:divBdr>
      <w:divsChild>
        <w:div w:id="595869822">
          <w:marLeft w:val="547"/>
          <w:marRight w:val="0"/>
          <w:marTop w:val="96"/>
          <w:marBottom w:val="0"/>
          <w:divBdr>
            <w:top w:val="none" w:sz="0" w:space="0" w:color="auto"/>
            <w:left w:val="none" w:sz="0" w:space="0" w:color="auto"/>
            <w:bottom w:val="none" w:sz="0" w:space="0" w:color="auto"/>
            <w:right w:val="none" w:sz="0" w:space="0" w:color="auto"/>
          </w:divBdr>
        </w:div>
      </w:divsChild>
    </w:div>
    <w:div w:id="2030637949">
      <w:bodyDiv w:val="1"/>
      <w:marLeft w:val="0"/>
      <w:marRight w:val="0"/>
      <w:marTop w:val="0"/>
      <w:marBottom w:val="0"/>
      <w:divBdr>
        <w:top w:val="none" w:sz="0" w:space="0" w:color="auto"/>
        <w:left w:val="none" w:sz="0" w:space="0" w:color="auto"/>
        <w:bottom w:val="none" w:sz="0" w:space="0" w:color="auto"/>
        <w:right w:val="none" w:sz="0" w:space="0" w:color="auto"/>
      </w:divBdr>
      <w:divsChild>
        <w:div w:id="227569924">
          <w:marLeft w:val="547"/>
          <w:marRight w:val="0"/>
          <w:marTop w:val="120"/>
          <w:marBottom w:val="0"/>
          <w:divBdr>
            <w:top w:val="none" w:sz="0" w:space="0" w:color="auto"/>
            <w:left w:val="none" w:sz="0" w:space="0" w:color="auto"/>
            <w:bottom w:val="none" w:sz="0" w:space="0" w:color="auto"/>
            <w:right w:val="none" w:sz="0" w:space="0" w:color="auto"/>
          </w:divBdr>
        </w:div>
        <w:div w:id="1555779180">
          <w:marLeft w:val="547"/>
          <w:marRight w:val="0"/>
          <w:marTop w:val="120"/>
          <w:marBottom w:val="0"/>
          <w:divBdr>
            <w:top w:val="none" w:sz="0" w:space="0" w:color="auto"/>
            <w:left w:val="none" w:sz="0" w:space="0" w:color="auto"/>
            <w:bottom w:val="none" w:sz="0" w:space="0" w:color="auto"/>
            <w:right w:val="none" w:sz="0" w:space="0" w:color="auto"/>
          </w:divBdr>
        </w:div>
        <w:div w:id="1660576817">
          <w:marLeft w:val="547"/>
          <w:marRight w:val="0"/>
          <w:marTop w:val="120"/>
          <w:marBottom w:val="0"/>
          <w:divBdr>
            <w:top w:val="none" w:sz="0" w:space="0" w:color="auto"/>
            <w:left w:val="none" w:sz="0" w:space="0" w:color="auto"/>
            <w:bottom w:val="none" w:sz="0" w:space="0" w:color="auto"/>
            <w:right w:val="none" w:sz="0" w:space="0" w:color="auto"/>
          </w:divBdr>
        </w:div>
        <w:div w:id="1788158424">
          <w:marLeft w:val="547"/>
          <w:marRight w:val="0"/>
          <w:marTop w:val="120"/>
          <w:marBottom w:val="0"/>
          <w:divBdr>
            <w:top w:val="none" w:sz="0" w:space="0" w:color="auto"/>
            <w:left w:val="none" w:sz="0" w:space="0" w:color="auto"/>
            <w:bottom w:val="none" w:sz="0" w:space="0" w:color="auto"/>
            <w:right w:val="none" w:sz="0" w:space="0" w:color="auto"/>
          </w:divBdr>
        </w:div>
        <w:div w:id="174097921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khg-award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a.mowat@moa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468A-1843-41A7-8E75-4B0F6A45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8E689E8B.dotm</Template>
  <TotalTime>13</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5</cp:revision>
  <dcterms:created xsi:type="dcterms:W3CDTF">2018-05-15T13:20:00Z</dcterms:created>
  <dcterms:modified xsi:type="dcterms:W3CDTF">2018-05-15T13:37:00Z</dcterms:modified>
</cp:coreProperties>
</file>