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69"/>
        <w:gridCol w:w="1697"/>
        <w:gridCol w:w="2535"/>
        <w:gridCol w:w="1564"/>
        <w:gridCol w:w="4105"/>
      </w:tblGrid>
      <w:tr w:rsidR="00AB6C43" w:rsidRPr="009D3450" w:rsidTr="00CA0B21">
        <w:tc>
          <w:tcPr>
            <w:tcW w:w="4269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169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53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4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410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CA0B21">
        <w:tc>
          <w:tcPr>
            <w:tcW w:w="4269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535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4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410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CA0B21">
        <w:tc>
          <w:tcPr>
            <w:tcW w:w="4269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1697" w:type="dxa"/>
          </w:tcPr>
          <w:p w:rsidR="009D3450" w:rsidRPr="009D3450" w:rsidRDefault="009D3450" w:rsidP="00FB200F">
            <w:r>
              <w:t>SR/JE</w:t>
            </w:r>
            <w:r w:rsidR="008224A7">
              <w:t>/RS</w:t>
            </w:r>
          </w:p>
        </w:tc>
        <w:tc>
          <w:tcPr>
            <w:tcW w:w="2535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4" w:type="dxa"/>
          </w:tcPr>
          <w:p w:rsidR="009D3450" w:rsidRDefault="00CA0B21" w:rsidP="00FB200F">
            <w:r>
              <w:t>Dec 2018</w:t>
            </w:r>
          </w:p>
          <w:p w:rsidR="00AB6C43" w:rsidRDefault="00AB6C43" w:rsidP="00FB200F"/>
          <w:p w:rsidR="0075160C" w:rsidRDefault="00CA0B21" w:rsidP="00FB200F">
            <w:r>
              <w:t>Appointment by July/ August</w:t>
            </w:r>
          </w:p>
          <w:p w:rsidR="0075160C" w:rsidRDefault="0075160C" w:rsidP="00FB200F"/>
          <w:p w:rsidR="008224A7" w:rsidRPr="009D3450" w:rsidRDefault="00CA0B21" w:rsidP="00FB200F">
            <w:r>
              <w:t>On going</w:t>
            </w:r>
          </w:p>
        </w:tc>
        <w:tc>
          <w:tcPr>
            <w:tcW w:w="4105" w:type="dxa"/>
          </w:tcPr>
          <w:p w:rsidR="0075160C" w:rsidRDefault="0075160C" w:rsidP="00FB200F"/>
          <w:p w:rsidR="0075160C" w:rsidRDefault="00CA0B21" w:rsidP="00FB200F">
            <w:r>
              <w:t>RS in dialogue with consultants re support for workshops and final draft.</w:t>
            </w:r>
          </w:p>
          <w:p w:rsidR="00CA0B21" w:rsidRDefault="00CA0B21" w:rsidP="00FB200F"/>
          <w:p w:rsidR="00CA0B21" w:rsidRDefault="00CA0B21" w:rsidP="00FB200F"/>
          <w:p w:rsidR="00CA0B21" w:rsidRDefault="00CA0B21" w:rsidP="00FB200F">
            <w:r>
              <w:t>Evidence base in working draft format, updating as required</w:t>
            </w:r>
          </w:p>
          <w:p w:rsidR="00AB6C43" w:rsidRPr="009D3450" w:rsidRDefault="00AB6C43" w:rsidP="00CA0B21"/>
        </w:tc>
      </w:tr>
      <w:tr w:rsidR="008224A7" w:rsidRPr="009D3450" w:rsidTr="00CA0B21">
        <w:tc>
          <w:tcPr>
            <w:tcW w:w="4269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169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535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</w:p>
        </w:tc>
        <w:tc>
          <w:tcPr>
            <w:tcW w:w="1564" w:type="dxa"/>
          </w:tcPr>
          <w:p w:rsidR="008224A7" w:rsidRDefault="00CA0B21" w:rsidP="00FB200F">
            <w:r>
              <w:t>TBA</w:t>
            </w:r>
          </w:p>
        </w:tc>
        <w:tc>
          <w:tcPr>
            <w:tcW w:w="4105" w:type="dxa"/>
          </w:tcPr>
          <w:p w:rsidR="008224A7" w:rsidRDefault="00CA0B21" w:rsidP="008224A7">
            <w:r>
              <w:t>Housing Summit took place on 5</w:t>
            </w:r>
            <w:r w:rsidRPr="00CA0B21">
              <w:rPr>
                <w:vertAlign w:val="superscript"/>
              </w:rPr>
              <w:t>th</w:t>
            </w:r>
            <w:r>
              <w:t xml:space="preserve"> June. Draft proposal paper to </w:t>
            </w:r>
            <w:proofErr w:type="gramStart"/>
            <w:r>
              <w:t>be shared</w:t>
            </w:r>
            <w:proofErr w:type="gramEnd"/>
            <w:r>
              <w:t xml:space="preserve"> with CEX and Leaders in July, CEX to meet with MHCLG late July.  Next steps are to formalise deal content an offer around housing numbers.</w:t>
            </w:r>
          </w:p>
          <w:p w:rsidR="00AB6C43" w:rsidRDefault="00AB6C43" w:rsidP="008224A7"/>
        </w:tc>
      </w:tr>
      <w:tr w:rsidR="00CA0B21" w:rsidRPr="009D3450" w:rsidTr="00CA0B21">
        <w:tc>
          <w:tcPr>
            <w:tcW w:w="4269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 w:rsidRPr="00CA0B21">
              <w:rPr>
                <w:highlight w:val="yellow"/>
              </w:rPr>
              <w:t>Agree expectation and work plan with Kent Public Health from August 2018 onwards.  To include a review of KHG resources to undertake this work and how to ensure Health and Social Care is integrated into KHG (i.e Health &amp; Social Care Sub Group)</w:t>
            </w:r>
          </w:p>
        </w:tc>
        <w:tc>
          <w:tcPr>
            <w:tcW w:w="1697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 w:rsidRPr="00CA0B21">
              <w:rPr>
                <w:highlight w:val="yellow"/>
              </w:rPr>
              <w:t>SR/JE/BH/RS</w:t>
            </w:r>
          </w:p>
        </w:tc>
        <w:tc>
          <w:tcPr>
            <w:tcW w:w="2535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 w:rsidRPr="00CA0B21">
              <w:rPr>
                <w:highlight w:val="yellow"/>
              </w:rPr>
              <w:t>KHG</w:t>
            </w:r>
            <w:r>
              <w:rPr>
                <w:highlight w:val="yellow"/>
              </w:rPr>
              <w:t xml:space="preserve"> EXB</w:t>
            </w:r>
          </w:p>
        </w:tc>
        <w:tc>
          <w:tcPr>
            <w:tcW w:w="1564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 w:rsidRPr="00CA0B21">
              <w:rPr>
                <w:highlight w:val="yellow"/>
              </w:rPr>
              <w:t>August 2018</w:t>
            </w:r>
          </w:p>
        </w:tc>
        <w:tc>
          <w:tcPr>
            <w:tcW w:w="4105" w:type="dxa"/>
          </w:tcPr>
          <w:p w:rsidR="00CA0B21" w:rsidRDefault="00CA0B21" w:rsidP="008224A7">
            <w:r w:rsidRPr="00CA0B21">
              <w:rPr>
                <w:highlight w:val="yellow"/>
              </w:rPr>
              <w:t>JPPB will now dissolve.  KPH have agreed to transfer this year and future years funding.  JPPB to transfer funding remaining once Project Manager redundancy completed.</w:t>
            </w:r>
          </w:p>
        </w:tc>
      </w:tr>
      <w:tr w:rsidR="00CA0B21" w:rsidRPr="009D3450" w:rsidTr="00CA0B21">
        <w:tc>
          <w:tcPr>
            <w:tcW w:w="4269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>
              <w:rPr>
                <w:highlight w:val="yellow"/>
              </w:rPr>
              <w:t>Update KHG and EXB ToR to reflect new membership (JPPB members)</w:t>
            </w:r>
          </w:p>
        </w:tc>
        <w:tc>
          <w:tcPr>
            <w:tcW w:w="1697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>
              <w:rPr>
                <w:highlight w:val="yellow"/>
              </w:rPr>
              <w:t>SR/RS</w:t>
            </w:r>
          </w:p>
        </w:tc>
        <w:tc>
          <w:tcPr>
            <w:tcW w:w="2535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>
              <w:rPr>
                <w:highlight w:val="yellow"/>
              </w:rPr>
              <w:t>KHG EXB</w:t>
            </w:r>
          </w:p>
        </w:tc>
        <w:tc>
          <w:tcPr>
            <w:tcW w:w="1564" w:type="dxa"/>
          </w:tcPr>
          <w:p w:rsidR="00CA0B21" w:rsidRPr="00CA0B21" w:rsidRDefault="00CA0B21" w:rsidP="00FB200F">
            <w:pPr>
              <w:rPr>
                <w:highlight w:val="yellow"/>
              </w:rPr>
            </w:pPr>
            <w:r>
              <w:rPr>
                <w:highlight w:val="yellow"/>
              </w:rPr>
              <w:t>August 2018</w:t>
            </w:r>
          </w:p>
        </w:tc>
        <w:tc>
          <w:tcPr>
            <w:tcW w:w="4105" w:type="dxa"/>
          </w:tcPr>
          <w:p w:rsidR="00CA0B21" w:rsidRPr="00CA0B21" w:rsidRDefault="00CA0B21" w:rsidP="008224A7">
            <w:pPr>
              <w:rPr>
                <w:highlight w:val="yellow"/>
              </w:rPr>
            </w:pPr>
            <w:r>
              <w:rPr>
                <w:highlight w:val="yellow"/>
              </w:rPr>
              <w:t>To be agreed once agreement with KPH about role and new members transferred over from JPPB (CRC/KF&amp;RS etc)</w:t>
            </w:r>
          </w:p>
        </w:tc>
      </w:tr>
      <w:tr w:rsidR="009D3450" w:rsidRPr="009D3450" w:rsidTr="00CA0B21">
        <w:tc>
          <w:tcPr>
            <w:tcW w:w="4269" w:type="dxa"/>
          </w:tcPr>
          <w:p w:rsidR="0075160C" w:rsidRPr="009D3450" w:rsidRDefault="00FB200F" w:rsidP="00FB200F">
            <w:r>
              <w:lastRenderedPageBreak/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169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535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4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410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CA0B21">
        <w:tc>
          <w:tcPr>
            <w:tcW w:w="4269" w:type="dxa"/>
          </w:tcPr>
          <w:p w:rsidR="009D3450" w:rsidRPr="009D3450" w:rsidRDefault="0075160C" w:rsidP="00FB200F">
            <w:r>
              <w:t>Consultation responses – A</w:t>
            </w:r>
            <w:r w:rsidR="00FB200F">
              <w:t>gree mechanism for responding</w:t>
            </w:r>
          </w:p>
        </w:tc>
        <w:tc>
          <w:tcPr>
            <w:tcW w:w="1697" w:type="dxa"/>
          </w:tcPr>
          <w:p w:rsidR="009D3450" w:rsidRDefault="00016DC0" w:rsidP="00FB200F">
            <w:r>
              <w:t>RS</w:t>
            </w:r>
          </w:p>
        </w:tc>
        <w:tc>
          <w:tcPr>
            <w:tcW w:w="2535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4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4105" w:type="dxa"/>
          </w:tcPr>
          <w:p w:rsidR="00EC7190" w:rsidRDefault="0075160C" w:rsidP="00FB200F">
            <w:r>
              <w:t xml:space="preserve">Which ones are important? </w:t>
            </w:r>
            <w:proofErr w:type="gramStart"/>
            <w:r>
              <w:t>Only respond to those linked to KMHS?</w:t>
            </w:r>
            <w:proofErr w:type="gramEnd"/>
          </w:p>
          <w:p w:rsidR="00AB6C43" w:rsidRPr="009D3450" w:rsidRDefault="00AB6C43" w:rsidP="00FB200F"/>
        </w:tc>
      </w:tr>
      <w:tr w:rsidR="00FB200F" w:rsidRPr="009D3450" w:rsidTr="00CA0B21">
        <w:tc>
          <w:tcPr>
            <w:tcW w:w="4269" w:type="dxa"/>
          </w:tcPr>
          <w:p w:rsidR="00FB200F" w:rsidRDefault="0075160C" w:rsidP="00FB200F">
            <w:r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1697" w:type="dxa"/>
          </w:tcPr>
          <w:p w:rsidR="00FB200F" w:rsidRDefault="00016DC0" w:rsidP="00FB200F">
            <w:r>
              <w:t>RS/BH</w:t>
            </w:r>
          </w:p>
        </w:tc>
        <w:tc>
          <w:tcPr>
            <w:tcW w:w="2535" w:type="dxa"/>
          </w:tcPr>
          <w:p w:rsidR="00FB200F" w:rsidRPr="009D3450" w:rsidRDefault="00FB200F" w:rsidP="00FB200F"/>
        </w:tc>
        <w:tc>
          <w:tcPr>
            <w:tcW w:w="1564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4105" w:type="dxa"/>
          </w:tcPr>
          <w:p w:rsidR="00EC7190" w:rsidRDefault="00EC7190" w:rsidP="00FB200F">
            <w:r>
              <w:t>RS to produce</w:t>
            </w:r>
            <w:r w:rsidR="00AB6C43">
              <w:t xml:space="preserve"> second version for Autumn 2018</w:t>
            </w:r>
            <w:r>
              <w:t xml:space="preserve"> first 2018 version to share back with Leaders/CEX</w:t>
            </w:r>
          </w:p>
          <w:p w:rsidR="00AB6C43" w:rsidRPr="009D3450" w:rsidRDefault="00AB6C43" w:rsidP="00FB200F"/>
        </w:tc>
      </w:tr>
      <w:tr w:rsidR="00016DC0" w:rsidRPr="009D3450" w:rsidTr="00CA0B21">
        <w:tc>
          <w:tcPr>
            <w:tcW w:w="4269" w:type="dxa"/>
            <w:shd w:val="clear" w:color="auto" w:fill="auto"/>
          </w:tcPr>
          <w:p w:rsidR="00016DC0" w:rsidRDefault="00016DC0" w:rsidP="00FB200F">
            <w:r>
              <w:t>Undertake review of KHG sub-groups</w:t>
            </w:r>
          </w:p>
        </w:tc>
        <w:tc>
          <w:tcPr>
            <w:tcW w:w="169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SR/JE/RS</w:t>
            </w:r>
          </w:p>
        </w:tc>
        <w:tc>
          <w:tcPr>
            <w:tcW w:w="2535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4" w:type="dxa"/>
            <w:shd w:val="clear" w:color="auto" w:fill="auto"/>
          </w:tcPr>
          <w:p w:rsidR="00016DC0" w:rsidRPr="0075160C" w:rsidRDefault="00AB6C43" w:rsidP="00FB200F">
            <w:pPr>
              <w:rPr>
                <w:highlight w:val="yellow"/>
              </w:rPr>
            </w:pPr>
            <w:r>
              <w:t>April  2018</w:t>
            </w:r>
            <w:r w:rsidR="00CA0B21">
              <w:t xml:space="preserve"> / On going</w:t>
            </w:r>
          </w:p>
        </w:tc>
        <w:tc>
          <w:tcPr>
            <w:tcW w:w="4105" w:type="dxa"/>
            <w:shd w:val="clear" w:color="auto" w:fill="auto"/>
          </w:tcPr>
          <w:p w:rsidR="00016DC0" w:rsidRDefault="0075160C" w:rsidP="00FB200F">
            <w:r w:rsidRPr="0075160C">
              <w:t>Review need/focus for sub groups and admin arrangements/ToR going forward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75160C" w:rsidTr="00CA0B21">
        <w:tc>
          <w:tcPr>
            <w:tcW w:w="4269" w:type="dxa"/>
            <w:shd w:val="clear" w:color="auto" w:fill="4BACC6" w:themeFill="accent5"/>
          </w:tcPr>
          <w:p w:rsidR="0075160C" w:rsidRDefault="0075160C" w:rsidP="00FB200F">
            <w:pPr>
              <w:rPr>
                <w:b/>
              </w:rPr>
            </w:pPr>
            <w:r w:rsidRPr="0075160C">
              <w:rPr>
                <w:b/>
              </w:rPr>
              <w:t>Completed</w:t>
            </w:r>
            <w:r w:rsidR="00AB6C43">
              <w:rPr>
                <w:b/>
              </w:rPr>
              <w:t xml:space="preserve"> Action</w:t>
            </w:r>
          </w:p>
          <w:p w:rsidR="0075160C" w:rsidRPr="0075160C" w:rsidRDefault="0075160C" w:rsidP="00FB200F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535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4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4105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B6C43" w:rsidRPr="009D3450" w:rsidTr="00CA0B21">
        <w:tc>
          <w:tcPr>
            <w:tcW w:w="4269" w:type="dxa"/>
          </w:tcPr>
          <w:p w:rsidR="00AB6C43" w:rsidRPr="009D3450" w:rsidRDefault="00AB6C43" w:rsidP="00AB6C43">
            <w:r w:rsidRPr="00AB6C43">
              <w:t>Refresh Kent and Medway Housing Strategy (KMHS)</w:t>
            </w:r>
          </w:p>
        </w:tc>
        <w:tc>
          <w:tcPr>
            <w:tcW w:w="1697" w:type="dxa"/>
          </w:tcPr>
          <w:p w:rsidR="00AB6C43" w:rsidRDefault="00AB6C43" w:rsidP="00AB6C43">
            <w:r>
              <w:t>SR/JE/RS</w:t>
            </w:r>
          </w:p>
        </w:tc>
        <w:tc>
          <w:tcPr>
            <w:tcW w:w="2535" w:type="dxa"/>
          </w:tcPr>
          <w:p w:rsidR="00AB6C43" w:rsidRPr="009D3450" w:rsidRDefault="00AB6C43" w:rsidP="00AB6C43">
            <w:r w:rsidRPr="00AB6C43">
              <w:t>KDG, KPOG, KCC (GIF)</w:t>
            </w:r>
          </w:p>
        </w:tc>
        <w:tc>
          <w:tcPr>
            <w:tcW w:w="1564" w:type="dxa"/>
          </w:tcPr>
          <w:p w:rsidR="00AB6C43" w:rsidRDefault="00AB6C43" w:rsidP="00AB6C43">
            <w:r>
              <w:t>March 18</w:t>
            </w:r>
          </w:p>
        </w:tc>
        <w:tc>
          <w:tcPr>
            <w:tcW w:w="4105" w:type="dxa"/>
          </w:tcPr>
          <w:p w:rsidR="00AB6C43" w:rsidRDefault="00AB6C43" w:rsidP="00AB6C43">
            <w:r>
              <w:t>Presentation to Leaders and CEX about refresh of Strategy</w:t>
            </w:r>
          </w:p>
          <w:p w:rsidR="00AB6C43" w:rsidRDefault="00AB6C43" w:rsidP="00AB6C43"/>
        </w:tc>
      </w:tr>
      <w:tr w:rsidR="00AB6C43" w:rsidRPr="009D3450" w:rsidTr="00CA0B21">
        <w:tc>
          <w:tcPr>
            <w:tcW w:w="4269" w:type="dxa"/>
          </w:tcPr>
          <w:p w:rsidR="00AB6C43" w:rsidRDefault="00AB6C43" w:rsidP="00AB6C43">
            <w:r w:rsidRPr="00AB6C43">
              <w:t>Develop bi-annual KHG performance dashboard</w:t>
            </w:r>
          </w:p>
        </w:tc>
        <w:tc>
          <w:tcPr>
            <w:tcW w:w="1697" w:type="dxa"/>
          </w:tcPr>
          <w:p w:rsidR="00AB6C43" w:rsidRDefault="00AB6C43" w:rsidP="00AB6C43">
            <w:r>
              <w:t>RS</w:t>
            </w:r>
          </w:p>
        </w:tc>
        <w:tc>
          <w:tcPr>
            <w:tcW w:w="2535" w:type="dxa"/>
          </w:tcPr>
          <w:p w:rsidR="00AB6C43" w:rsidRDefault="00AB6C43" w:rsidP="00AB6C43"/>
        </w:tc>
        <w:tc>
          <w:tcPr>
            <w:tcW w:w="1564" w:type="dxa"/>
          </w:tcPr>
          <w:p w:rsidR="00AB6C43" w:rsidRDefault="00AB6C43" w:rsidP="00AB6C43">
            <w:r>
              <w:t>Marc 2018</w:t>
            </w:r>
          </w:p>
        </w:tc>
        <w:tc>
          <w:tcPr>
            <w:tcW w:w="4105" w:type="dxa"/>
          </w:tcPr>
          <w:p w:rsidR="00AB6C43" w:rsidRDefault="00AB6C43" w:rsidP="00AB6C43">
            <w:r>
              <w:t xml:space="preserve">First 2018 version </w:t>
            </w:r>
            <w:r w:rsidRPr="00052317">
              <w:t>share</w:t>
            </w:r>
            <w:r>
              <w:t>d</w:t>
            </w:r>
            <w:r w:rsidRPr="00052317">
              <w:t xml:space="preserve"> </w:t>
            </w:r>
            <w:r>
              <w:t>w</w:t>
            </w:r>
            <w:r w:rsidRPr="00052317">
              <w:t>ith Leaders/CEX</w:t>
            </w:r>
            <w:r>
              <w:t xml:space="preserve"> in March 2018, well received </w:t>
            </w:r>
          </w:p>
          <w:p w:rsidR="00AB6C43" w:rsidRDefault="00AB6C43" w:rsidP="00AB6C43"/>
        </w:tc>
      </w:tr>
      <w:tr w:rsidR="00AB6C43" w:rsidRPr="00FB200F" w:rsidTr="00CA0B21">
        <w:tc>
          <w:tcPr>
            <w:tcW w:w="4269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CA0B21">
        <w:tc>
          <w:tcPr>
            <w:tcW w:w="4269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169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535" w:type="dxa"/>
          </w:tcPr>
          <w:p w:rsidR="0075160C" w:rsidRPr="009D3450" w:rsidRDefault="0075160C" w:rsidP="00FB200F">
            <w:r>
              <w:t>All KHG members should be marketing value of KHG to partners</w:t>
            </w:r>
          </w:p>
        </w:tc>
        <w:tc>
          <w:tcPr>
            <w:tcW w:w="1564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105" w:type="dxa"/>
          </w:tcPr>
          <w:p w:rsidR="00FB200F" w:rsidRPr="009D3450" w:rsidRDefault="00016DC0" w:rsidP="00FB200F">
            <w:r>
              <w:t>Need to ensure HA Development Heads are on board</w:t>
            </w:r>
            <w:r w:rsidR="00EC7190">
              <w:t xml:space="preserve"> / Agree the membership paper to share</w:t>
            </w:r>
          </w:p>
        </w:tc>
      </w:tr>
      <w:tr w:rsidR="00FB200F" w:rsidRPr="009D3450" w:rsidTr="00CA0B21">
        <w:tc>
          <w:tcPr>
            <w:tcW w:w="4269" w:type="dxa"/>
          </w:tcPr>
          <w:p w:rsidR="00FB200F" w:rsidRPr="009D3450" w:rsidRDefault="00FB200F" w:rsidP="00FB200F">
            <w:r>
              <w:lastRenderedPageBreak/>
              <w:t>Develop and deliver annual Events and Workshops programme</w:t>
            </w:r>
          </w:p>
        </w:tc>
        <w:tc>
          <w:tcPr>
            <w:tcW w:w="1697" w:type="dxa"/>
          </w:tcPr>
          <w:p w:rsidR="00FB200F" w:rsidRDefault="00FB200F" w:rsidP="00FB200F">
            <w:r>
              <w:t>EM</w:t>
            </w:r>
          </w:p>
        </w:tc>
        <w:tc>
          <w:tcPr>
            <w:tcW w:w="2535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4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105" w:type="dxa"/>
          </w:tcPr>
          <w:p w:rsidR="00FB200F" w:rsidRDefault="00AB6C43" w:rsidP="00FB200F">
            <w:r>
              <w:t>Events group meeting bi monthly and working on development of the workshops programme</w:t>
            </w:r>
          </w:p>
          <w:p w:rsidR="00AB6C43" w:rsidRPr="009D3450" w:rsidRDefault="00AB6C43" w:rsidP="00FB200F"/>
        </w:tc>
      </w:tr>
      <w:tr w:rsidR="00FB200F" w:rsidRPr="009D3450" w:rsidTr="00CA0B21">
        <w:tc>
          <w:tcPr>
            <w:tcW w:w="4269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1697" w:type="dxa"/>
          </w:tcPr>
          <w:p w:rsidR="00FB200F" w:rsidRDefault="00016DC0" w:rsidP="00FB200F">
            <w:r>
              <w:t>RS/SW</w:t>
            </w:r>
          </w:p>
        </w:tc>
        <w:tc>
          <w:tcPr>
            <w:tcW w:w="2535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4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10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CA0B21">
        <w:tc>
          <w:tcPr>
            <w:tcW w:w="4269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CA0B21">
        <w:tc>
          <w:tcPr>
            <w:tcW w:w="4269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1697" w:type="dxa"/>
          </w:tcPr>
          <w:p w:rsidR="00FB200F" w:rsidRDefault="00FB200F" w:rsidP="00FB200F">
            <w:r>
              <w:t>SR/RS</w:t>
            </w:r>
          </w:p>
        </w:tc>
        <w:tc>
          <w:tcPr>
            <w:tcW w:w="2535" w:type="dxa"/>
          </w:tcPr>
          <w:p w:rsidR="00FB200F" w:rsidRPr="009D3450" w:rsidRDefault="00FB200F" w:rsidP="00FB200F">
            <w:r>
              <w:t>JPPB</w:t>
            </w:r>
          </w:p>
        </w:tc>
        <w:tc>
          <w:tcPr>
            <w:tcW w:w="1564" w:type="dxa"/>
          </w:tcPr>
          <w:p w:rsidR="00FB200F" w:rsidRPr="009D3450" w:rsidRDefault="008224A7" w:rsidP="00FB200F">
            <w:r>
              <w:t>31 Oct 2018</w:t>
            </w:r>
          </w:p>
        </w:tc>
        <w:tc>
          <w:tcPr>
            <w:tcW w:w="4105" w:type="dxa"/>
          </w:tcPr>
          <w:p w:rsidR="008224A7" w:rsidRDefault="00CA0B21" w:rsidP="00FB200F">
            <w:r>
              <w:t xml:space="preserve">First group meeting undertaken, draft proposal developed to be </w:t>
            </w:r>
            <w:proofErr w:type="gramStart"/>
            <w:r>
              <w:t>shared</w:t>
            </w:r>
            <w:proofErr w:type="gramEnd"/>
            <w:r>
              <w:t xml:space="preserve"> and worked up.  Need confirmation of agreement from all those who wish to engage and then how to engage local members to ensure proposals taken forward</w:t>
            </w:r>
          </w:p>
          <w:p w:rsidR="00AB6C43" w:rsidRPr="009D3450" w:rsidRDefault="00AB6C43" w:rsidP="00FB200F"/>
        </w:tc>
      </w:tr>
      <w:tr w:rsidR="00A72242" w:rsidRPr="009D3450" w:rsidTr="00CA0B21">
        <w:tc>
          <w:tcPr>
            <w:tcW w:w="4269" w:type="dxa"/>
          </w:tcPr>
          <w:p w:rsidR="00A72242" w:rsidRDefault="00A72242" w:rsidP="00FB200F">
            <w:r>
              <w:t>Complete Mental Health Scoping Paper</w:t>
            </w:r>
          </w:p>
        </w:tc>
        <w:tc>
          <w:tcPr>
            <w:tcW w:w="1697" w:type="dxa"/>
          </w:tcPr>
          <w:p w:rsidR="00A72242" w:rsidRDefault="00A72242" w:rsidP="00FB200F">
            <w:r>
              <w:t>SW/DW</w:t>
            </w:r>
          </w:p>
        </w:tc>
        <w:tc>
          <w:tcPr>
            <w:tcW w:w="2535" w:type="dxa"/>
          </w:tcPr>
          <w:p w:rsidR="00A72242" w:rsidRDefault="00A72242" w:rsidP="00FB200F"/>
        </w:tc>
        <w:tc>
          <w:tcPr>
            <w:tcW w:w="1564" w:type="dxa"/>
          </w:tcPr>
          <w:p w:rsidR="00A72242" w:rsidRDefault="00A72242" w:rsidP="00FB200F">
            <w:r>
              <w:t>Sept 18</w:t>
            </w:r>
          </w:p>
        </w:tc>
        <w:tc>
          <w:tcPr>
            <w:tcW w:w="4105" w:type="dxa"/>
          </w:tcPr>
          <w:p w:rsidR="00A72242" w:rsidRDefault="00A72242" w:rsidP="00FB200F">
            <w:r w:rsidRPr="00A72242">
              <w:t>Agreed at KHG EXB May 2018 to postpone until membership of KPH and potential new Health sub group agreed.</w:t>
            </w:r>
          </w:p>
        </w:tc>
      </w:tr>
      <w:tr w:rsidR="00A72242" w:rsidRPr="00A72242" w:rsidTr="00A72242">
        <w:tc>
          <w:tcPr>
            <w:tcW w:w="4269" w:type="dxa"/>
            <w:shd w:val="clear" w:color="auto" w:fill="4F81BD" w:themeFill="accent1"/>
          </w:tcPr>
          <w:p w:rsidR="00A72242" w:rsidRPr="00A72242" w:rsidRDefault="00A72242" w:rsidP="00FB200F">
            <w:pPr>
              <w:rPr>
                <w:b/>
              </w:rPr>
            </w:pPr>
            <w:r w:rsidRPr="00A72242">
              <w:rPr>
                <w:b/>
              </w:rPr>
              <w:t>Completed Action</w:t>
            </w:r>
          </w:p>
        </w:tc>
        <w:tc>
          <w:tcPr>
            <w:tcW w:w="1697" w:type="dxa"/>
            <w:shd w:val="clear" w:color="auto" w:fill="4F81BD" w:themeFill="accent1"/>
          </w:tcPr>
          <w:p w:rsidR="00A72242" w:rsidRPr="00A72242" w:rsidRDefault="00A72242" w:rsidP="00FB200F">
            <w:pPr>
              <w:rPr>
                <w:b/>
              </w:rPr>
            </w:pPr>
            <w:r w:rsidRPr="00A72242">
              <w:rPr>
                <w:b/>
              </w:rPr>
              <w:t xml:space="preserve">Lead </w:t>
            </w:r>
          </w:p>
        </w:tc>
        <w:tc>
          <w:tcPr>
            <w:tcW w:w="2535" w:type="dxa"/>
            <w:shd w:val="clear" w:color="auto" w:fill="4F81BD" w:themeFill="accent1"/>
          </w:tcPr>
          <w:p w:rsidR="00A72242" w:rsidRPr="00A72242" w:rsidRDefault="00A72242" w:rsidP="00FB200F">
            <w:pPr>
              <w:rPr>
                <w:b/>
              </w:rPr>
            </w:pPr>
            <w:r w:rsidRPr="00A72242">
              <w:rPr>
                <w:b/>
              </w:rPr>
              <w:t>Partners</w:t>
            </w:r>
          </w:p>
        </w:tc>
        <w:tc>
          <w:tcPr>
            <w:tcW w:w="1564" w:type="dxa"/>
            <w:shd w:val="clear" w:color="auto" w:fill="4F81BD" w:themeFill="accent1"/>
          </w:tcPr>
          <w:p w:rsidR="00A72242" w:rsidRPr="00A72242" w:rsidRDefault="00A72242" w:rsidP="00FB200F">
            <w:pPr>
              <w:rPr>
                <w:b/>
              </w:rPr>
            </w:pPr>
            <w:r w:rsidRPr="00A72242">
              <w:rPr>
                <w:b/>
              </w:rPr>
              <w:t>Deadline</w:t>
            </w:r>
          </w:p>
        </w:tc>
        <w:tc>
          <w:tcPr>
            <w:tcW w:w="4105" w:type="dxa"/>
            <w:shd w:val="clear" w:color="auto" w:fill="4F81BD" w:themeFill="accent1"/>
          </w:tcPr>
          <w:p w:rsidR="00A72242" w:rsidRPr="00A72242" w:rsidRDefault="00A72242" w:rsidP="00FB200F">
            <w:pPr>
              <w:rPr>
                <w:b/>
              </w:rPr>
            </w:pPr>
            <w:r w:rsidRPr="00A72242">
              <w:rPr>
                <w:b/>
              </w:rPr>
              <w:t>Notes</w:t>
            </w:r>
          </w:p>
        </w:tc>
      </w:tr>
      <w:tr w:rsidR="008224A7" w:rsidRPr="009D3450" w:rsidTr="00CA0B21">
        <w:tc>
          <w:tcPr>
            <w:tcW w:w="4269" w:type="dxa"/>
          </w:tcPr>
          <w:p w:rsidR="008224A7" w:rsidRDefault="008224A7" w:rsidP="00FB200F">
            <w:r>
              <w:t>Kent Accommodation Strategy updates</w:t>
            </w:r>
          </w:p>
        </w:tc>
        <w:tc>
          <w:tcPr>
            <w:tcW w:w="1697" w:type="dxa"/>
          </w:tcPr>
          <w:p w:rsidR="008224A7" w:rsidRDefault="008224A7" w:rsidP="00FB200F">
            <w:r>
              <w:t>RS</w:t>
            </w:r>
          </w:p>
        </w:tc>
        <w:tc>
          <w:tcPr>
            <w:tcW w:w="2535" w:type="dxa"/>
          </w:tcPr>
          <w:p w:rsidR="008224A7" w:rsidRPr="009D3450" w:rsidRDefault="00AB6C43" w:rsidP="00FB200F">
            <w:r>
              <w:t>CH</w:t>
            </w:r>
          </w:p>
        </w:tc>
        <w:tc>
          <w:tcPr>
            <w:tcW w:w="1564" w:type="dxa"/>
          </w:tcPr>
          <w:p w:rsidR="008224A7" w:rsidRDefault="008224A7" w:rsidP="00FB200F">
            <w:r>
              <w:t>15 Mar</w:t>
            </w:r>
          </w:p>
        </w:tc>
        <w:tc>
          <w:tcPr>
            <w:tcW w:w="4105" w:type="dxa"/>
          </w:tcPr>
          <w:p w:rsidR="008224A7" w:rsidRDefault="00A72242" w:rsidP="00FB200F">
            <w:r>
              <w:t>All updates from KHG and KPOG now shared with CH.</w:t>
            </w:r>
          </w:p>
          <w:p w:rsidR="00AB6C43" w:rsidRDefault="00AB6C43" w:rsidP="00FB200F"/>
        </w:tc>
      </w:tr>
      <w:tr w:rsidR="00AB6C43" w:rsidRPr="00FB200F" w:rsidTr="00CA0B21">
        <w:tc>
          <w:tcPr>
            <w:tcW w:w="4269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CA0B21">
        <w:tc>
          <w:tcPr>
            <w:tcW w:w="4269" w:type="dxa"/>
          </w:tcPr>
          <w:p w:rsidR="00EC7190" w:rsidRDefault="00016DC0" w:rsidP="00FB200F">
            <w:r>
              <w:t>Develop annual Communications action plan based on KMHS priorities, develop KHG brand awareness and link to Events sub-group</w:t>
            </w:r>
            <w:bookmarkStart w:id="0" w:name="_GoBack"/>
            <w:bookmarkEnd w:id="0"/>
          </w:p>
          <w:p w:rsidR="00AB6C43" w:rsidRDefault="00AB6C43" w:rsidP="00FB200F"/>
        </w:tc>
        <w:tc>
          <w:tcPr>
            <w:tcW w:w="1697" w:type="dxa"/>
          </w:tcPr>
          <w:p w:rsidR="00016DC0" w:rsidRDefault="00016DC0" w:rsidP="00FB200F">
            <w:r>
              <w:lastRenderedPageBreak/>
              <w:t>SS</w:t>
            </w:r>
          </w:p>
        </w:tc>
        <w:tc>
          <w:tcPr>
            <w:tcW w:w="2535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4" w:type="dxa"/>
          </w:tcPr>
          <w:p w:rsidR="00016DC0" w:rsidRPr="009D3450" w:rsidRDefault="008224A7" w:rsidP="00FB200F">
            <w:r>
              <w:t>30 Jun 2018</w:t>
            </w:r>
          </w:p>
        </w:tc>
        <w:tc>
          <w:tcPr>
            <w:tcW w:w="4105" w:type="dxa"/>
          </w:tcPr>
          <w:p w:rsidR="00016DC0" w:rsidRPr="009D3450" w:rsidRDefault="00AB6C43" w:rsidP="00FB200F">
            <w:r>
              <w:t>Draft Communications Plan shared for May EXB</w:t>
            </w:r>
          </w:p>
        </w:tc>
      </w:tr>
      <w:tr w:rsidR="00FB200F" w:rsidRPr="009D3450" w:rsidTr="00CA0B21">
        <w:tc>
          <w:tcPr>
            <w:tcW w:w="4269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1697" w:type="dxa"/>
          </w:tcPr>
          <w:p w:rsidR="00FB200F" w:rsidRDefault="00FB200F" w:rsidP="00FB200F">
            <w:r>
              <w:t>SS</w:t>
            </w:r>
          </w:p>
        </w:tc>
        <w:tc>
          <w:tcPr>
            <w:tcW w:w="2535" w:type="dxa"/>
          </w:tcPr>
          <w:p w:rsidR="00FB200F" w:rsidRPr="009D3450" w:rsidRDefault="00FB200F" w:rsidP="00FB200F"/>
        </w:tc>
        <w:tc>
          <w:tcPr>
            <w:tcW w:w="1564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105" w:type="dxa"/>
          </w:tcPr>
          <w:p w:rsidR="00FB200F" w:rsidRPr="009D3450" w:rsidRDefault="00FB200F" w:rsidP="00FB200F"/>
        </w:tc>
      </w:tr>
      <w:tr w:rsidR="00AB6C43" w:rsidRPr="009D3450" w:rsidTr="00CA0B21">
        <w:tc>
          <w:tcPr>
            <w:tcW w:w="4269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1697" w:type="dxa"/>
          </w:tcPr>
          <w:p w:rsidR="00AB6C43" w:rsidRDefault="00AB6C43" w:rsidP="00FB200F">
            <w:r>
              <w:t>RS/SS</w:t>
            </w:r>
          </w:p>
        </w:tc>
        <w:tc>
          <w:tcPr>
            <w:tcW w:w="2535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564" w:type="dxa"/>
          </w:tcPr>
          <w:p w:rsidR="00AB6C43" w:rsidRDefault="00AB6C43" w:rsidP="00FB200F">
            <w:r>
              <w:t>On going</w:t>
            </w:r>
          </w:p>
        </w:tc>
        <w:tc>
          <w:tcPr>
            <w:tcW w:w="4105" w:type="dxa"/>
          </w:tcPr>
          <w:p w:rsidR="00AB6C43" w:rsidRPr="009D3450" w:rsidRDefault="00AB6C43" w:rsidP="00FB200F">
            <w:r>
              <w:t xml:space="preserve">To work with provide around members area, discussion area, GDPR compliance and </w:t>
            </w:r>
            <w:r w:rsidR="004416D7">
              <w:t>editing of content and links to Social Media accounts for KHG</w:t>
            </w:r>
          </w:p>
        </w:tc>
      </w:tr>
    </w:tbl>
    <w:p w:rsidR="009D3450" w:rsidRDefault="009D3450" w:rsidP="00FB200F">
      <w:pPr>
        <w:spacing w:after="0" w:line="240" w:lineRule="auto"/>
      </w:pPr>
    </w:p>
    <w:p w:rsidR="00FB200F" w:rsidRDefault="00FB200F" w:rsidP="00FB200F">
      <w:pPr>
        <w:spacing w:after="0" w:line="240" w:lineRule="auto"/>
      </w:pPr>
    </w:p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42" w:rsidRDefault="00A72242" w:rsidP="00413C69">
      <w:pPr>
        <w:spacing w:after="0" w:line="240" w:lineRule="auto"/>
      </w:pPr>
      <w:r>
        <w:separator/>
      </w:r>
    </w:p>
  </w:endnote>
  <w:endnote w:type="continuationSeparator" w:id="0">
    <w:p w:rsidR="00A72242" w:rsidRDefault="00A72242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42" w:rsidRDefault="00A72242">
    <w:pPr>
      <w:pStyle w:val="Footer"/>
    </w:pPr>
    <w:r>
      <w:t>Updated 27</w:t>
    </w:r>
    <w:r w:rsidRPr="00A72242">
      <w:rPr>
        <w:vertAlign w:val="superscript"/>
      </w:rPr>
      <w:t>th</w:t>
    </w:r>
    <w:r>
      <w:t xml:space="preserve"> June 2018 for July KHG EXB Meeting (11</w:t>
    </w:r>
    <w:r w:rsidRPr="004416D7">
      <w:rPr>
        <w:vertAlign w:val="superscript"/>
      </w:rPr>
      <w:t>th</w:t>
    </w:r>
    <w:r>
      <w:t xml:space="preserve"> July)</w:t>
    </w:r>
  </w:p>
  <w:p w:rsidR="00A72242" w:rsidRDefault="00A7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42" w:rsidRDefault="00A72242" w:rsidP="00413C69">
      <w:pPr>
        <w:spacing w:after="0" w:line="240" w:lineRule="auto"/>
      </w:pPr>
      <w:r>
        <w:separator/>
      </w:r>
    </w:p>
  </w:footnote>
  <w:footnote w:type="continuationSeparator" w:id="0">
    <w:p w:rsidR="00A72242" w:rsidRDefault="00A72242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42" w:rsidRPr="004F4ED6" w:rsidRDefault="00A72242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A72242" w:rsidRPr="004F4ED6" w:rsidRDefault="00A72242" w:rsidP="004F4ED6">
    <w:pPr>
      <w:pStyle w:val="Header"/>
      <w:rPr>
        <w:b/>
      </w:rPr>
    </w:pPr>
    <w:r w:rsidRPr="004F4ED6">
      <w:rPr>
        <w:b/>
      </w:rPr>
      <w:t>Forward Plan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16DC0"/>
    <w:rsid w:val="00227619"/>
    <w:rsid w:val="003F00EB"/>
    <w:rsid w:val="00413C69"/>
    <w:rsid w:val="004416D7"/>
    <w:rsid w:val="004F4ED6"/>
    <w:rsid w:val="0064118D"/>
    <w:rsid w:val="0075160C"/>
    <w:rsid w:val="008043F1"/>
    <w:rsid w:val="008224A7"/>
    <w:rsid w:val="009D3450"/>
    <w:rsid w:val="00A72242"/>
    <w:rsid w:val="00A83ADB"/>
    <w:rsid w:val="00AB6C43"/>
    <w:rsid w:val="00BE2B2B"/>
    <w:rsid w:val="00CA0B21"/>
    <w:rsid w:val="00EA155F"/>
    <w:rsid w:val="00EC7190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3D9047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0AA1-EDAA-4EB6-A9C7-7B50C930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445704B1.dotm</Template>
  <TotalTime>22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Rebecca Smith</cp:lastModifiedBy>
  <cp:revision>3</cp:revision>
  <cp:lastPrinted>2018-06-28T17:14:00Z</cp:lastPrinted>
  <dcterms:created xsi:type="dcterms:W3CDTF">2018-06-28T16:57:00Z</dcterms:created>
  <dcterms:modified xsi:type="dcterms:W3CDTF">2018-06-28T17:20:00Z</dcterms:modified>
</cp:coreProperties>
</file>