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D2C" w:rsidRDefault="00305A58" w:rsidP="00933209">
      <w:pPr>
        <w:tabs>
          <w:tab w:val="left" w:pos="3533"/>
          <w:tab w:val="center" w:pos="6979"/>
        </w:tabs>
        <w:rPr>
          <w:b/>
          <w:sz w:val="28"/>
          <w:szCs w:val="28"/>
          <w:u w:val="double" w:color="0070C0"/>
        </w:rPr>
      </w:pPr>
      <w:r w:rsidRPr="00305A58">
        <w:rPr>
          <w:b/>
          <w:sz w:val="28"/>
          <w:szCs w:val="28"/>
          <w:highlight w:val="yellow"/>
          <w:u w:val="double" w:color="0070C0"/>
        </w:rPr>
        <w:t>DRAFT</w:t>
      </w:r>
      <w:r w:rsidR="00E54965">
        <w:rPr>
          <w:b/>
          <w:sz w:val="28"/>
          <w:szCs w:val="28"/>
          <w:u w:val="double" w:color="0070C0"/>
        </w:rPr>
        <w:t xml:space="preserve"> - HSEG</w:t>
      </w:r>
      <w:r w:rsidR="00E95A57">
        <w:rPr>
          <w:b/>
          <w:sz w:val="28"/>
          <w:szCs w:val="28"/>
          <w:u w:val="double" w:color="0070C0"/>
        </w:rPr>
        <w:t xml:space="preserve"> Action Log – </w:t>
      </w:r>
      <w:r w:rsidR="00E54965">
        <w:rPr>
          <w:b/>
          <w:sz w:val="28"/>
          <w:szCs w:val="28"/>
          <w:u w:val="double" w:color="0070C0"/>
        </w:rPr>
        <w:t>17</w:t>
      </w:r>
      <w:r w:rsidR="00CC02A0" w:rsidRPr="00CC02A0">
        <w:rPr>
          <w:b/>
          <w:sz w:val="28"/>
          <w:szCs w:val="28"/>
          <w:u w:val="double" w:color="0070C0"/>
          <w:vertAlign w:val="superscript"/>
        </w:rPr>
        <w:t>th</w:t>
      </w:r>
      <w:r w:rsidR="00CC02A0">
        <w:rPr>
          <w:b/>
          <w:sz w:val="28"/>
          <w:szCs w:val="28"/>
          <w:u w:val="double" w:color="0070C0"/>
        </w:rPr>
        <w:t xml:space="preserve"> July 2018, </w:t>
      </w:r>
      <w:r w:rsidR="00E54965">
        <w:rPr>
          <w:b/>
          <w:sz w:val="28"/>
          <w:szCs w:val="28"/>
          <w:u w:val="double" w:color="0070C0"/>
        </w:rPr>
        <w:t>Ashford Borough Council, Civic Centre, Ashford</w:t>
      </w:r>
    </w:p>
    <w:tbl>
      <w:tblPr>
        <w:tblStyle w:val="TableGrid"/>
        <w:tblW w:w="16019" w:type="dxa"/>
        <w:tblInd w:w="-856" w:type="dxa"/>
        <w:tblLayout w:type="fixed"/>
        <w:tblLook w:val="04A0" w:firstRow="1" w:lastRow="0" w:firstColumn="1" w:lastColumn="0" w:noHBand="0" w:noVBand="1"/>
      </w:tblPr>
      <w:tblGrid>
        <w:gridCol w:w="1277"/>
        <w:gridCol w:w="8901"/>
        <w:gridCol w:w="3431"/>
        <w:gridCol w:w="992"/>
        <w:gridCol w:w="1389"/>
        <w:gridCol w:w="29"/>
      </w:tblGrid>
      <w:tr w:rsidR="00B613D2" w:rsidRPr="00745BAC" w:rsidTr="002D569F">
        <w:trPr>
          <w:gridAfter w:val="1"/>
          <w:wAfter w:w="29" w:type="dxa"/>
        </w:trPr>
        <w:tc>
          <w:tcPr>
            <w:tcW w:w="15990" w:type="dxa"/>
            <w:gridSpan w:val="5"/>
            <w:shd w:val="clear" w:color="auto" w:fill="0070C0"/>
          </w:tcPr>
          <w:p w:rsidR="00E54965" w:rsidRDefault="00B613D2" w:rsidP="00F6297A">
            <w:pPr>
              <w:rPr>
                <w:rFonts w:cstheme="minorHAnsi"/>
                <w:color w:val="FFFFFF" w:themeColor="background1"/>
              </w:rPr>
            </w:pPr>
            <w:r w:rsidRPr="00C127AE">
              <w:rPr>
                <w:rFonts w:cstheme="minorHAnsi"/>
                <w:b/>
                <w:color w:val="FFFFFF" w:themeColor="background1"/>
              </w:rPr>
              <w:t>Present</w:t>
            </w:r>
            <w:r w:rsidRPr="00745BAC">
              <w:rPr>
                <w:rFonts w:cstheme="minorHAnsi"/>
                <w:color w:val="FFFFFF" w:themeColor="background1"/>
              </w:rPr>
              <w:t xml:space="preserve">: </w:t>
            </w:r>
            <w:r w:rsidR="00E95A57">
              <w:rPr>
                <w:rFonts w:cstheme="minorHAnsi"/>
                <w:color w:val="FFFFFF" w:themeColor="background1"/>
              </w:rPr>
              <w:t xml:space="preserve"> </w:t>
            </w:r>
            <w:r w:rsidR="00DC32DF">
              <w:rPr>
                <w:rFonts w:cstheme="minorHAnsi"/>
                <w:color w:val="FFFFFF" w:themeColor="background1"/>
              </w:rPr>
              <w:t xml:space="preserve">Andrew Paterson, </w:t>
            </w:r>
            <w:proofErr w:type="spellStart"/>
            <w:r w:rsidR="00DC32DF">
              <w:rPr>
                <w:rFonts w:cstheme="minorHAnsi"/>
                <w:color w:val="FFFFFF" w:themeColor="background1"/>
              </w:rPr>
              <w:t>Co Chair</w:t>
            </w:r>
            <w:proofErr w:type="spellEnd"/>
            <w:r w:rsidR="00DC32DF">
              <w:rPr>
                <w:rFonts w:cstheme="minorHAnsi"/>
                <w:color w:val="FFFFFF" w:themeColor="background1"/>
              </w:rPr>
              <w:t xml:space="preserve"> &amp; Canterbury CC; Sarah Lewis, </w:t>
            </w:r>
            <w:proofErr w:type="spellStart"/>
            <w:r w:rsidR="00DC32DF">
              <w:rPr>
                <w:rFonts w:cstheme="minorHAnsi"/>
                <w:color w:val="FFFFFF" w:themeColor="background1"/>
              </w:rPr>
              <w:t>Co Chair</w:t>
            </w:r>
            <w:proofErr w:type="spellEnd"/>
            <w:r w:rsidR="00DC32DF">
              <w:rPr>
                <w:rFonts w:cstheme="minorHAnsi"/>
                <w:color w:val="FFFFFF" w:themeColor="background1"/>
              </w:rPr>
              <w:t xml:space="preserve"> &amp; Tunbridge Wells BC; </w:t>
            </w:r>
            <w:r w:rsidR="007636DB">
              <w:rPr>
                <w:rFonts w:cstheme="minorHAnsi"/>
                <w:color w:val="FFFFFF" w:themeColor="background1"/>
              </w:rPr>
              <w:t>Ashley Jackson, Thanet DC; Sandra Sainsbury, Folkestone &amp; Hythe DC; Liz Crockford, Sevenoaks DC; Donna Michael, Ashford BC; Arron Nicholls, Medway Council; Gillian Aylett, TMBC; Steve Fox, GCHA; Tessa O’Sullivan, ACRK; Emma Bartlett, Canterbury CC;</w:t>
            </w:r>
          </w:p>
          <w:p w:rsidR="00E54965" w:rsidRDefault="00E54965" w:rsidP="00F6297A">
            <w:pPr>
              <w:rPr>
                <w:rFonts w:cstheme="minorHAnsi"/>
                <w:color w:val="FFFFFF" w:themeColor="background1"/>
              </w:rPr>
            </w:pPr>
          </w:p>
          <w:p w:rsidR="002F5ABE" w:rsidRDefault="00B613D2" w:rsidP="00F6297A">
            <w:pPr>
              <w:rPr>
                <w:rFonts w:cstheme="minorHAnsi"/>
                <w:color w:val="FFFFFF" w:themeColor="background1"/>
              </w:rPr>
            </w:pPr>
            <w:r w:rsidRPr="00B53735">
              <w:rPr>
                <w:rFonts w:cstheme="minorHAnsi"/>
                <w:b/>
                <w:color w:val="FFFFFF" w:themeColor="background1"/>
              </w:rPr>
              <w:t>Apologies</w:t>
            </w:r>
            <w:r w:rsidRPr="00B53735">
              <w:rPr>
                <w:rFonts w:cstheme="minorHAnsi"/>
                <w:color w:val="FFFFFF" w:themeColor="background1"/>
              </w:rPr>
              <w:t xml:space="preserve">: </w:t>
            </w:r>
            <w:r w:rsidR="00E54965">
              <w:rPr>
                <w:rFonts w:cstheme="minorHAnsi"/>
                <w:color w:val="FFFFFF" w:themeColor="background1"/>
              </w:rPr>
              <w:t xml:space="preserve"> Jane Griffiths, BPHA; Brian Horton, SELEP; Jennifer Shaw</w:t>
            </w:r>
            <w:r w:rsidR="007636DB">
              <w:rPr>
                <w:rFonts w:cstheme="minorHAnsi"/>
                <w:color w:val="FFFFFF" w:themeColor="background1"/>
              </w:rPr>
              <w:t xml:space="preserve"> &amp; Mark James</w:t>
            </w:r>
            <w:r w:rsidR="00E54965">
              <w:rPr>
                <w:rFonts w:cstheme="minorHAnsi"/>
                <w:color w:val="FFFFFF" w:themeColor="background1"/>
              </w:rPr>
              <w:t xml:space="preserve">, Ashford BC; </w:t>
            </w:r>
            <w:r w:rsidR="00DC32DF">
              <w:rPr>
                <w:rFonts w:cstheme="minorHAnsi"/>
                <w:color w:val="FFFFFF" w:themeColor="background1"/>
              </w:rPr>
              <w:t>Jo Ellis, TCHG; Elly Toye, Dover DC</w:t>
            </w:r>
            <w:r w:rsidR="00103935">
              <w:rPr>
                <w:rFonts w:cstheme="minorHAnsi"/>
                <w:color w:val="FFFFFF" w:themeColor="background1"/>
              </w:rPr>
              <w:t>; Hannah Gates, Homes England; Jo Allchurch, LGA</w:t>
            </w:r>
          </w:p>
          <w:p w:rsidR="00CC02A0" w:rsidRPr="00B53735" w:rsidRDefault="00CC02A0" w:rsidP="00F6297A">
            <w:pPr>
              <w:rPr>
                <w:rFonts w:cstheme="minorHAnsi"/>
                <w:color w:val="FFFFFF" w:themeColor="background1"/>
              </w:rPr>
            </w:pPr>
          </w:p>
          <w:p w:rsidR="00B613D2" w:rsidRPr="00745BAC" w:rsidRDefault="00B613D2" w:rsidP="00DC32DF">
            <w:pPr>
              <w:rPr>
                <w:rFonts w:cstheme="minorHAnsi"/>
                <w:color w:val="FFFFFF" w:themeColor="background1"/>
              </w:rPr>
            </w:pPr>
            <w:r w:rsidRPr="00B53735">
              <w:rPr>
                <w:rFonts w:cstheme="minorHAnsi"/>
                <w:b/>
                <w:color w:val="FFFFFF" w:themeColor="background1"/>
              </w:rPr>
              <w:t>Visitors</w:t>
            </w:r>
            <w:r w:rsidRPr="00B53735">
              <w:rPr>
                <w:rFonts w:cstheme="minorHAnsi"/>
                <w:color w:val="FFFFFF" w:themeColor="background1"/>
              </w:rPr>
              <w:t xml:space="preserve">: </w:t>
            </w:r>
            <w:r w:rsidR="00DC32DF">
              <w:rPr>
                <w:rFonts w:cstheme="minorHAnsi"/>
                <w:color w:val="FFFFFF" w:themeColor="background1"/>
              </w:rPr>
              <w:t>James Cooper</w:t>
            </w:r>
            <w:r w:rsidR="007636DB">
              <w:rPr>
                <w:rFonts w:cstheme="minorHAnsi"/>
                <w:color w:val="FFFFFF" w:themeColor="background1"/>
              </w:rPr>
              <w:t xml:space="preserve"> and Nick Edwards</w:t>
            </w:r>
            <w:r w:rsidR="00E54965">
              <w:rPr>
                <w:rFonts w:cstheme="minorHAnsi"/>
                <w:color w:val="FFFFFF" w:themeColor="background1"/>
              </w:rPr>
              <w:t xml:space="preserve">, Ilke Homes; </w:t>
            </w:r>
          </w:p>
        </w:tc>
      </w:tr>
      <w:tr w:rsidR="00C86D65" w:rsidRPr="00745BAC" w:rsidTr="00E338A1">
        <w:tc>
          <w:tcPr>
            <w:tcW w:w="1277" w:type="dxa"/>
            <w:shd w:val="clear" w:color="auto" w:fill="DBE5F1" w:themeFill="accent1" w:themeFillTint="33"/>
          </w:tcPr>
          <w:p w:rsidR="00C86D65" w:rsidRPr="00745BAC" w:rsidRDefault="00C86D65" w:rsidP="008719B0">
            <w:pPr>
              <w:jc w:val="center"/>
              <w:rPr>
                <w:b/>
              </w:rPr>
            </w:pPr>
            <w:r w:rsidRPr="00745BAC">
              <w:rPr>
                <w:b/>
              </w:rPr>
              <w:t>Reference</w:t>
            </w:r>
          </w:p>
        </w:tc>
        <w:tc>
          <w:tcPr>
            <w:tcW w:w="8901" w:type="dxa"/>
            <w:shd w:val="clear" w:color="auto" w:fill="DBE5F1" w:themeFill="accent1" w:themeFillTint="33"/>
          </w:tcPr>
          <w:p w:rsidR="00C86D65" w:rsidRPr="00745BAC" w:rsidRDefault="00C86D65" w:rsidP="002B184E">
            <w:pPr>
              <w:jc w:val="center"/>
              <w:rPr>
                <w:b/>
              </w:rPr>
            </w:pPr>
            <w:r>
              <w:rPr>
                <w:b/>
              </w:rPr>
              <w:t>Notes</w:t>
            </w:r>
          </w:p>
        </w:tc>
        <w:tc>
          <w:tcPr>
            <w:tcW w:w="3431" w:type="dxa"/>
            <w:shd w:val="clear" w:color="auto" w:fill="DBE5F1" w:themeFill="accent1" w:themeFillTint="33"/>
          </w:tcPr>
          <w:p w:rsidR="00C86D65" w:rsidRPr="00745BAC" w:rsidRDefault="00C86D65" w:rsidP="008719B0">
            <w:pPr>
              <w:jc w:val="center"/>
              <w:rPr>
                <w:b/>
              </w:rPr>
            </w:pPr>
            <w:r w:rsidRPr="00745BAC">
              <w:rPr>
                <w:b/>
              </w:rPr>
              <w:t>Action/Decision</w:t>
            </w:r>
          </w:p>
        </w:tc>
        <w:tc>
          <w:tcPr>
            <w:tcW w:w="992" w:type="dxa"/>
            <w:shd w:val="clear" w:color="auto" w:fill="DBE5F1" w:themeFill="accent1" w:themeFillTint="33"/>
          </w:tcPr>
          <w:p w:rsidR="00C86D65" w:rsidRPr="00745BAC" w:rsidRDefault="00C86D65" w:rsidP="00E9001C">
            <w:pPr>
              <w:jc w:val="center"/>
              <w:rPr>
                <w:b/>
              </w:rPr>
            </w:pPr>
            <w:r>
              <w:rPr>
                <w:b/>
              </w:rPr>
              <w:t xml:space="preserve">Lead </w:t>
            </w:r>
          </w:p>
        </w:tc>
        <w:tc>
          <w:tcPr>
            <w:tcW w:w="1418" w:type="dxa"/>
            <w:gridSpan w:val="2"/>
            <w:shd w:val="clear" w:color="auto" w:fill="DBE5F1" w:themeFill="accent1" w:themeFillTint="33"/>
          </w:tcPr>
          <w:p w:rsidR="00C86D65" w:rsidRPr="00745BAC" w:rsidRDefault="00C86D65" w:rsidP="008719B0">
            <w:pPr>
              <w:jc w:val="center"/>
              <w:rPr>
                <w:b/>
              </w:rPr>
            </w:pPr>
            <w:r w:rsidRPr="00E9001C">
              <w:rPr>
                <w:b/>
                <w:sz w:val="20"/>
              </w:rPr>
              <w:t>Timescale</w:t>
            </w:r>
          </w:p>
        </w:tc>
      </w:tr>
      <w:tr w:rsidR="00ED7756" w:rsidRPr="00745BAC" w:rsidTr="00E338A1">
        <w:tc>
          <w:tcPr>
            <w:tcW w:w="1277" w:type="dxa"/>
            <w:shd w:val="clear" w:color="auto" w:fill="auto"/>
          </w:tcPr>
          <w:p w:rsidR="00ED7756" w:rsidRPr="00C86D65" w:rsidRDefault="00ED7756" w:rsidP="00E54965">
            <w:pPr>
              <w:rPr>
                <w:b/>
              </w:rPr>
            </w:pPr>
            <w:r>
              <w:rPr>
                <w:b/>
              </w:rPr>
              <w:t>Ilke Homes</w:t>
            </w:r>
          </w:p>
        </w:tc>
        <w:tc>
          <w:tcPr>
            <w:tcW w:w="8901" w:type="dxa"/>
            <w:shd w:val="clear" w:color="auto" w:fill="auto"/>
          </w:tcPr>
          <w:p w:rsidR="00ED7756" w:rsidRDefault="007636DB" w:rsidP="00663A8B">
            <w:pPr>
              <w:jc w:val="both"/>
            </w:pPr>
            <w:r>
              <w:t xml:space="preserve">Summary of Presentation – </w:t>
            </w:r>
          </w:p>
          <w:p w:rsidR="007636DB" w:rsidRDefault="007636DB" w:rsidP="00663A8B">
            <w:pPr>
              <w:jc w:val="both"/>
            </w:pPr>
          </w:p>
          <w:p w:rsidR="007636DB" w:rsidRDefault="007636DB" w:rsidP="007636DB">
            <w:pPr>
              <w:pStyle w:val="ListParagraph"/>
              <w:numPr>
                <w:ilvl w:val="0"/>
                <w:numId w:val="12"/>
              </w:numPr>
              <w:jc w:val="both"/>
            </w:pPr>
            <w:r>
              <w:t>Skills shortage &amp; labour market are two of common barriers to delivery against the numbers of homes required by Government</w:t>
            </w:r>
          </w:p>
          <w:p w:rsidR="007636DB" w:rsidRDefault="007636DB" w:rsidP="007636DB">
            <w:pPr>
              <w:pStyle w:val="ListParagraph"/>
              <w:numPr>
                <w:ilvl w:val="0"/>
                <w:numId w:val="12"/>
              </w:numPr>
              <w:jc w:val="both"/>
            </w:pPr>
            <w:r>
              <w:t>Modular offers fixed build costs, H&amp;S quality checking, reduction in waste – all positives</w:t>
            </w:r>
          </w:p>
          <w:p w:rsidR="007636DB" w:rsidRDefault="007636DB" w:rsidP="007636DB">
            <w:pPr>
              <w:pStyle w:val="ListParagraph"/>
              <w:numPr>
                <w:ilvl w:val="0"/>
                <w:numId w:val="12"/>
              </w:numPr>
              <w:jc w:val="both"/>
            </w:pPr>
            <w:r>
              <w:t>Adding a new product to respond to the housing market</w:t>
            </w:r>
          </w:p>
          <w:p w:rsidR="007636DB" w:rsidRDefault="007636DB" w:rsidP="007636DB">
            <w:pPr>
              <w:pStyle w:val="ListParagraph"/>
              <w:numPr>
                <w:ilvl w:val="0"/>
                <w:numId w:val="12"/>
              </w:numPr>
              <w:jc w:val="both"/>
            </w:pPr>
            <w:r>
              <w:t>6 homes delivered each day</w:t>
            </w:r>
          </w:p>
          <w:p w:rsidR="007636DB" w:rsidRDefault="007636DB" w:rsidP="007636DB">
            <w:pPr>
              <w:pStyle w:val="ListParagraph"/>
              <w:numPr>
                <w:ilvl w:val="0"/>
                <w:numId w:val="12"/>
              </w:numPr>
              <w:jc w:val="both"/>
            </w:pPr>
            <w:r>
              <w:t>NHBC warranty and they are responding to the new method of construction</w:t>
            </w:r>
          </w:p>
          <w:p w:rsidR="007636DB" w:rsidRDefault="007636DB" w:rsidP="007636DB">
            <w:pPr>
              <w:pStyle w:val="ListParagraph"/>
              <w:numPr>
                <w:ilvl w:val="0"/>
                <w:numId w:val="12"/>
              </w:numPr>
              <w:jc w:val="both"/>
            </w:pPr>
            <w:r>
              <w:t>Company formed two years ago, all homes are mortgage able and insurable, satisfying the Council of Mortgage Lenders</w:t>
            </w:r>
          </w:p>
          <w:p w:rsidR="007636DB" w:rsidRDefault="007636DB" w:rsidP="007636DB">
            <w:pPr>
              <w:pStyle w:val="ListParagraph"/>
              <w:numPr>
                <w:ilvl w:val="0"/>
                <w:numId w:val="12"/>
              </w:numPr>
              <w:jc w:val="both"/>
            </w:pPr>
            <w:r>
              <w:t>Strong social purpose within Ilke Homes, local employment opportunities in low income area</w:t>
            </w:r>
          </w:p>
          <w:p w:rsidR="007636DB" w:rsidRDefault="007636DB" w:rsidP="007636DB">
            <w:pPr>
              <w:pStyle w:val="ListParagraph"/>
              <w:numPr>
                <w:ilvl w:val="0"/>
                <w:numId w:val="12"/>
              </w:numPr>
              <w:jc w:val="both"/>
            </w:pPr>
            <w:r>
              <w:t>Show homes are located in Galleons Reach, London, available to visit if required</w:t>
            </w:r>
          </w:p>
          <w:p w:rsidR="007636DB" w:rsidRDefault="007636DB" w:rsidP="007636DB">
            <w:pPr>
              <w:pStyle w:val="ListParagraph"/>
              <w:numPr>
                <w:ilvl w:val="0"/>
                <w:numId w:val="12"/>
              </w:numPr>
              <w:jc w:val="both"/>
            </w:pPr>
            <w:r>
              <w:t>Over 10,000 configurations of homes available from 4 platforms within the factory</w:t>
            </w:r>
          </w:p>
          <w:p w:rsidR="007636DB" w:rsidRDefault="007636DB" w:rsidP="007636DB">
            <w:pPr>
              <w:pStyle w:val="ListParagraph"/>
              <w:numPr>
                <w:ilvl w:val="0"/>
                <w:numId w:val="12"/>
              </w:numPr>
              <w:jc w:val="both"/>
            </w:pPr>
            <w:r>
              <w:t>Installation of services on site before delivery of units, can the commission switch on of services once building is in place</w:t>
            </w:r>
          </w:p>
          <w:p w:rsidR="007636DB" w:rsidRDefault="007636DB" w:rsidP="007636DB">
            <w:pPr>
              <w:pStyle w:val="ListParagraph"/>
              <w:numPr>
                <w:ilvl w:val="0"/>
                <w:numId w:val="12"/>
              </w:numPr>
              <w:jc w:val="both"/>
            </w:pPr>
            <w:r>
              <w:t>Attended CIH Manchester Conference, showcased modular homes</w:t>
            </w:r>
          </w:p>
          <w:p w:rsidR="007636DB" w:rsidRDefault="007636DB" w:rsidP="007636DB">
            <w:pPr>
              <w:pStyle w:val="ListParagraph"/>
              <w:numPr>
                <w:ilvl w:val="0"/>
                <w:numId w:val="12"/>
              </w:numPr>
              <w:jc w:val="both"/>
            </w:pPr>
            <w:r>
              <w:t>Digital design coming forward, digital twin for each home to know where everything is, wiring etc when putting in home décor.</w:t>
            </w:r>
          </w:p>
          <w:p w:rsidR="007636DB" w:rsidRDefault="007636DB" w:rsidP="007636DB">
            <w:pPr>
              <w:pStyle w:val="ListParagraph"/>
              <w:numPr>
                <w:ilvl w:val="0"/>
                <w:numId w:val="12"/>
              </w:numPr>
              <w:jc w:val="both"/>
            </w:pPr>
            <w:r>
              <w:t>Considering where the opportunities are for consortium working elsewhere in the UK, with potential to set up a smaller factory site – would need a min commitment of 1000 units per year over three years</w:t>
            </w:r>
          </w:p>
          <w:p w:rsidR="007636DB" w:rsidRDefault="007636DB" w:rsidP="007636DB">
            <w:pPr>
              <w:pStyle w:val="ListParagraph"/>
              <w:numPr>
                <w:ilvl w:val="0"/>
                <w:numId w:val="12"/>
              </w:numPr>
              <w:jc w:val="both"/>
            </w:pPr>
            <w:r>
              <w:t>Currently meeting C2 classification.</w:t>
            </w:r>
          </w:p>
          <w:p w:rsidR="007636DB" w:rsidRDefault="007636DB" w:rsidP="007636DB">
            <w:pPr>
              <w:pStyle w:val="ListParagraph"/>
              <w:numPr>
                <w:ilvl w:val="0"/>
                <w:numId w:val="12"/>
              </w:numPr>
              <w:jc w:val="both"/>
            </w:pPr>
            <w:r>
              <w:t>Can develop and delivery apartment blocks up to 6 stories high</w:t>
            </w:r>
          </w:p>
        </w:tc>
        <w:tc>
          <w:tcPr>
            <w:tcW w:w="3431" w:type="dxa"/>
            <w:shd w:val="clear" w:color="auto" w:fill="auto"/>
          </w:tcPr>
          <w:p w:rsidR="00ED7756" w:rsidRDefault="007636DB" w:rsidP="008719B0">
            <w:pPr>
              <w:jc w:val="both"/>
            </w:pPr>
            <w:r>
              <w:t>We Transfer presentation link to be shared, must be downloaded by 24 July 2018</w:t>
            </w:r>
          </w:p>
          <w:p w:rsidR="007636DB" w:rsidRDefault="007636DB" w:rsidP="008719B0">
            <w:pPr>
              <w:jc w:val="both"/>
            </w:pPr>
          </w:p>
          <w:p w:rsidR="007636DB" w:rsidRDefault="007636DB" w:rsidP="008719B0">
            <w:pPr>
              <w:jc w:val="both"/>
            </w:pPr>
            <w:r>
              <w:t>To arrange a site visit to the show homes in London or site visit to the Factory please contact James Cooper or Nick Edwards</w:t>
            </w:r>
          </w:p>
        </w:tc>
        <w:tc>
          <w:tcPr>
            <w:tcW w:w="992" w:type="dxa"/>
            <w:shd w:val="clear" w:color="auto" w:fill="auto"/>
          </w:tcPr>
          <w:p w:rsidR="00ED7756" w:rsidRDefault="007636DB" w:rsidP="008719B0">
            <w:pPr>
              <w:jc w:val="both"/>
              <w:rPr>
                <w:b/>
              </w:rPr>
            </w:pPr>
            <w:r>
              <w:rPr>
                <w:b/>
              </w:rPr>
              <w:t>RS</w:t>
            </w:r>
          </w:p>
          <w:p w:rsidR="007636DB" w:rsidRDefault="007636DB" w:rsidP="008719B0">
            <w:pPr>
              <w:jc w:val="both"/>
              <w:rPr>
                <w:b/>
              </w:rPr>
            </w:pPr>
          </w:p>
          <w:p w:rsidR="007636DB" w:rsidRDefault="007636DB" w:rsidP="008719B0">
            <w:pPr>
              <w:jc w:val="both"/>
              <w:rPr>
                <w:b/>
              </w:rPr>
            </w:pPr>
          </w:p>
          <w:p w:rsidR="007636DB" w:rsidRDefault="007636DB" w:rsidP="008719B0">
            <w:pPr>
              <w:jc w:val="both"/>
              <w:rPr>
                <w:b/>
              </w:rPr>
            </w:pPr>
          </w:p>
          <w:p w:rsidR="007636DB" w:rsidRDefault="007636DB" w:rsidP="008719B0">
            <w:pPr>
              <w:jc w:val="both"/>
              <w:rPr>
                <w:b/>
              </w:rPr>
            </w:pPr>
            <w:r>
              <w:rPr>
                <w:b/>
              </w:rPr>
              <w:t>ALL</w:t>
            </w:r>
          </w:p>
        </w:tc>
        <w:tc>
          <w:tcPr>
            <w:tcW w:w="1418" w:type="dxa"/>
            <w:gridSpan w:val="2"/>
            <w:shd w:val="clear" w:color="auto" w:fill="auto"/>
          </w:tcPr>
          <w:p w:rsidR="00ED7756" w:rsidRDefault="007636DB" w:rsidP="008719B0">
            <w:pPr>
              <w:jc w:val="both"/>
              <w:rPr>
                <w:b/>
                <w:color w:val="FF0000"/>
              </w:rPr>
            </w:pPr>
            <w:r>
              <w:rPr>
                <w:b/>
                <w:color w:val="FF0000"/>
              </w:rPr>
              <w:t>By 18</w:t>
            </w:r>
            <w:r w:rsidRPr="007636DB">
              <w:rPr>
                <w:b/>
                <w:color w:val="FF0000"/>
                <w:vertAlign w:val="superscript"/>
              </w:rPr>
              <w:t>th</w:t>
            </w:r>
            <w:r>
              <w:rPr>
                <w:b/>
                <w:color w:val="FF0000"/>
              </w:rPr>
              <w:t xml:space="preserve"> July</w:t>
            </w:r>
          </w:p>
          <w:p w:rsidR="007636DB" w:rsidRDefault="007636DB" w:rsidP="008719B0">
            <w:pPr>
              <w:jc w:val="both"/>
              <w:rPr>
                <w:b/>
                <w:color w:val="FF0000"/>
              </w:rPr>
            </w:pPr>
          </w:p>
          <w:p w:rsidR="007636DB" w:rsidRDefault="007636DB" w:rsidP="008719B0">
            <w:pPr>
              <w:jc w:val="both"/>
              <w:rPr>
                <w:b/>
                <w:color w:val="FF0000"/>
              </w:rPr>
            </w:pPr>
          </w:p>
          <w:p w:rsidR="007636DB" w:rsidRDefault="007636DB" w:rsidP="008719B0">
            <w:pPr>
              <w:jc w:val="both"/>
              <w:rPr>
                <w:b/>
                <w:color w:val="FF0000"/>
              </w:rPr>
            </w:pPr>
          </w:p>
          <w:p w:rsidR="007636DB" w:rsidRDefault="007636DB" w:rsidP="008719B0">
            <w:pPr>
              <w:jc w:val="both"/>
              <w:rPr>
                <w:b/>
                <w:color w:val="FF0000"/>
              </w:rPr>
            </w:pPr>
            <w:r>
              <w:rPr>
                <w:b/>
                <w:color w:val="FF0000"/>
              </w:rPr>
              <w:t>As required</w:t>
            </w:r>
          </w:p>
        </w:tc>
      </w:tr>
      <w:tr w:rsidR="00C86D65" w:rsidRPr="00745BAC" w:rsidTr="00E338A1">
        <w:tc>
          <w:tcPr>
            <w:tcW w:w="1277" w:type="dxa"/>
            <w:shd w:val="clear" w:color="auto" w:fill="auto"/>
          </w:tcPr>
          <w:p w:rsidR="00C86D65" w:rsidRPr="00C86D65" w:rsidRDefault="00C86D65" w:rsidP="00E54965">
            <w:pPr>
              <w:rPr>
                <w:b/>
              </w:rPr>
            </w:pPr>
            <w:r w:rsidRPr="00C86D65">
              <w:rPr>
                <w:b/>
              </w:rPr>
              <w:lastRenderedPageBreak/>
              <w:t>Minute</w:t>
            </w:r>
            <w:r w:rsidR="002F5ABE">
              <w:rPr>
                <w:b/>
              </w:rPr>
              <w:t xml:space="preserve">s and Matters Arising </w:t>
            </w:r>
            <w:r w:rsidR="00E54965">
              <w:rPr>
                <w:b/>
              </w:rPr>
              <w:t>January</w:t>
            </w:r>
            <w:r w:rsidR="00E95A57">
              <w:rPr>
                <w:b/>
              </w:rPr>
              <w:t xml:space="preserve"> 201</w:t>
            </w:r>
            <w:r w:rsidR="00CC02A0">
              <w:rPr>
                <w:b/>
              </w:rPr>
              <w:t>8</w:t>
            </w:r>
          </w:p>
        </w:tc>
        <w:tc>
          <w:tcPr>
            <w:tcW w:w="8901" w:type="dxa"/>
            <w:shd w:val="clear" w:color="auto" w:fill="auto"/>
          </w:tcPr>
          <w:p w:rsidR="006A44D8" w:rsidRDefault="006435FF" w:rsidP="00663A8B">
            <w:pPr>
              <w:jc w:val="both"/>
            </w:pPr>
            <w:r>
              <w:t xml:space="preserve">Page 1 – RS to go back to November notes.  </w:t>
            </w:r>
          </w:p>
          <w:p w:rsidR="006435FF" w:rsidRDefault="006435FF" w:rsidP="00663A8B">
            <w:pPr>
              <w:jc w:val="both"/>
            </w:pPr>
          </w:p>
          <w:p w:rsidR="006435FF" w:rsidRDefault="006435FF" w:rsidP="00663A8B">
            <w:pPr>
              <w:jc w:val="both"/>
            </w:pPr>
            <w:r>
              <w:t>RS updated that the MH work will be picked up through work streams under a new potential Health sub group for KHG, now that JPPB has agreed to dissolved, KHG will pick up any new objectives from Kent Public Health.</w:t>
            </w:r>
          </w:p>
          <w:p w:rsidR="006435FF" w:rsidRDefault="006435FF" w:rsidP="00663A8B">
            <w:pPr>
              <w:jc w:val="both"/>
            </w:pPr>
          </w:p>
          <w:p w:rsidR="006435FF" w:rsidRDefault="006435FF" w:rsidP="00663A8B">
            <w:pPr>
              <w:jc w:val="both"/>
            </w:pPr>
            <w:r>
              <w:t>The Kent Accommodation Strategy refresh is due to be completed by September 2018.  Christy Holden, KCC will have contacted districts about any outstanding information required for the refresh.</w:t>
            </w:r>
          </w:p>
          <w:p w:rsidR="006435FF" w:rsidRDefault="006435FF" w:rsidP="00663A8B">
            <w:pPr>
              <w:jc w:val="both"/>
            </w:pPr>
          </w:p>
          <w:p w:rsidR="006435FF" w:rsidRDefault="006435FF" w:rsidP="00663A8B">
            <w:pPr>
              <w:jc w:val="both"/>
            </w:pPr>
            <w:r>
              <w:t xml:space="preserve">Minutes </w:t>
            </w:r>
            <w:r w:rsidR="00ED7756">
              <w:t>agreed as accurate.</w:t>
            </w:r>
          </w:p>
          <w:p w:rsidR="006435FF" w:rsidRPr="00745BAC" w:rsidRDefault="006435FF" w:rsidP="00663A8B">
            <w:pPr>
              <w:jc w:val="both"/>
            </w:pPr>
          </w:p>
        </w:tc>
        <w:tc>
          <w:tcPr>
            <w:tcW w:w="3431" w:type="dxa"/>
            <w:shd w:val="clear" w:color="auto" w:fill="auto"/>
          </w:tcPr>
          <w:p w:rsidR="00C86D65" w:rsidRDefault="006435FF" w:rsidP="008719B0">
            <w:pPr>
              <w:jc w:val="both"/>
            </w:pPr>
            <w:r>
              <w:t>RS to note and action if relevant</w:t>
            </w:r>
          </w:p>
          <w:p w:rsidR="006435FF" w:rsidRDefault="006435FF" w:rsidP="008719B0">
            <w:pPr>
              <w:jc w:val="both"/>
            </w:pPr>
          </w:p>
          <w:p w:rsidR="006435FF" w:rsidRDefault="006435FF" w:rsidP="008719B0">
            <w:pPr>
              <w:jc w:val="both"/>
            </w:pPr>
            <w:r>
              <w:t>RS to feedback progress with Kent Public Health and links to HSEG for outcomes.</w:t>
            </w:r>
          </w:p>
          <w:p w:rsidR="006435FF" w:rsidRDefault="006435FF" w:rsidP="008719B0">
            <w:pPr>
              <w:jc w:val="both"/>
            </w:pPr>
          </w:p>
          <w:p w:rsidR="006435FF" w:rsidRPr="00745BAC" w:rsidRDefault="006435FF" w:rsidP="008719B0">
            <w:pPr>
              <w:jc w:val="both"/>
            </w:pPr>
          </w:p>
        </w:tc>
        <w:tc>
          <w:tcPr>
            <w:tcW w:w="992" w:type="dxa"/>
            <w:shd w:val="clear" w:color="auto" w:fill="auto"/>
          </w:tcPr>
          <w:p w:rsidR="00C86D65" w:rsidRDefault="006435FF" w:rsidP="008719B0">
            <w:pPr>
              <w:jc w:val="both"/>
              <w:rPr>
                <w:b/>
              </w:rPr>
            </w:pPr>
            <w:r>
              <w:rPr>
                <w:b/>
              </w:rPr>
              <w:t>RS</w:t>
            </w:r>
          </w:p>
          <w:p w:rsidR="006435FF" w:rsidRDefault="006435FF" w:rsidP="008719B0">
            <w:pPr>
              <w:jc w:val="both"/>
              <w:rPr>
                <w:b/>
              </w:rPr>
            </w:pPr>
          </w:p>
          <w:p w:rsidR="006435FF" w:rsidRPr="0044468F" w:rsidRDefault="006435FF" w:rsidP="008719B0">
            <w:pPr>
              <w:jc w:val="both"/>
              <w:rPr>
                <w:b/>
              </w:rPr>
            </w:pPr>
            <w:r>
              <w:rPr>
                <w:b/>
              </w:rPr>
              <w:t>RS</w:t>
            </w:r>
          </w:p>
        </w:tc>
        <w:tc>
          <w:tcPr>
            <w:tcW w:w="1418" w:type="dxa"/>
            <w:gridSpan w:val="2"/>
            <w:shd w:val="clear" w:color="auto" w:fill="auto"/>
          </w:tcPr>
          <w:p w:rsidR="00C86D65" w:rsidRDefault="006435FF" w:rsidP="008719B0">
            <w:pPr>
              <w:jc w:val="both"/>
              <w:rPr>
                <w:b/>
                <w:color w:val="FF0000"/>
              </w:rPr>
            </w:pPr>
            <w:r>
              <w:rPr>
                <w:b/>
                <w:color w:val="FF0000"/>
              </w:rPr>
              <w:t>By 23</w:t>
            </w:r>
            <w:r w:rsidRPr="006435FF">
              <w:rPr>
                <w:b/>
                <w:color w:val="FF0000"/>
                <w:vertAlign w:val="superscript"/>
              </w:rPr>
              <w:t>rd</w:t>
            </w:r>
            <w:r>
              <w:rPr>
                <w:b/>
                <w:color w:val="FF0000"/>
              </w:rPr>
              <w:t xml:space="preserve"> July</w:t>
            </w:r>
          </w:p>
          <w:p w:rsidR="006435FF" w:rsidRDefault="006435FF" w:rsidP="008719B0">
            <w:pPr>
              <w:jc w:val="both"/>
              <w:rPr>
                <w:b/>
                <w:color w:val="FF0000"/>
              </w:rPr>
            </w:pPr>
          </w:p>
          <w:p w:rsidR="006435FF" w:rsidRPr="0044468F" w:rsidRDefault="006435FF" w:rsidP="008719B0">
            <w:pPr>
              <w:jc w:val="both"/>
              <w:rPr>
                <w:b/>
                <w:color w:val="FF0000"/>
              </w:rPr>
            </w:pPr>
            <w:r>
              <w:rPr>
                <w:b/>
                <w:color w:val="FF0000"/>
              </w:rPr>
              <w:t>By September</w:t>
            </w:r>
          </w:p>
        </w:tc>
      </w:tr>
      <w:tr w:rsidR="00C86D65" w:rsidRPr="00745BAC" w:rsidTr="00E338A1">
        <w:trPr>
          <w:trHeight w:val="630"/>
        </w:trPr>
        <w:tc>
          <w:tcPr>
            <w:tcW w:w="1277" w:type="dxa"/>
            <w:shd w:val="clear" w:color="auto" w:fill="auto"/>
          </w:tcPr>
          <w:p w:rsidR="00C86D65" w:rsidRPr="00C86D65" w:rsidRDefault="00E54965" w:rsidP="008719B0">
            <w:pPr>
              <w:rPr>
                <w:b/>
              </w:rPr>
            </w:pPr>
            <w:r>
              <w:rPr>
                <w:b/>
              </w:rPr>
              <w:t>Help to Buy Agent</w:t>
            </w:r>
          </w:p>
        </w:tc>
        <w:tc>
          <w:tcPr>
            <w:tcW w:w="8901" w:type="dxa"/>
            <w:shd w:val="clear" w:color="auto" w:fill="auto"/>
          </w:tcPr>
          <w:p w:rsidR="006A44D8" w:rsidRDefault="00E54965" w:rsidP="006A44D8">
            <w:pPr>
              <w:jc w:val="both"/>
            </w:pPr>
            <w:r>
              <w:t xml:space="preserve">JG unable to </w:t>
            </w:r>
            <w:r w:rsidR="007636DB">
              <w:t>attend;</w:t>
            </w:r>
            <w:r>
              <w:t xml:space="preserve"> update to be shared at October meeting. Information about H2B event in November shared ahead of the meeting via email.</w:t>
            </w:r>
          </w:p>
          <w:p w:rsidR="00E338A1" w:rsidRDefault="00E338A1" w:rsidP="006A44D8">
            <w:pPr>
              <w:jc w:val="both"/>
            </w:pPr>
          </w:p>
          <w:p w:rsidR="00E338A1" w:rsidRDefault="00E338A1" w:rsidP="006A44D8">
            <w:pPr>
              <w:jc w:val="both"/>
            </w:pPr>
            <w:r>
              <w:t>LC mentioned that H2B contract ends March 2019, JG to feedback any news about the process going forward from this.</w:t>
            </w:r>
          </w:p>
          <w:p w:rsidR="00E338A1" w:rsidRPr="00745BAC" w:rsidRDefault="00E338A1" w:rsidP="006A44D8">
            <w:pPr>
              <w:jc w:val="both"/>
            </w:pPr>
          </w:p>
        </w:tc>
        <w:tc>
          <w:tcPr>
            <w:tcW w:w="3431" w:type="dxa"/>
            <w:shd w:val="clear" w:color="auto" w:fill="auto"/>
          </w:tcPr>
          <w:p w:rsidR="006A44D8" w:rsidRDefault="00E338A1" w:rsidP="00D131A0">
            <w:pPr>
              <w:jc w:val="both"/>
            </w:pPr>
            <w:r>
              <w:t>Colleagues to contact JG if any leaflets for event required.</w:t>
            </w:r>
          </w:p>
          <w:p w:rsidR="00ED7756" w:rsidRDefault="00ED7756" w:rsidP="00D131A0">
            <w:pPr>
              <w:jc w:val="both"/>
            </w:pPr>
          </w:p>
          <w:p w:rsidR="00ED7756" w:rsidRDefault="00ED7756" w:rsidP="00D131A0">
            <w:pPr>
              <w:jc w:val="both"/>
            </w:pPr>
            <w:r>
              <w:t>JG to note for feedback</w:t>
            </w:r>
          </w:p>
          <w:p w:rsidR="00E338A1" w:rsidRDefault="00E338A1" w:rsidP="00D131A0">
            <w:pPr>
              <w:jc w:val="both"/>
            </w:pPr>
          </w:p>
          <w:p w:rsidR="00E338A1" w:rsidRPr="00745BAC" w:rsidRDefault="00E338A1" w:rsidP="00D131A0">
            <w:pPr>
              <w:jc w:val="both"/>
            </w:pPr>
          </w:p>
        </w:tc>
        <w:tc>
          <w:tcPr>
            <w:tcW w:w="992" w:type="dxa"/>
            <w:shd w:val="clear" w:color="auto" w:fill="auto"/>
          </w:tcPr>
          <w:p w:rsidR="006A44D8" w:rsidRDefault="00E338A1" w:rsidP="00D131A0">
            <w:pPr>
              <w:jc w:val="both"/>
              <w:rPr>
                <w:b/>
              </w:rPr>
            </w:pPr>
            <w:r>
              <w:rPr>
                <w:b/>
              </w:rPr>
              <w:t>ALL</w:t>
            </w:r>
          </w:p>
          <w:p w:rsidR="00ED7756" w:rsidRDefault="00ED7756" w:rsidP="00D131A0">
            <w:pPr>
              <w:jc w:val="both"/>
              <w:rPr>
                <w:b/>
              </w:rPr>
            </w:pPr>
          </w:p>
          <w:p w:rsidR="00ED7756" w:rsidRDefault="00ED7756" w:rsidP="00D131A0">
            <w:pPr>
              <w:jc w:val="both"/>
              <w:rPr>
                <w:b/>
              </w:rPr>
            </w:pPr>
          </w:p>
          <w:p w:rsidR="00ED7756" w:rsidRPr="0044468F" w:rsidRDefault="00ED7756" w:rsidP="00D131A0">
            <w:pPr>
              <w:jc w:val="both"/>
              <w:rPr>
                <w:b/>
              </w:rPr>
            </w:pPr>
            <w:r>
              <w:rPr>
                <w:b/>
              </w:rPr>
              <w:t>JG</w:t>
            </w:r>
          </w:p>
        </w:tc>
        <w:tc>
          <w:tcPr>
            <w:tcW w:w="1418" w:type="dxa"/>
            <w:gridSpan w:val="2"/>
            <w:shd w:val="clear" w:color="auto" w:fill="auto"/>
          </w:tcPr>
          <w:p w:rsidR="00371ECA" w:rsidRDefault="00E338A1" w:rsidP="00F85B9E">
            <w:pPr>
              <w:rPr>
                <w:b/>
                <w:color w:val="FF0000"/>
              </w:rPr>
            </w:pPr>
            <w:r>
              <w:rPr>
                <w:b/>
                <w:color w:val="FF0000"/>
              </w:rPr>
              <w:t>AS required</w:t>
            </w:r>
          </w:p>
          <w:p w:rsidR="00ED7756" w:rsidRDefault="00ED7756" w:rsidP="00F85B9E">
            <w:pPr>
              <w:rPr>
                <w:b/>
                <w:color w:val="FF0000"/>
              </w:rPr>
            </w:pPr>
          </w:p>
          <w:p w:rsidR="00ED7756" w:rsidRDefault="00ED7756" w:rsidP="00F85B9E">
            <w:pPr>
              <w:rPr>
                <w:b/>
                <w:color w:val="FF0000"/>
              </w:rPr>
            </w:pPr>
          </w:p>
          <w:p w:rsidR="00ED7756" w:rsidRPr="0044468F" w:rsidRDefault="00ED7756" w:rsidP="00F85B9E">
            <w:pPr>
              <w:rPr>
                <w:b/>
                <w:color w:val="FF0000"/>
              </w:rPr>
            </w:pPr>
            <w:r>
              <w:rPr>
                <w:b/>
                <w:color w:val="FF0000"/>
              </w:rPr>
              <w:t>As available</w:t>
            </w:r>
          </w:p>
        </w:tc>
      </w:tr>
      <w:tr w:rsidR="00C86D65" w:rsidRPr="00745BAC" w:rsidTr="00E338A1">
        <w:tc>
          <w:tcPr>
            <w:tcW w:w="1277" w:type="dxa"/>
            <w:shd w:val="clear" w:color="auto" w:fill="auto"/>
          </w:tcPr>
          <w:p w:rsidR="00C86D65" w:rsidRPr="00C86D65" w:rsidRDefault="00E54965" w:rsidP="008719B0">
            <w:pPr>
              <w:rPr>
                <w:b/>
              </w:rPr>
            </w:pPr>
            <w:r>
              <w:rPr>
                <w:b/>
              </w:rPr>
              <w:t>Rural Housing Enabler</w:t>
            </w:r>
          </w:p>
        </w:tc>
        <w:tc>
          <w:tcPr>
            <w:tcW w:w="8901" w:type="dxa"/>
            <w:shd w:val="clear" w:color="auto" w:fill="auto"/>
          </w:tcPr>
          <w:p w:rsidR="00E338A1" w:rsidRDefault="00E338A1" w:rsidP="002D569F">
            <w:pPr>
              <w:jc w:val="both"/>
            </w:pPr>
            <w:r>
              <w:t xml:space="preserve">11 Housing Needs Surveys, ERHA have planning on a scheme in Frawley, ToS doing site searches in ten areas currently.  There have been two events in West Kent on the Community Led </w:t>
            </w:r>
            <w:r w:rsidR="00496B15">
              <w:t>Housing;</w:t>
            </w:r>
            <w:r>
              <w:t xml:space="preserve"> the new prospectus is now available from Government.  ToS provided an overview of her role and Community Led Housing.  Community Land Trusts, there are different models available.</w:t>
            </w:r>
          </w:p>
          <w:p w:rsidR="00E338A1" w:rsidRDefault="00E338A1" w:rsidP="002D569F">
            <w:pPr>
              <w:jc w:val="both"/>
            </w:pPr>
          </w:p>
          <w:p w:rsidR="00E338A1" w:rsidRDefault="00E338A1" w:rsidP="002D569F">
            <w:pPr>
              <w:jc w:val="both"/>
            </w:pPr>
            <w:r>
              <w:t xml:space="preserve">LA’s had the Community Housing Fund allocated recently, to put into Community Led Housing, in West Kent monies have been pooled to promote CLH.  HA’s and LA’s working on CLH, as can groups can apply directly now through Homes England for funding.  </w:t>
            </w:r>
            <w:r w:rsidR="00771CFD">
              <w:t xml:space="preserve">  Popular with elected members in Tunbridge Wells.  </w:t>
            </w:r>
          </w:p>
          <w:p w:rsidR="00E338A1" w:rsidRPr="00745BAC" w:rsidRDefault="00E338A1" w:rsidP="002D569F">
            <w:pPr>
              <w:jc w:val="both"/>
            </w:pPr>
          </w:p>
        </w:tc>
        <w:tc>
          <w:tcPr>
            <w:tcW w:w="3431" w:type="dxa"/>
            <w:shd w:val="clear" w:color="auto" w:fill="auto"/>
          </w:tcPr>
          <w:p w:rsidR="00AB0CAA" w:rsidRDefault="00E338A1" w:rsidP="00D131A0">
            <w:pPr>
              <w:jc w:val="both"/>
              <w:rPr>
                <w:b/>
              </w:rPr>
            </w:pPr>
            <w:r>
              <w:rPr>
                <w:b/>
              </w:rPr>
              <w:t xml:space="preserve">RS to share link to prospectus for the Community Led Housing </w:t>
            </w:r>
            <w:r w:rsidR="00496B15">
              <w:rPr>
                <w:b/>
              </w:rPr>
              <w:t>–</w:t>
            </w:r>
          </w:p>
          <w:p w:rsidR="00496B15" w:rsidRDefault="00496B15" w:rsidP="00D131A0">
            <w:pPr>
              <w:jc w:val="both"/>
              <w:rPr>
                <w:b/>
              </w:rPr>
            </w:pPr>
            <w:hyperlink r:id="rId8" w:history="1">
              <w:r w:rsidRPr="00804123">
                <w:rPr>
                  <w:rStyle w:val="Hyperlink"/>
                  <w:b/>
                </w:rPr>
                <w:t>https://www.gov.uk/government/publications/community-housing-fund-prospectus</w:t>
              </w:r>
            </w:hyperlink>
          </w:p>
          <w:p w:rsidR="00496B15" w:rsidRPr="00AA7D59" w:rsidRDefault="00496B15" w:rsidP="00D131A0">
            <w:pPr>
              <w:jc w:val="both"/>
              <w:rPr>
                <w:b/>
              </w:rPr>
            </w:pPr>
          </w:p>
        </w:tc>
        <w:tc>
          <w:tcPr>
            <w:tcW w:w="992" w:type="dxa"/>
            <w:shd w:val="clear" w:color="auto" w:fill="auto"/>
          </w:tcPr>
          <w:p w:rsidR="00C86D65" w:rsidRPr="0044468F" w:rsidRDefault="00E338A1" w:rsidP="00D131A0">
            <w:pPr>
              <w:jc w:val="both"/>
              <w:rPr>
                <w:b/>
              </w:rPr>
            </w:pPr>
            <w:r>
              <w:rPr>
                <w:b/>
              </w:rPr>
              <w:t>RS</w:t>
            </w:r>
          </w:p>
        </w:tc>
        <w:tc>
          <w:tcPr>
            <w:tcW w:w="1418" w:type="dxa"/>
            <w:gridSpan w:val="2"/>
            <w:shd w:val="clear" w:color="auto" w:fill="auto"/>
          </w:tcPr>
          <w:p w:rsidR="00C86D65" w:rsidRPr="0044468F" w:rsidRDefault="00E338A1" w:rsidP="00EE5454">
            <w:pPr>
              <w:jc w:val="both"/>
              <w:rPr>
                <w:b/>
                <w:color w:val="FF0000"/>
              </w:rPr>
            </w:pPr>
            <w:r>
              <w:rPr>
                <w:b/>
                <w:color w:val="FF0000"/>
              </w:rPr>
              <w:t>By 23</w:t>
            </w:r>
            <w:r w:rsidRPr="00E338A1">
              <w:rPr>
                <w:b/>
                <w:color w:val="FF0000"/>
                <w:vertAlign w:val="superscript"/>
              </w:rPr>
              <w:t>rd</w:t>
            </w:r>
            <w:r>
              <w:rPr>
                <w:b/>
                <w:color w:val="FF0000"/>
              </w:rPr>
              <w:t xml:space="preserve"> July</w:t>
            </w:r>
          </w:p>
        </w:tc>
      </w:tr>
      <w:tr w:rsidR="00C86D65" w:rsidRPr="00745BAC" w:rsidTr="00E338A1">
        <w:tc>
          <w:tcPr>
            <w:tcW w:w="1277" w:type="dxa"/>
            <w:shd w:val="clear" w:color="auto" w:fill="auto"/>
          </w:tcPr>
          <w:p w:rsidR="00C86D65" w:rsidRPr="00C86D65" w:rsidRDefault="00E54965" w:rsidP="008719B0">
            <w:pPr>
              <w:rPr>
                <w:b/>
              </w:rPr>
            </w:pPr>
            <w:r>
              <w:rPr>
                <w:b/>
              </w:rPr>
              <w:t>KHG Update</w:t>
            </w:r>
          </w:p>
        </w:tc>
        <w:tc>
          <w:tcPr>
            <w:tcW w:w="8901" w:type="dxa"/>
            <w:shd w:val="clear" w:color="auto" w:fill="auto"/>
          </w:tcPr>
          <w:p w:rsidR="00A0161B" w:rsidRDefault="00DC32DF" w:rsidP="00C263CF">
            <w:pPr>
              <w:tabs>
                <w:tab w:val="left" w:pos="4420"/>
              </w:tabs>
              <w:jc w:val="both"/>
            </w:pPr>
            <w:r>
              <w:t>Written update to be provided with the action log.</w:t>
            </w:r>
          </w:p>
        </w:tc>
        <w:tc>
          <w:tcPr>
            <w:tcW w:w="3431" w:type="dxa"/>
            <w:shd w:val="clear" w:color="auto" w:fill="auto"/>
          </w:tcPr>
          <w:p w:rsidR="00C86D65" w:rsidRPr="00AA7D59" w:rsidRDefault="00DC32DF" w:rsidP="00F85B9E">
            <w:pPr>
              <w:rPr>
                <w:b/>
              </w:rPr>
            </w:pPr>
            <w:r>
              <w:rPr>
                <w:b/>
              </w:rPr>
              <w:t>RS to share with action log</w:t>
            </w:r>
          </w:p>
        </w:tc>
        <w:tc>
          <w:tcPr>
            <w:tcW w:w="992" w:type="dxa"/>
            <w:shd w:val="clear" w:color="auto" w:fill="auto"/>
          </w:tcPr>
          <w:p w:rsidR="00C86D65" w:rsidRDefault="00DC32DF" w:rsidP="00D131A0">
            <w:pPr>
              <w:jc w:val="both"/>
              <w:rPr>
                <w:b/>
              </w:rPr>
            </w:pPr>
            <w:r>
              <w:rPr>
                <w:b/>
              </w:rPr>
              <w:t>RS</w:t>
            </w:r>
          </w:p>
        </w:tc>
        <w:tc>
          <w:tcPr>
            <w:tcW w:w="1418" w:type="dxa"/>
            <w:gridSpan w:val="2"/>
            <w:shd w:val="clear" w:color="auto" w:fill="auto"/>
          </w:tcPr>
          <w:p w:rsidR="00C86D65" w:rsidRDefault="00DC32DF" w:rsidP="00EE5454">
            <w:pPr>
              <w:jc w:val="both"/>
              <w:rPr>
                <w:b/>
                <w:color w:val="FF0000"/>
              </w:rPr>
            </w:pPr>
            <w:r>
              <w:rPr>
                <w:b/>
                <w:color w:val="FF0000"/>
              </w:rPr>
              <w:t>By 20/7</w:t>
            </w:r>
          </w:p>
        </w:tc>
      </w:tr>
      <w:tr w:rsidR="00C86D65" w:rsidRPr="00745BAC" w:rsidTr="00E338A1">
        <w:tc>
          <w:tcPr>
            <w:tcW w:w="1277" w:type="dxa"/>
            <w:shd w:val="clear" w:color="auto" w:fill="auto"/>
          </w:tcPr>
          <w:p w:rsidR="00C86D65" w:rsidRPr="00C86D65" w:rsidRDefault="00E54965" w:rsidP="008719B0">
            <w:pPr>
              <w:rPr>
                <w:b/>
              </w:rPr>
            </w:pPr>
            <w:r>
              <w:rPr>
                <w:b/>
              </w:rPr>
              <w:t>HSEG Table of Products</w:t>
            </w:r>
          </w:p>
        </w:tc>
        <w:tc>
          <w:tcPr>
            <w:tcW w:w="8901" w:type="dxa"/>
            <w:shd w:val="clear" w:color="auto" w:fill="auto"/>
          </w:tcPr>
          <w:p w:rsidR="00AD377B" w:rsidRDefault="00B67A25" w:rsidP="00E812C0">
            <w:pPr>
              <w:jc w:val="both"/>
            </w:pPr>
            <w:r>
              <w:t>Table was not updated as no new products at last meeting.  Any updates to be shared with RS.</w:t>
            </w:r>
          </w:p>
          <w:p w:rsidR="00646574" w:rsidRDefault="00646574" w:rsidP="00E812C0">
            <w:pPr>
              <w:jc w:val="both"/>
            </w:pPr>
          </w:p>
          <w:p w:rsidR="00646574" w:rsidRPr="00745BAC" w:rsidRDefault="00646574" w:rsidP="00496B15">
            <w:pPr>
              <w:jc w:val="both"/>
            </w:pPr>
            <w:r>
              <w:t xml:space="preserve">RS to add Sage to the list.  </w:t>
            </w:r>
            <w:r w:rsidR="00496B15">
              <w:t>In addition,</w:t>
            </w:r>
            <w:r>
              <w:t xml:space="preserve"> Community Led Housing affordable product, with 20% discount of full market value, similar to starter homes but the discount will also remain.  Listed in the new NPPF consultation, suggested new products to add to the list once NPPF finalised.</w:t>
            </w:r>
          </w:p>
        </w:tc>
        <w:tc>
          <w:tcPr>
            <w:tcW w:w="3431" w:type="dxa"/>
            <w:shd w:val="clear" w:color="auto" w:fill="auto"/>
          </w:tcPr>
          <w:p w:rsidR="00E812C0" w:rsidRDefault="00B67A25" w:rsidP="009C0E21">
            <w:pPr>
              <w:jc w:val="both"/>
              <w:rPr>
                <w:b/>
              </w:rPr>
            </w:pPr>
            <w:r>
              <w:rPr>
                <w:b/>
              </w:rPr>
              <w:t>All to note and action as required</w:t>
            </w:r>
          </w:p>
          <w:p w:rsidR="00646574" w:rsidRDefault="00646574" w:rsidP="009C0E21">
            <w:pPr>
              <w:jc w:val="both"/>
              <w:rPr>
                <w:b/>
              </w:rPr>
            </w:pPr>
          </w:p>
          <w:p w:rsidR="00646574" w:rsidRDefault="00646574" w:rsidP="009C0E21">
            <w:pPr>
              <w:jc w:val="both"/>
              <w:rPr>
                <w:b/>
              </w:rPr>
            </w:pPr>
          </w:p>
          <w:p w:rsidR="00646574" w:rsidRPr="008719B0" w:rsidRDefault="00646574" w:rsidP="009C0E21">
            <w:pPr>
              <w:jc w:val="both"/>
              <w:rPr>
                <w:b/>
              </w:rPr>
            </w:pPr>
          </w:p>
        </w:tc>
        <w:tc>
          <w:tcPr>
            <w:tcW w:w="992" w:type="dxa"/>
            <w:shd w:val="clear" w:color="auto" w:fill="auto"/>
          </w:tcPr>
          <w:p w:rsidR="00E812C0" w:rsidRPr="0044468F" w:rsidRDefault="00B67A25" w:rsidP="00D131A0">
            <w:pPr>
              <w:jc w:val="both"/>
              <w:rPr>
                <w:b/>
              </w:rPr>
            </w:pPr>
            <w:r>
              <w:rPr>
                <w:b/>
              </w:rPr>
              <w:t>All</w:t>
            </w:r>
          </w:p>
        </w:tc>
        <w:tc>
          <w:tcPr>
            <w:tcW w:w="1418" w:type="dxa"/>
            <w:gridSpan w:val="2"/>
            <w:shd w:val="clear" w:color="auto" w:fill="auto"/>
          </w:tcPr>
          <w:p w:rsidR="00E812C0" w:rsidRPr="0044468F" w:rsidRDefault="00B67A25" w:rsidP="00B67A25">
            <w:pPr>
              <w:rPr>
                <w:b/>
                <w:color w:val="FF0000"/>
              </w:rPr>
            </w:pPr>
            <w:r>
              <w:rPr>
                <w:b/>
                <w:color w:val="FF0000"/>
              </w:rPr>
              <w:t>For next meeting</w:t>
            </w:r>
          </w:p>
        </w:tc>
      </w:tr>
      <w:tr w:rsidR="00C86D65" w:rsidRPr="00745BAC" w:rsidTr="00E338A1">
        <w:tc>
          <w:tcPr>
            <w:tcW w:w="1277" w:type="dxa"/>
            <w:shd w:val="clear" w:color="auto" w:fill="auto"/>
          </w:tcPr>
          <w:p w:rsidR="00C86D65" w:rsidRDefault="00E54965" w:rsidP="008719B0">
            <w:pPr>
              <w:rPr>
                <w:b/>
              </w:rPr>
            </w:pPr>
            <w:r>
              <w:rPr>
                <w:b/>
              </w:rPr>
              <w:lastRenderedPageBreak/>
              <w:t>Discussion Session</w:t>
            </w:r>
            <w:r w:rsidR="00646574">
              <w:rPr>
                <w:b/>
              </w:rPr>
              <w:t>/</w:t>
            </w:r>
          </w:p>
          <w:p w:rsidR="00646574" w:rsidRPr="00C86D65" w:rsidRDefault="00646574" w:rsidP="008719B0">
            <w:pPr>
              <w:rPr>
                <w:b/>
              </w:rPr>
            </w:pPr>
            <w:r>
              <w:rPr>
                <w:b/>
              </w:rPr>
              <w:t>Round Table</w:t>
            </w:r>
          </w:p>
        </w:tc>
        <w:tc>
          <w:tcPr>
            <w:tcW w:w="8901" w:type="dxa"/>
            <w:shd w:val="clear" w:color="auto" w:fill="auto"/>
          </w:tcPr>
          <w:p w:rsidR="008F530D" w:rsidRDefault="00646574" w:rsidP="0044178D">
            <w:pPr>
              <w:jc w:val="both"/>
            </w:pPr>
            <w:r>
              <w:t>SF advised that GCHA are looking to develop but on a small scale, have developed 75 properties in the last year.  Happy to take on s106 site, rural sites and community led housing schemes should be successful.  Have 35 properties in Maidstone but not in main areas of development.  Liaised with Homes England contact about funding opportunities.  AP advised that CCC will be applying for Social Rent and no indication that it will be an issue.  There was a discussion about development opportunities, use of land, tenure type</w:t>
            </w:r>
            <w:r w:rsidR="00ED73E4">
              <w:t xml:space="preserve"> and cost per unit.</w:t>
            </w:r>
          </w:p>
          <w:p w:rsidR="00ED73E4" w:rsidRDefault="00ED73E4" w:rsidP="0044178D">
            <w:pPr>
              <w:jc w:val="both"/>
            </w:pPr>
          </w:p>
          <w:p w:rsidR="00646574" w:rsidRDefault="00ED73E4" w:rsidP="0044178D">
            <w:pPr>
              <w:jc w:val="both"/>
            </w:pPr>
            <w:r>
              <w:t xml:space="preserve">HRA Additional Borrowing Programme – to make people aware of the extra borrowing programme, you can create an HRA to borrow against it, the deadline for application is September 2018.  </w:t>
            </w:r>
          </w:p>
          <w:p w:rsidR="00ED73E4" w:rsidRDefault="00ED73E4" w:rsidP="0044178D">
            <w:pPr>
              <w:jc w:val="both"/>
            </w:pPr>
          </w:p>
          <w:p w:rsidR="00ED73E4" w:rsidRDefault="00ED73E4" w:rsidP="0044178D">
            <w:pPr>
              <w:jc w:val="both"/>
            </w:pPr>
            <w:r>
              <w:t>Viability – does anyone have a good policy, development management policy that can be shared?</w:t>
            </w:r>
          </w:p>
          <w:p w:rsidR="00ED73E4" w:rsidRDefault="00ED73E4" w:rsidP="0044178D">
            <w:pPr>
              <w:jc w:val="both"/>
            </w:pPr>
          </w:p>
          <w:p w:rsidR="00ED73E4" w:rsidRDefault="00ED73E4" w:rsidP="0044178D">
            <w:pPr>
              <w:jc w:val="both"/>
            </w:pPr>
            <w:r>
              <w:t xml:space="preserve">RP representation at HSEG meetings –it </w:t>
            </w:r>
            <w:r w:rsidR="00B03AF0">
              <w:t>was agreed to ask GCHA to become a member of HSEG and then invite a larger RP to attend, Optivo and Dave Jeffrey was suggested.</w:t>
            </w:r>
          </w:p>
          <w:p w:rsidR="00B03AF0" w:rsidRDefault="00B03AF0" w:rsidP="0044178D">
            <w:pPr>
              <w:jc w:val="both"/>
            </w:pPr>
          </w:p>
          <w:p w:rsidR="00B03AF0" w:rsidRDefault="00B03AF0" w:rsidP="0044178D">
            <w:pPr>
              <w:jc w:val="both"/>
            </w:pPr>
            <w:r>
              <w:t xml:space="preserve">LC raised rural housing mutual exchanges, SDC is going to use CLH funding to employ a barrister to obtain counsels opinion </w:t>
            </w:r>
            <w:r w:rsidR="0019712D">
              <w:t>and future proof future schemes</w:t>
            </w:r>
            <w:r>
              <w:t xml:space="preserve">.  </w:t>
            </w:r>
            <w:r w:rsidR="00496B15">
              <w:t>It is</w:t>
            </w:r>
            <w:r>
              <w:t xml:space="preserve"> unsure whether the Housing Act will override the terms of a S106 or designated protected areas.  </w:t>
            </w:r>
          </w:p>
          <w:p w:rsidR="00B03AF0" w:rsidRPr="00745BAC" w:rsidRDefault="00B03AF0" w:rsidP="0044178D">
            <w:pPr>
              <w:jc w:val="both"/>
            </w:pPr>
          </w:p>
        </w:tc>
        <w:tc>
          <w:tcPr>
            <w:tcW w:w="3431" w:type="dxa"/>
            <w:shd w:val="clear" w:color="auto" w:fill="auto"/>
          </w:tcPr>
          <w:p w:rsidR="00CB2B0F" w:rsidRDefault="00CB2B0F" w:rsidP="002D0116">
            <w:pPr>
              <w:rPr>
                <w:b/>
              </w:rPr>
            </w:pPr>
          </w:p>
          <w:p w:rsidR="00ED73E4" w:rsidRDefault="00ED73E4" w:rsidP="002D0116">
            <w:pPr>
              <w:rPr>
                <w:b/>
              </w:rPr>
            </w:pPr>
          </w:p>
          <w:p w:rsidR="00ED73E4" w:rsidRDefault="00ED73E4" w:rsidP="002D0116">
            <w:pPr>
              <w:rPr>
                <w:b/>
              </w:rPr>
            </w:pPr>
          </w:p>
          <w:p w:rsidR="00ED73E4" w:rsidRDefault="00ED73E4" w:rsidP="002D0116">
            <w:pPr>
              <w:rPr>
                <w:b/>
              </w:rPr>
            </w:pPr>
          </w:p>
          <w:p w:rsidR="00ED73E4" w:rsidRDefault="00ED73E4" w:rsidP="002D0116">
            <w:pPr>
              <w:rPr>
                <w:b/>
              </w:rPr>
            </w:pPr>
          </w:p>
          <w:p w:rsidR="00ED73E4" w:rsidRDefault="00ED73E4" w:rsidP="002D0116">
            <w:pPr>
              <w:rPr>
                <w:b/>
              </w:rPr>
            </w:pPr>
          </w:p>
          <w:p w:rsidR="00ED73E4" w:rsidRDefault="00ED73E4" w:rsidP="002D0116">
            <w:pPr>
              <w:rPr>
                <w:b/>
              </w:rPr>
            </w:pPr>
            <w:r>
              <w:rPr>
                <w:b/>
              </w:rPr>
              <w:t>Links about this funding and other funding via Government on the news page of the KHG website</w:t>
            </w:r>
          </w:p>
          <w:p w:rsidR="00ED73E4" w:rsidRDefault="00ED73E4" w:rsidP="002D0116">
            <w:pPr>
              <w:rPr>
                <w:b/>
              </w:rPr>
            </w:pPr>
          </w:p>
          <w:p w:rsidR="00ED73E4" w:rsidRDefault="00ED73E4" w:rsidP="002D0116">
            <w:pPr>
              <w:rPr>
                <w:b/>
              </w:rPr>
            </w:pPr>
            <w:r>
              <w:rPr>
                <w:b/>
              </w:rPr>
              <w:t>Colleagues to share links to useful documents via RS for circulation</w:t>
            </w:r>
          </w:p>
          <w:p w:rsidR="00B03AF0" w:rsidRDefault="00B03AF0" w:rsidP="002D0116">
            <w:pPr>
              <w:rPr>
                <w:b/>
              </w:rPr>
            </w:pPr>
          </w:p>
          <w:p w:rsidR="00B03AF0" w:rsidRDefault="00B03AF0" w:rsidP="002D0116">
            <w:pPr>
              <w:rPr>
                <w:b/>
              </w:rPr>
            </w:pPr>
            <w:r>
              <w:rPr>
                <w:b/>
              </w:rPr>
              <w:t>RS to confirm arrangements with SF and invite DJ at Optivo</w:t>
            </w:r>
          </w:p>
          <w:p w:rsidR="00B03AF0" w:rsidRDefault="00B03AF0" w:rsidP="002D0116">
            <w:pPr>
              <w:rPr>
                <w:b/>
              </w:rPr>
            </w:pPr>
          </w:p>
          <w:p w:rsidR="00B03AF0" w:rsidRPr="002D0116" w:rsidRDefault="00B03AF0" w:rsidP="002D0116">
            <w:pPr>
              <w:rPr>
                <w:b/>
              </w:rPr>
            </w:pPr>
            <w:r>
              <w:rPr>
                <w:b/>
              </w:rPr>
              <w:t>LC to feedback outcome with group</w:t>
            </w:r>
            <w:r w:rsidR="0019712D">
              <w:rPr>
                <w:b/>
              </w:rPr>
              <w:t>.  LC to share any costing information with colleagues</w:t>
            </w:r>
          </w:p>
        </w:tc>
        <w:tc>
          <w:tcPr>
            <w:tcW w:w="992" w:type="dxa"/>
            <w:shd w:val="clear" w:color="auto" w:fill="auto"/>
          </w:tcPr>
          <w:p w:rsidR="00CB2B0F" w:rsidRDefault="00CB2B0F" w:rsidP="002D0116">
            <w:pPr>
              <w:rPr>
                <w:b/>
              </w:rPr>
            </w:pPr>
          </w:p>
          <w:p w:rsidR="00ED73E4" w:rsidRDefault="00ED73E4" w:rsidP="002D0116">
            <w:pPr>
              <w:rPr>
                <w:b/>
              </w:rPr>
            </w:pPr>
          </w:p>
          <w:p w:rsidR="00ED73E4" w:rsidRDefault="00ED73E4" w:rsidP="002D0116">
            <w:pPr>
              <w:rPr>
                <w:b/>
              </w:rPr>
            </w:pPr>
          </w:p>
          <w:p w:rsidR="00ED73E4" w:rsidRDefault="00ED73E4" w:rsidP="002D0116">
            <w:pPr>
              <w:rPr>
                <w:b/>
              </w:rPr>
            </w:pPr>
          </w:p>
          <w:p w:rsidR="00ED73E4" w:rsidRDefault="00ED73E4" w:rsidP="002D0116">
            <w:pPr>
              <w:rPr>
                <w:b/>
              </w:rPr>
            </w:pPr>
          </w:p>
          <w:p w:rsidR="00ED73E4" w:rsidRDefault="00ED73E4" w:rsidP="002D0116">
            <w:pPr>
              <w:rPr>
                <w:b/>
              </w:rPr>
            </w:pPr>
          </w:p>
          <w:p w:rsidR="00ED73E4" w:rsidRDefault="00ED73E4" w:rsidP="002D0116">
            <w:pPr>
              <w:rPr>
                <w:b/>
              </w:rPr>
            </w:pPr>
          </w:p>
          <w:p w:rsidR="00ED73E4" w:rsidRDefault="00ED73E4" w:rsidP="002D0116">
            <w:pPr>
              <w:rPr>
                <w:b/>
              </w:rPr>
            </w:pPr>
            <w:r>
              <w:rPr>
                <w:b/>
              </w:rPr>
              <w:t>ALL</w:t>
            </w:r>
          </w:p>
          <w:p w:rsidR="00ED73E4" w:rsidRDefault="00ED73E4" w:rsidP="002D0116">
            <w:pPr>
              <w:rPr>
                <w:b/>
              </w:rPr>
            </w:pPr>
          </w:p>
          <w:p w:rsidR="00ED73E4" w:rsidRDefault="00ED73E4" w:rsidP="002D0116">
            <w:pPr>
              <w:rPr>
                <w:b/>
              </w:rPr>
            </w:pPr>
          </w:p>
          <w:p w:rsidR="00ED73E4" w:rsidRDefault="00ED73E4" w:rsidP="002D0116">
            <w:pPr>
              <w:rPr>
                <w:b/>
              </w:rPr>
            </w:pPr>
          </w:p>
          <w:p w:rsidR="00ED73E4" w:rsidRDefault="00ED73E4" w:rsidP="002D0116">
            <w:pPr>
              <w:rPr>
                <w:b/>
              </w:rPr>
            </w:pPr>
            <w:r>
              <w:rPr>
                <w:b/>
              </w:rPr>
              <w:t>AN</w:t>
            </w:r>
          </w:p>
          <w:p w:rsidR="00B03AF0" w:rsidRDefault="00B03AF0" w:rsidP="002D0116">
            <w:pPr>
              <w:rPr>
                <w:b/>
              </w:rPr>
            </w:pPr>
          </w:p>
          <w:p w:rsidR="00B03AF0" w:rsidRDefault="00B03AF0" w:rsidP="002D0116">
            <w:pPr>
              <w:rPr>
                <w:b/>
              </w:rPr>
            </w:pPr>
            <w:r>
              <w:rPr>
                <w:b/>
              </w:rPr>
              <w:t>RS</w:t>
            </w:r>
          </w:p>
          <w:p w:rsidR="00B03AF0" w:rsidRDefault="00B03AF0" w:rsidP="002D0116">
            <w:pPr>
              <w:rPr>
                <w:b/>
              </w:rPr>
            </w:pPr>
          </w:p>
          <w:p w:rsidR="00B03AF0" w:rsidRDefault="00B03AF0" w:rsidP="002D0116">
            <w:pPr>
              <w:rPr>
                <w:b/>
              </w:rPr>
            </w:pPr>
          </w:p>
          <w:p w:rsidR="00B03AF0" w:rsidRPr="0044468F" w:rsidRDefault="00B03AF0" w:rsidP="002D0116">
            <w:pPr>
              <w:rPr>
                <w:b/>
              </w:rPr>
            </w:pPr>
            <w:r>
              <w:rPr>
                <w:b/>
              </w:rPr>
              <w:t>LC</w:t>
            </w:r>
          </w:p>
        </w:tc>
        <w:tc>
          <w:tcPr>
            <w:tcW w:w="1418" w:type="dxa"/>
            <w:gridSpan w:val="2"/>
            <w:shd w:val="clear" w:color="auto" w:fill="auto"/>
          </w:tcPr>
          <w:p w:rsidR="002D0116" w:rsidRDefault="002D0116" w:rsidP="002D0116">
            <w:pPr>
              <w:rPr>
                <w:b/>
                <w:color w:val="FF0000"/>
              </w:rPr>
            </w:pPr>
          </w:p>
          <w:p w:rsidR="00ED73E4" w:rsidRDefault="00ED73E4" w:rsidP="002D0116">
            <w:pPr>
              <w:rPr>
                <w:b/>
                <w:color w:val="FF0000"/>
              </w:rPr>
            </w:pPr>
          </w:p>
          <w:p w:rsidR="00ED73E4" w:rsidRDefault="00ED73E4" w:rsidP="002D0116">
            <w:pPr>
              <w:rPr>
                <w:b/>
                <w:color w:val="FF0000"/>
              </w:rPr>
            </w:pPr>
          </w:p>
          <w:p w:rsidR="00ED73E4" w:rsidRDefault="00ED73E4" w:rsidP="002D0116">
            <w:pPr>
              <w:rPr>
                <w:b/>
                <w:color w:val="FF0000"/>
              </w:rPr>
            </w:pPr>
          </w:p>
          <w:p w:rsidR="00ED73E4" w:rsidRDefault="00ED73E4" w:rsidP="002D0116">
            <w:pPr>
              <w:rPr>
                <w:b/>
                <w:color w:val="FF0000"/>
              </w:rPr>
            </w:pPr>
          </w:p>
          <w:p w:rsidR="00ED73E4" w:rsidRDefault="00ED73E4" w:rsidP="002D0116">
            <w:pPr>
              <w:rPr>
                <w:b/>
                <w:color w:val="FF0000"/>
              </w:rPr>
            </w:pPr>
          </w:p>
          <w:p w:rsidR="00ED73E4" w:rsidRDefault="00ED73E4" w:rsidP="002D0116">
            <w:pPr>
              <w:rPr>
                <w:b/>
                <w:color w:val="FF0000"/>
              </w:rPr>
            </w:pPr>
          </w:p>
          <w:p w:rsidR="00ED73E4" w:rsidRDefault="00ED73E4" w:rsidP="002D0116">
            <w:pPr>
              <w:rPr>
                <w:b/>
                <w:color w:val="FF0000"/>
              </w:rPr>
            </w:pPr>
          </w:p>
          <w:p w:rsidR="00ED73E4" w:rsidRDefault="00ED73E4" w:rsidP="002D0116">
            <w:pPr>
              <w:rPr>
                <w:b/>
                <w:color w:val="FF0000"/>
              </w:rPr>
            </w:pPr>
          </w:p>
          <w:p w:rsidR="00ED73E4" w:rsidRDefault="00ED73E4" w:rsidP="002D0116">
            <w:pPr>
              <w:rPr>
                <w:b/>
                <w:color w:val="FF0000"/>
              </w:rPr>
            </w:pPr>
          </w:p>
          <w:p w:rsidR="00ED73E4" w:rsidRDefault="00ED73E4" w:rsidP="002D0116">
            <w:pPr>
              <w:rPr>
                <w:b/>
                <w:color w:val="FF0000"/>
              </w:rPr>
            </w:pPr>
          </w:p>
          <w:p w:rsidR="00ED73E4" w:rsidRDefault="00ED73E4" w:rsidP="002D0116">
            <w:pPr>
              <w:rPr>
                <w:b/>
                <w:color w:val="FF0000"/>
              </w:rPr>
            </w:pPr>
            <w:r>
              <w:rPr>
                <w:b/>
                <w:color w:val="FF0000"/>
              </w:rPr>
              <w:t>By 23 July</w:t>
            </w:r>
          </w:p>
          <w:p w:rsidR="00B03AF0" w:rsidRDefault="00B03AF0" w:rsidP="002D0116">
            <w:pPr>
              <w:rPr>
                <w:b/>
                <w:color w:val="FF0000"/>
              </w:rPr>
            </w:pPr>
          </w:p>
          <w:p w:rsidR="00B03AF0" w:rsidRDefault="00B03AF0" w:rsidP="002D0116">
            <w:pPr>
              <w:rPr>
                <w:b/>
                <w:color w:val="FF0000"/>
              </w:rPr>
            </w:pPr>
            <w:r>
              <w:rPr>
                <w:b/>
                <w:color w:val="FF0000"/>
              </w:rPr>
              <w:t>By 23 July</w:t>
            </w:r>
          </w:p>
          <w:p w:rsidR="00B03AF0" w:rsidRDefault="00B03AF0" w:rsidP="002D0116">
            <w:pPr>
              <w:rPr>
                <w:b/>
                <w:color w:val="FF0000"/>
              </w:rPr>
            </w:pPr>
          </w:p>
          <w:p w:rsidR="00B03AF0" w:rsidRDefault="00B03AF0" w:rsidP="002D0116">
            <w:pPr>
              <w:rPr>
                <w:b/>
                <w:color w:val="FF0000"/>
              </w:rPr>
            </w:pPr>
          </w:p>
          <w:p w:rsidR="00B03AF0" w:rsidRPr="0044468F" w:rsidRDefault="00B03AF0" w:rsidP="002D0116">
            <w:pPr>
              <w:rPr>
                <w:b/>
                <w:color w:val="FF0000"/>
              </w:rPr>
            </w:pPr>
            <w:r>
              <w:rPr>
                <w:b/>
                <w:color w:val="FF0000"/>
              </w:rPr>
              <w:t>When available</w:t>
            </w:r>
          </w:p>
        </w:tc>
      </w:tr>
      <w:tr w:rsidR="00C86D65" w:rsidRPr="00745BAC" w:rsidTr="00E338A1">
        <w:tc>
          <w:tcPr>
            <w:tcW w:w="1277" w:type="dxa"/>
            <w:shd w:val="clear" w:color="auto" w:fill="auto"/>
          </w:tcPr>
          <w:p w:rsidR="00C86D65" w:rsidRPr="00C86D65" w:rsidRDefault="00E95A57" w:rsidP="008719B0">
            <w:pPr>
              <w:rPr>
                <w:b/>
              </w:rPr>
            </w:pPr>
            <w:r>
              <w:rPr>
                <w:b/>
              </w:rPr>
              <w:t>AOB</w:t>
            </w:r>
          </w:p>
        </w:tc>
        <w:tc>
          <w:tcPr>
            <w:tcW w:w="8901" w:type="dxa"/>
            <w:shd w:val="clear" w:color="auto" w:fill="auto"/>
          </w:tcPr>
          <w:p w:rsidR="00C86D65" w:rsidRDefault="0017353C" w:rsidP="003E3946">
            <w:pPr>
              <w:jc w:val="both"/>
            </w:pPr>
            <w:r>
              <w:t>No AOB noted.</w:t>
            </w:r>
          </w:p>
          <w:p w:rsidR="0017353C" w:rsidRPr="0005688A" w:rsidRDefault="0017353C" w:rsidP="003E3946">
            <w:pPr>
              <w:jc w:val="both"/>
            </w:pPr>
          </w:p>
        </w:tc>
        <w:tc>
          <w:tcPr>
            <w:tcW w:w="3431" w:type="dxa"/>
            <w:shd w:val="clear" w:color="auto" w:fill="auto"/>
          </w:tcPr>
          <w:p w:rsidR="00C86D65" w:rsidRPr="00745BAC" w:rsidRDefault="00C86D65" w:rsidP="00D131A0">
            <w:pPr>
              <w:jc w:val="both"/>
            </w:pPr>
          </w:p>
        </w:tc>
        <w:tc>
          <w:tcPr>
            <w:tcW w:w="992" w:type="dxa"/>
            <w:shd w:val="clear" w:color="auto" w:fill="auto"/>
          </w:tcPr>
          <w:p w:rsidR="00C86D65" w:rsidRPr="0044468F" w:rsidRDefault="00C86D65" w:rsidP="00D131A0">
            <w:pPr>
              <w:jc w:val="both"/>
              <w:rPr>
                <w:b/>
              </w:rPr>
            </w:pPr>
          </w:p>
        </w:tc>
        <w:tc>
          <w:tcPr>
            <w:tcW w:w="1418" w:type="dxa"/>
            <w:gridSpan w:val="2"/>
            <w:shd w:val="clear" w:color="auto" w:fill="auto"/>
          </w:tcPr>
          <w:p w:rsidR="00C86D65" w:rsidRPr="0044468F" w:rsidRDefault="00C86D65" w:rsidP="009A1443">
            <w:pPr>
              <w:rPr>
                <w:b/>
                <w:color w:val="FF0000"/>
              </w:rPr>
            </w:pPr>
          </w:p>
        </w:tc>
      </w:tr>
    </w:tbl>
    <w:p w:rsidR="00496B15" w:rsidRDefault="00E42640">
      <w:r>
        <w:t xml:space="preserve"> </w:t>
      </w:r>
    </w:p>
    <w:p w:rsidR="00443F82" w:rsidRDefault="00E42640">
      <w:pPr>
        <w:rPr>
          <w:b/>
          <w:i/>
        </w:rPr>
      </w:pPr>
      <w:bookmarkStart w:id="0" w:name="_GoBack"/>
      <w:bookmarkEnd w:id="0"/>
      <w:r w:rsidRPr="00B86E64">
        <w:rPr>
          <w:b/>
          <w:i/>
        </w:rPr>
        <w:t>Thanks not</w:t>
      </w:r>
      <w:r w:rsidR="00DB38AF" w:rsidRPr="00B86E64">
        <w:rPr>
          <w:b/>
          <w:i/>
        </w:rPr>
        <w:t xml:space="preserve">ed to </w:t>
      </w:r>
      <w:r w:rsidR="00E54965">
        <w:rPr>
          <w:b/>
          <w:i/>
        </w:rPr>
        <w:t>Ashford BC for hosting</w:t>
      </w:r>
    </w:p>
    <w:sectPr w:rsidR="00443F82" w:rsidSect="002D569F">
      <w:headerReference w:type="even" r:id="rId9"/>
      <w:headerReference w:type="default" r:id="rId10"/>
      <w:footerReference w:type="even" r:id="rId11"/>
      <w:footerReference w:type="default" r:id="rId12"/>
      <w:headerReference w:type="first" r:id="rId13"/>
      <w:footerReference w:type="first" r:id="rId14"/>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6DB" w:rsidRDefault="007636DB" w:rsidP="001D0582">
      <w:pPr>
        <w:spacing w:after="0" w:line="240" w:lineRule="auto"/>
      </w:pPr>
      <w:r>
        <w:separator/>
      </w:r>
    </w:p>
  </w:endnote>
  <w:endnote w:type="continuationSeparator" w:id="0">
    <w:p w:rsidR="007636DB" w:rsidRDefault="007636DB"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6DB" w:rsidRDefault="007636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3796345"/>
      <w:docPartObj>
        <w:docPartGallery w:val="Page Numbers (Bottom of Page)"/>
        <w:docPartUnique/>
      </w:docPartObj>
    </w:sdtPr>
    <w:sdtEndPr>
      <w:rPr>
        <w:noProof/>
      </w:rPr>
    </w:sdtEndPr>
    <w:sdtContent>
      <w:p w:rsidR="007636DB" w:rsidRDefault="007636DB">
        <w:pPr>
          <w:pStyle w:val="Footer"/>
          <w:jc w:val="right"/>
        </w:pPr>
        <w:r>
          <w:fldChar w:fldCharType="begin"/>
        </w:r>
        <w:r>
          <w:instrText xml:space="preserve"> PAGE   \* MERGEFORMAT </w:instrText>
        </w:r>
        <w:r>
          <w:fldChar w:fldCharType="separate"/>
        </w:r>
        <w:r w:rsidR="00496B15">
          <w:rPr>
            <w:noProof/>
          </w:rPr>
          <w:t>1</w:t>
        </w:r>
        <w:r>
          <w:rPr>
            <w:noProof/>
          </w:rPr>
          <w:fldChar w:fldCharType="end"/>
        </w:r>
      </w:p>
    </w:sdtContent>
  </w:sdt>
  <w:p w:rsidR="007636DB" w:rsidRDefault="007636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6DB" w:rsidRDefault="007636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6DB" w:rsidRDefault="007636DB" w:rsidP="001D0582">
      <w:pPr>
        <w:spacing w:after="0" w:line="240" w:lineRule="auto"/>
      </w:pPr>
      <w:r>
        <w:separator/>
      </w:r>
    </w:p>
  </w:footnote>
  <w:footnote w:type="continuationSeparator" w:id="0">
    <w:p w:rsidR="007636DB" w:rsidRDefault="007636DB" w:rsidP="001D0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6DB" w:rsidRDefault="007636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1331941"/>
      <w:docPartObj>
        <w:docPartGallery w:val="Watermarks"/>
        <w:docPartUnique/>
      </w:docPartObj>
    </w:sdtPr>
    <w:sdtContent>
      <w:p w:rsidR="007636DB" w:rsidRDefault="007636DB">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6DB" w:rsidRDefault="007636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43918"/>
    <w:multiLevelType w:val="hybridMultilevel"/>
    <w:tmpl w:val="2D102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EE2F5A"/>
    <w:multiLevelType w:val="hybridMultilevel"/>
    <w:tmpl w:val="B8FE7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A7280D"/>
    <w:multiLevelType w:val="hybridMultilevel"/>
    <w:tmpl w:val="6752530C"/>
    <w:lvl w:ilvl="0" w:tplc="7A5CB70C">
      <w:start w:val="1"/>
      <w:numFmt w:val="bullet"/>
      <w:lvlText w:val=""/>
      <w:lvlJc w:val="left"/>
      <w:pPr>
        <w:tabs>
          <w:tab w:val="num" w:pos="720"/>
        </w:tabs>
        <w:ind w:left="720" w:hanging="360"/>
      </w:pPr>
      <w:rPr>
        <w:rFonts w:ascii="Wingdings" w:hAnsi="Wingdings" w:hint="default"/>
      </w:rPr>
    </w:lvl>
    <w:lvl w:ilvl="1" w:tplc="B8B8FE94" w:tentative="1">
      <w:start w:val="1"/>
      <w:numFmt w:val="bullet"/>
      <w:lvlText w:val=""/>
      <w:lvlJc w:val="left"/>
      <w:pPr>
        <w:tabs>
          <w:tab w:val="num" w:pos="1440"/>
        </w:tabs>
        <w:ind w:left="1440" w:hanging="360"/>
      </w:pPr>
      <w:rPr>
        <w:rFonts w:ascii="Wingdings" w:hAnsi="Wingdings" w:hint="default"/>
      </w:rPr>
    </w:lvl>
    <w:lvl w:ilvl="2" w:tplc="2CD2D96C" w:tentative="1">
      <w:start w:val="1"/>
      <w:numFmt w:val="bullet"/>
      <w:lvlText w:val=""/>
      <w:lvlJc w:val="left"/>
      <w:pPr>
        <w:tabs>
          <w:tab w:val="num" w:pos="2160"/>
        </w:tabs>
        <w:ind w:left="2160" w:hanging="360"/>
      </w:pPr>
      <w:rPr>
        <w:rFonts w:ascii="Wingdings" w:hAnsi="Wingdings" w:hint="default"/>
      </w:rPr>
    </w:lvl>
    <w:lvl w:ilvl="3" w:tplc="8AA676E0" w:tentative="1">
      <w:start w:val="1"/>
      <w:numFmt w:val="bullet"/>
      <w:lvlText w:val=""/>
      <w:lvlJc w:val="left"/>
      <w:pPr>
        <w:tabs>
          <w:tab w:val="num" w:pos="2880"/>
        </w:tabs>
        <w:ind w:left="2880" w:hanging="360"/>
      </w:pPr>
      <w:rPr>
        <w:rFonts w:ascii="Wingdings" w:hAnsi="Wingdings" w:hint="default"/>
      </w:rPr>
    </w:lvl>
    <w:lvl w:ilvl="4" w:tplc="F9F4BA9E" w:tentative="1">
      <w:start w:val="1"/>
      <w:numFmt w:val="bullet"/>
      <w:lvlText w:val=""/>
      <w:lvlJc w:val="left"/>
      <w:pPr>
        <w:tabs>
          <w:tab w:val="num" w:pos="3600"/>
        </w:tabs>
        <w:ind w:left="3600" w:hanging="360"/>
      </w:pPr>
      <w:rPr>
        <w:rFonts w:ascii="Wingdings" w:hAnsi="Wingdings" w:hint="default"/>
      </w:rPr>
    </w:lvl>
    <w:lvl w:ilvl="5" w:tplc="D146F792" w:tentative="1">
      <w:start w:val="1"/>
      <w:numFmt w:val="bullet"/>
      <w:lvlText w:val=""/>
      <w:lvlJc w:val="left"/>
      <w:pPr>
        <w:tabs>
          <w:tab w:val="num" w:pos="4320"/>
        </w:tabs>
        <w:ind w:left="4320" w:hanging="360"/>
      </w:pPr>
      <w:rPr>
        <w:rFonts w:ascii="Wingdings" w:hAnsi="Wingdings" w:hint="default"/>
      </w:rPr>
    </w:lvl>
    <w:lvl w:ilvl="6" w:tplc="4FCA4924" w:tentative="1">
      <w:start w:val="1"/>
      <w:numFmt w:val="bullet"/>
      <w:lvlText w:val=""/>
      <w:lvlJc w:val="left"/>
      <w:pPr>
        <w:tabs>
          <w:tab w:val="num" w:pos="5040"/>
        </w:tabs>
        <w:ind w:left="5040" w:hanging="360"/>
      </w:pPr>
      <w:rPr>
        <w:rFonts w:ascii="Wingdings" w:hAnsi="Wingdings" w:hint="default"/>
      </w:rPr>
    </w:lvl>
    <w:lvl w:ilvl="7" w:tplc="5FEAF6D6" w:tentative="1">
      <w:start w:val="1"/>
      <w:numFmt w:val="bullet"/>
      <w:lvlText w:val=""/>
      <w:lvlJc w:val="left"/>
      <w:pPr>
        <w:tabs>
          <w:tab w:val="num" w:pos="5760"/>
        </w:tabs>
        <w:ind w:left="5760" w:hanging="360"/>
      </w:pPr>
      <w:rPr>
        <w:rFonts w:ascii="Wingdings" w:hAnsi="Wingdings" w:hint="default"/>
      </w:rPr>
    </w:lvl>
    <w:lvl w:ilvl="8" w:tplc="F74CD7A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B84627"/>
    <w:multiLevelType w:val="hybridMultilevel"/>
    <w:tmpl w:val="2B70B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B92199"/>
    <w:multiLevelType w:val="hybridMultilevel"/>
    <w:tmpl w:val="21E48FC2"/>
    <w:lvl w:ilvl="0" w:tplc="DABCEE5E">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7"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901178"/>
    <w:multiLevelType w:val="hybridMultilevel"/>
    <w:tmpl w:val="85D6D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025803"/>
    <w:multiLevelType w:val="hybridMultilevel"/>
    <w:tmpl w:val="84AC2892"/>
    <w:lvl w:ilvl="0" w:tplc="ED0C7B92">
      <w:start w:val="1"/>
      <w:numFmt w:val="bullet"/>
      <w:lvlText w:val="•"/>
      <w:lvlJc w:val="left"/>
      <w:pPr>
        <w:tabs>
          <w:tab w:val="num" w:pos="720"/>
        </w:tabs>
        <w:ind w:left="720" w:hanging="360"/>
      </w:pPr>
      <w:rPr>
        <w:rFonts w:ascii="Arial" w:hAnsi="Arial" w:hint="default"/>
      </w:rPr>
    </w:lvl>
    <w:lvl w:ilvl="1" w:tplc="05783236" w:tentative="1">
      <w:start w:val="1"/>
      <w:numFmt w:val="bullet"/>
      <w:lvlText w:val="•"/>
      <w:lvlJc w:val="left"/>
      <w:pPr>
        <w:tabs>
          <w:tab w:val="num" w:pos="1440"/>
        </w:tabs>
        <w:ind w:left="1440" w:hanging="360"/>
      </w:pPr>
      <w:rPr>
        <w:rFonts w:ascii="Arial" w:hAnsi="Arial" w:hint="default"/>
      </w:rPr>
    </w:lvl>
    <w:lvl w:ilvl="2" w:tplc="CE16BB2A" w:tentative="1">
      <w:start w:val="1"/>
      <w:numFmt w:val="bullet"/>
      <w:lvlText w:val="•"/>
      <w:lvlJc w:val="left"/>
      <w:pPr>
        <w:tabs>
          <w:tab w:val="num" w:pos="2160"/>
        </w:tabs>
        <w:ind w:left="2160" w:hanging="360"/>
      </w:pPr>
      <w:rPr>
        <w:rFonts w:ascii="Arial" w:hAnsi="Arial" w:hint="default"/>
      </w:rPr>
    </w:lvl>
    <w:lvl w:ilvl="3" w:tplc="B13E31DC" w:tentative="1">
      <w:start w:val="1"/>
      <w:numFmt w:val="bullet"/>
      <w:lvlText w:val="•"/>
      <w:lvlJc w:val="left"/>
      <w:pPr>
        <w:tabs>
          <w:tab w:val="num" w:pos="2880"/>
        </w:tabs>
        <w:ind w:left="2880" w:hanging="360"/>
      </w:pPr>
      <w:rPr>
        <w:rFonts w:ascii="Arial" w:hAnsi="Arial" w:hint="default"/>
      </w:rPr>
    </w:lvl>
    <w:lvl w:ilvl="4" w:tplc="4ECAF4A8" w:tentative="1">
      <w:start w:val="1"/>
      <w:numFmt w:val="bullet"/>
      <w:lvlText w:val="•"/>
      <w:lvlJc w:val="left"/>
      <w:pPr>
        <w:tabs>
          <w:tab w:val="num" w:pos="3600"/>
        </w:tabs>
        <w:ind w:left="3600" w:hanging="360"/>
      </w:pPr>
      <w:rPr>
        <w:rFonts w:ascii="Arial" w:hAnsi="Arial" w:hint="default"/>
      </w:rPr>
    </w:lvl>
    <w:lvl w:ilvl="5" w:tplc="7FF0C09E" w:tentative="1">
      <w:start w:val="1"/>
      <w:numFmt w:val="bullet"/>
      <w:lvlText w:val="•"/>
      <w:lvlJc w:val="left"/>
      <w:pPr>
        <w:tabs>
          <w:tab w:val="num" w:pos="4320"/>
        </w:tabs>
        <w:ind w:left="4320" w:hanging="360"/>
      </w:pPr>
      <w:rPr>
        <w:rFonts w:ascii="Arial" w:hAnsi="Arial" w:hint="default"/>
      </w:rPr>
    </w:lvl>
    <w:lvl w:ilvl="6" w:tplc="21C4D83E" w:tentative="1">
      <w:start w:val="1"/>
      <w:numFmt w:val="bullet"/>
      <w:lvlText w:val="•"/>
      <w:lvlJc w:val="left"/>
      <w:pPr>
        <w:tabs>
          <w:tab w:val="num" w:pos="5040"/>
        </w:tabs>
        <w:ind w:left="5040" w:hanging="360"/>
      </w:pPr>
      <w:rPr>
        <w:rFonts w:ascii="Arial" w:hAnsi="Arial" w:hint="default"/>
      </w:rPr>
    </w:lvl>
    <w:lvl w:ilvl="7" w:tplc="758860D8" w:tentative="1">
      <w:start w:val="1"/>
      <w:numFmt w:val="bullet"/>
      <w:lvlText w:val="•"/>
      <w:lvlJc w:val="left"/>
      <w:pPr>
        <w:tabs>
          <w:tab w:val="num" w:pos="5760"/>
        </w:tabs>
        <w:ind w:left="5760" w:hanging="360"/>
      </w:pPr>
      <w:rPr>
        <w:rFonts w:ascii="Arial" w:hAnsi="Arial" w:hint="default"/>
      </w:rPr>
    </w:lvl>
    <w:lvl w:ilvl="8" w:tplc="A63CF55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3"/>
  </w:num>
  <w:num w:numId="4">
    <w:abstractNumId w:val="11"/>
  </w:num>
  <w:num w:numId="5">
    <w:abstractNumId w:val="7"/>
  </w:num>
  <w:num w:numId="6">
    <w:abstractNumId w:val="4"/>
  </w:num>
  <w:num w:numId="7">
    <w:abstractNumId w:val="9"/>
  </w:num>
  <w:num w:numId="8">
    <w:abstractNumId w:val="8"/>
  </w:num>
  <w:num w:numId="9">
    <w:abstractNumId w:val="0"/>
  </w:num>
  <w:num w:numId="10">
    <w:abstractNumId w:val="5"/>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22E7A"/>
    <w:rsid w:val="0002794B"/>
    <w:rsid w:val="00030B86"/>
    <w:rsid w:val="0005688A"/>
    <w:rsid w:val="00061235"/>
    <w:rsid w:val="000718CE"/>
    <w:rsid w:val="00074BA3"/>
    <w:rsid w:val="00077CCB"/>
    <w:rsid w:val="00085AA4"/>
    <w:rsid w:val="000871E7"/>
    <w:rsid w:val="00094B7F"/>
    <w:rsid w:val="00094D7E"/>
    <w:rsid w:val="00095958"/>
    <w:rsid w:val="000A139A"/>
    <w:rsid w:val="000B2686"/>
    <w:rsid w:val="000B4C89"/>
    <w:rsid w:val="000D2680"/>
    <w:rsid w:val="000E09FF"/>
    <w:rsid w:val="000E1AF4"/>
    <w:rsid w:val="000E46F3"/>
    <w:rsid w:val="000E5093"/>
    <w:rsid w:val="000E6197"/>
    <w:rsid w:val="000E7D73"/>
    <w:rsid w:val="00103935"/>
    <w:rsid w:val="00111B2B"/>
    <w:rsid w:val="00115336"/>
    <w:rsid w:val="001262F3"/>
    <w:rsid w:val="00127DAF"/>
    <w:rsid w:val="00127ED4"/>
    <w:rsid w:val="00130B92"/>
    <w:rsid w:val="001439DD"/>
    <w:rsid w:val="001475A9"/>
    <w:rsid w:val="00150D2E"/>
    <w:rsid w:val="00156EA5"/>
    <w:rsid w:val="0015741A"/>
    <w:rsid w:val="00167755"/>
    <w:rsid w:val="0017353C"/>
    <w:rsid w:val="00176C25"/>
    <w:rsid w:val="00182CF3"/>
    <w:rsid w:val="00194850"/>
    <w:rsid w:val="001965ED"/>
    <w:rsid w:val="0019712D"/>
    <w:rsid w:val="001A1975"/>
    <w:rsid w:val="001C3A06"/>
    <w:rsid w:val="001C7AAC"/>
    <w:rsid w:val="001D0582"/>
    <w:rsid w:val="001D1337"/>
    <w:rsid w:val="001D54FF"/>
    <w:rsid w:val="001E3BD2"/>
    <w:rsid w:val="001F0061"/>
    <w:rsid w:val="00200B68"/>
    <w:rsid w:val="002147E0"/>
    <w:rsid w:val="002171B0"/>
    <w:rsid w:val="00222A5F"/>
    <w:rsid w:val="00236F44"/>
    <w:rsid w:val="00240ACA"/>
    <w:rsid w:val="00243F4C"/>
    <w:rsid w:val="002479D5"/>
    <w:rsid w:val="0026205B"/>
    <w:rsid w:val="00262705"/>
    <w:rsid w:val="00267BEB"/>
    <w:rsid w:val="00267C42"/>
    <w:rsid w:val="002718DD"/>
    <w:rsid w:val="00271F22"/>
    <w:rsid w:val="00274D25"/>
    <w:rsid w:val="0027714F"/>
    <w:rsid w:val="00283FBE"/>
    <w:rsid w:val="00293C7B"/>
    <w:rsid w:val="00297E1C"/>
    <w:rsid w:val="002A6E7D"/>
    <w:rsid w:val="002B184E"/>
    <w:rsid w:val="002B7C40"/>
    <w:rsid w:val="002C4971"/>
    <w:rsid w:val="002C521E"/>
    <w:rsid w:val="002D0116"/>
    <w:rsid w:val="002D569F"/>
    <w:rsid w:val="002E1DBC"/>
    <w:rsid w:val="002E2A04"/>
    <w:rsid w:val="002F5ABE"/>
    <w:rsid w:val="003016B3"/>
    <w:rsid w:val="00305A58"/>
    <w:rsid w:val="0030692E"/>
    <w:rsid w:val="00315A95"/>
    <w:rsid w:val="00326A5C"/>
    <w:rsid w:val="00331236"/>
    <w:rsid w:val="0033294D"/>
    <w:rsid w:val="003352B8"/>
    <w:rsid w:val="00341299"/>
    <w:rsid w:val="00341EA6"/>
    <w:rsid w:val="00365150"/>
    <w:rsid w:val="00366D02"/>
    <w:rsid w:val="00371ECA"/>
    <w:rsid w:val="0037203C"/>
    <w:rsid w:val="00374588"/>
    <w:rsid w:val="00375457"/>
    <w:rsid w:val="003763CD"/>
    <w:rsid w:val="003771C3"/>
    <w:rsid w:val="003805C2"/>
    <w:rsid w:val="0038370A"/>
    <w:rsid w:val="003839CF"/>
    <w:rsid w:val="003900EE"/>
    <w:rsid w:val="00391561"/>
    <w:rsid w:val="0039728D"/>
    <w:rsid w:val="003A12E5"/>
    <w:rsid w:val="003C7C89"/>
    <w:rsid w:val="003E1FB0"/>
    <w:rsid w:val="003E3946"/>
    <w:rsid w:val="003E6D4B"/>
    <w:rsid w:val="003F19AE"/>
    <w:rsid w:val="003F5CB0"/>
    <w:rsid w:val="00403B63"/>
    <w:rsid w:val="00414345"/>
    <w:rsid w:val="00417809"/>
    <w:rsid w:val="00420965"/>
    <w:rsid w:val="004241B5"/>
    <w:rsid w:val="00426472"/>
    <w:rsid w:val="00432746"/>
    <w:rsid w:val="004409D4"/>
    <w:rsid w:val="0044178D"/>
    <w:rsid w:val="00443F82"/>
    <w:rsid w:val="0044468F"/>
    <w:rsid w:val="00451853"/>
    <w:rsid w:val="00454E00"/>
    <w:rsid w:val="00473867"/>
    <w:rsid w:val="00486834"/>
    <w:rsid w:val="004951B9"/>
    <w:rsid w:val="00495785"/>
    <w:rsid w:val="00496B15"/>
    <w:rsid w:val="004A500E"/>
    <w:rsid w:val="004B36B2"/>
    <w:rsid w:val="004B501A"/>
    <w:rsid w:val="004C57A0"/>
    <w:rsid w:val="004D1D2D"/>
    <w:rsid w:val="004D2EC3"/>
    <w:rsid w:val="004F3A69"/>
    <w:rsid w:val="00540DE2"/>
    <w:rsid w:val="00557253"/>
    <w:rsid w:val="0057197C"/>
    <w:rsid w:val="005755F2"/>
    <w:rsid w:val="00583C1A"/>
    <w:rsid w:val="00596291"/>
    <w:rsid w:val="005A7FF7"/>
    <w:rsid w:val="005B4E78"/>
    <w:rsid w:val="005C2EBA"/>
    <w:rsid w:val="005C39F5"/>
    <w:rsid w:val="005D1AB8"/>
    <w:rsid w:val="005D20EB"/>
    <w:rsid w:val="005D279F"/>
    <w:rsid w:val="005D31FF"/>
    <w:rsid w:val="005D68EF"/>
    <w:rsid w:val="00620AC9"/>
    <w:rsid w:val="00637CB2"/>
    <w:rsid w:val="00640FCB"/>
    <w:rsid w:val="006435FF"/>
    <w:rsid w:val="00646574"/>
    <w:rsid w:val="00647CA0"/>
    <w:rsid w:val="00663A8B"/>
    <w:rsid w:val="00676FD2"/>
    <w:rsid w:val="00681AFC"/>
    <w:rsid w:val="006835C0"/>
    <w:rsid w:val="00685510"/>
    <w:rsid w:val="006969C5"/>
    <w:rsid w:val="0069739D"/>
    <w:rsid w:val="006A0F46"/>
    <w:rsid w:val="006A1123"/>
    <w:rsid w:val="006A44D8"/>
    <w:rsid w:val="006B0BF9"/>
    <w:rsid w:val="006B4E6F"/>
    <w:rsid w:val="006C2977"/>
    <w:rsid w:val="006C353E"/>
    <w:rsid w:val="006C76F0"/>
    <w:rsid w:val="006D52CE"/>
    <w:rsid w:val="006E5120"/>
    <w:rsid w:val="006F3586"/>
    <w:rsid w:val="006F73A7"/>
    <w:rsid w:val="006F7820"/>
    <w:rsid w:val="00702D6B"/>
    <w:rsid w:val="00707E57"/>
    <w:rsid w:val="0071574E"/>
    <w:rsid w:val="007253F4"/>
    <w:rsid w:val="00730D8F"/>
    <w:rsid w:val="00735129"/>
    <w:rsid w:val="00745BAC"/>
    <w:rsid w:val="007547C5"/>
    <w:rsid w:val="0075537B"/>
    <w:rsid w:val="007636DB"/>
    <w:rsid w:val="0076489E"/>
    <w:rsid w:val="007652BA"/>
    <w:rsid w:val="00771CFD"/>
    <w:rsid w:val="00790C1F"/>
    <w:rsid w:val="00791545"/>
    <w:rsid w:val="0079363C"/>
    <w:rsid w:val="007A5862"/>
    <w:rsid w:val="007C78F2"/>
    <w:rsid w:val="007D358C"/>
    <w:rsid w:val="007D3984"/>
    <w:rsid w:val="007F0729"/>
    <w:rsid w:val="00805F77"/>
    <w:rsid w:val="00813C87"/>
    <w:rsid w:val="0082091E"/>
    <w:rsid w:val="008319F8"/>
    <w:rsid w:val="0083657E"/>
    <w:rsid w:val="00843F80"/>
    <w:rsid w:val="008465AE"/>
    <w:rsid w:val="00851586"/>
    <w:rsid w:val="00863010"/>
    <w:rsid w:val="008634D4"/>
    <w:rsid w:val="00864C89"/>
    <w:rsid w:val="008719B0"/>
    <w:rsid w:val="008725B1"/>
    <w:rsid w:val="0087426F"/>
    <w:rsid w:val="00882841"/>
    <w:rsid w:val="0088348D"/>
    <w:rsid w:val="008B1CA5"/>
    <w:rsid w:val="008B438C"/>
    <w:rsid w:val="008D7F6E"/>
    <w:rsid w:val="008E7E63"/>
    <w:rsid w:val="008F2C58"/>
    <w:rsid w:val="008F530D"/>
    <w:rsid w:val="008F693D"/>
    <w:rsid w:val="008F7807"/>
    <w:rsid w:val="00905451"/>
    <w:rsid w:val="009060F9"/>
    <w:rsid w:val="00906FB7"/>
    <w:rsid w:val="00911690"/>
    <w:rsid w:val="00926174"/>
    <w:rsid w:val="00931B59"/>
    <w:rsid w:val="00932B5D"/>
    <w:rsid w:val="00933209"/>
    <w:rsid w:val="00937777"/>
    <w:rsid w:val="00940033"/>
    <w:rsid w:val="00951585"/>
    <w:rsid w:val="00976329"/>
    <w:rsid w:val="009830C0"/>
    <w:rsid w:val="0098492A"/>
    <w:rsid w:val="00985443"/>
    <w:rsid w:val="00996D1A"/>
    <w:rsid w:val="009A1443"/>
    <w:rsid w:val="009A59AF"/>
    <w:rsid w:val="009A7BEE"/>
    <w:rsid w:val="009B30E4"/>
    <w:rsid w:val="009B671E"/>
    <w:rsid w:val="009C0E21"/>
    <w:rsid w:val="009C155C"/>
    <w:rsid w:val="009D06FB"/>
    <w:rsid w:val="009E3045"/>
    <w:rsid w:val="009E4490"/>
    <w:rsid w:val="009E732B"/>
    <w:rsid w:val="009F6A91"/>
    <w:rsid w:val="00A0161B"/>
    <w:rsid w:val="00A0569E"/>
    <w:rsid w:val="00A20A77"/>
    <w:rsid w:val="00A23580"/>
    <w:rsid w:val="00A2502B"/>
    <w:rsid w:val="00A31439"/>
    <w:rsid w:val="00A41B69"/>
    <w:rsid w:val="00A61C7E"/>
    <w:rsid w:val="00A7161B"/>
    <w:rsid w:val="00A74FDB"/>
    <w:rsid w:val="00A91826"/>
    <w:rsid w:val="00A93502"/>
    <w:rsid w:val="00AA098E"/>
    <w:rsid w:val="00AA336E"/>
    <w:rsid w:val="00AA7D59"/>
    <w:rsid w:val="00AB0CAA"/>
    <w:rsid w:val="00AB45E0"/>
    <w:rsid w:val="00AC1941"/>
    <w:rsid w:val="00AC4B44"/>
    <w:rsid w:val="00AC5535"/>
    <w:rsid w:val="00AD242F"/>
    <w:rsid w:val="00AD377B"/>
    <w:rsid w:val="00AD4D11"/>
    <w:rsid w:val="00AF0BF5"/>
    <w:rsid w:val="00AF7A24"/>
    <w:rsid w:val="00B03AF0"/>
    <w:rsid w:val="00B1036F"/>
    <w:rsid w:val="00B14B4D"/>
    <w:rsid w:val="00B21C00"/>
    <w:rsid w:val="00B469BF"/>
    <w:rsid w:val="00B53735"/>
    <w:rsid w:val="00B550C2"/>
    <w:rsid w:val="00B60719"/>
    <w:rsid w:val="00B613D2"/>
    <w:rsid w:val="00B666CB"/>
    <w:rsid w:val="00B67A25"/>
    <w:rsid w:val="00B71004"/>
    <w:rsid w:val="00B77576"/>
    <w:rsid w:val="00B8529C"/>
    <w:rsid w:val="00B86E64"/>
    <w:rsid w:val="00B9511D"/>
    <w:rsid w:val="00BA27D3"/>
    <w:rsid w:val="00BA4C5F"/>
    <w:rsid w:val="00BA7C27"/>
    <w:rsid w:val="00BB1307"/>
    <w:rsid w:val="00BB2A96"/>
    <w:rsid w:val="00BB2AAD"/>
    <w:rsid w:val="00BC2B6E"/>
    <w:rsid w:val="00BC7803"/>
    <w:rsid w:val="00BE5D7D"/>
    <w:rsid w:val="00BF07DA"/>
    <w:rsid w:val="00BF31E9"/>
    <w:rsid w:val="00BF76C5"/>
    <w:rsid w:val="00C127AE"/>
    <w:rsid w:val="00C14626"/>
    <w:rsid w:val="00C14A6C"/>
    <w:rsid w:val="00C263CF"/>
    <w:rsid w:val="00C3309B"/>
    <w:rsid w:val="00C61842"/>
    <w:rsid w:val="00C70D27"/>
    <w:rsid w:val="00C836EB"/>
    <w:rsid w:val="00C83FFB"/>
    <w:rsid w:val="00C84FA2"/>
    <w:rsid w:val="00C86D65"/>
    <w:rsid w:val="00CA27E0"/>
    <w:rsid w:val="00CB2B0F"/>
    <w:rsid w:val="00CB371F"/>
    <w:rsid w:val="00CC02A0"/>
    <w:rsid w:val="00CC28C9"/>
    <w:rsid w:val="00CC5D2C"/>
    <w:rsid w:val="00CD3142"/>
    <w:rsid w:val="00CE0030"/>
    <w:rsid w:val="00CF109C"/>
    <w:rsid w:val="00D131A0"/>
    <w:rsid w:val="00D23A52"/>
    <w:rsid w:val="00D3313F"/>
    <w:rsid w:val="00D37C09"/>
    <w:rsid w:val="00D55D11"/>
    <w:rsid w:val="00D55EE3"/>
    <w:rsid w:val="00D6704C"/>
    <w:rsid w:val="00D75B11"/>
    <w:rsid w:val="00D8088B"/>
    <w:rsid w:val="00D92BA3"/>
    <w:rsid w:val="00D942B4"/>
    <w:rsid w:val="00DA472E"/>
    <w:rsid w:val="00DB38AF"/>
    <w:rsid w:val="00DB7928"/>
    <w:rsid w:val="00DC32DF"/>
    <w:rsid w:val="00DC3C82"/>
    <w:rsid w:val="00DC3FBE"/>
    <w:rsid w:val="00DC4624"/>
    <w:rsid w:val="00DC5AC6"/>
    <w:rsid w:val="00DD4461"/>
    <w:rsid w:val="00DF2FAC"/>
    <w:rsid w:val="00DF3302"/>
    <w:rsid w:val="00DF3888"/>
    <w:rsid w:val="00DF74F2"/>
    <w:rsid w:val="00E01461"/>
    <w:rsid w:val="00E12356"/>
    <w:rsid w:val="00E128D7"/>
    <w:rsid w:val="00E338A1"/>
    <w:rsid w:val="00E42640"/>
    <w:rsid w:val="00E4409D"/>
    <w:rsid w:val="00E45720"/>
    <w:rsid w:val="00E546E6"/>
    <w:rsid w:val="00E547C9"/>
    <w:rsid w:val="00E54965"/>
    <w:rsid w:val="00E61C72"/>
    <w:rsid w:val="00E65DCC"/>
    <w:rsid w:val="00E71FF5"/>
    <w:rsid w:val="00E723BB"/>
    <w:rsid w:val="00E763C8"/>
    <w:rsid w:val="00E80552"/>
    <w:rsid w:val="00E805A7"/>
    <w:rsid w:val="00E812C0"/>
    <w:rsid w:val="00E87D2F"/>
    <w:rsid w:val="00E9001C"/>
    <w:rsid w:val="00E945E0"/>
    <w:rsid w:val="00E95A57"/>
    <w:rsid w:val="00E97198"/>
    <w:rsid w:val="00E97F02"/>
    <w:rsid w:val="00EB1CF0"/>
    <w:rsid w:val="00EC630B"/>
    <w:rsid w:val="00EC76B3"/>
    <w:rsid w:val="00ED7102"/>
    <w:rsid w:val="00ED73E4"/>
    <w:rsid w:val="00ED7756"/>
    <w:rsid w:val="00EE0E30"/>
    <w:rsid w:val="00EE13BA"/>
    <w:rsid w:val="00EE5454"/>
    <w:rsid w:val="00F02F1B"/>
    <w:rsid w:val="00F4695A"/>
    <w:rsid w:val="00F47DC4"/>
    <w:rsid w:val="00F513B0"/>
    <w:rsid w:val="00F57B47"/>
    <w:rsid w:val="00F6297A"/>
    <w:rsid w:val="00F71CB7"/>
    <w:rsid w:val="00F85B9E"/>
    <w:rsid w:val="00FB113B"/>
    <w:rsid w:val="00FB15C0"/>
    <w:rsid w:val="00FB39EE"/>
    <w:rsid w:val="00FB47D9"/>
    <w:rsid w:val="00FB49F4"/>
    <w:rsid w:val="00FC77C1"/>
    <w:rsid w:val="00FD0151"/>
    <w:rsid w:val="00FD5B84"/>
    <w:rsid w:val="00FD7444"/>
    <w:rsid w:val="00FE0566"/>
    <w:rsid w:val="00FE4392"/>
    <w:rsid w:val="00FF74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D1A4C54"/>
  <w15:docId w15:val="{B1BDE6F8-577B-4AEE-8D36-8108EC4AE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211136">
      <w:bodyDiv w:val="1"/>
      <w:marLeft w:val="0"/>
      <w:marRight w:val="0"/>
      <w:marTop w:val="0"/>
      <w:marBottom w:val="0"/>
      <w:divBdr>
        <w:top w:val="none" w:sz="0" w:space="0" w:color="auto"/>
        <w:left w:val="none" w:sz="0" w:space="0" w:color="auto"/>
        <w:bottom w:val="none" w:sz="0" w:space="0" w:color="auto"/>
        <w:right w:val="none" w:sz="0" w:space="0" w:color="auto"/>
      </w:divBdr>
    </w:div>
    <w:div w:id="1264806048">
      <w:bodyDiv w:val="1"/>
      <w:marLeft w:val="0"/>
      <w:marRight w:val="0"/>
      <w:marTop w:val="0"/>
      <w:marBottom w:val="0"/>
      <w:divBdr>
        <w:top w:val="none" w:sz="0" w:space="0" w:color="auto"/>
        <w:left w:val="none" w:sz="0" w:space="0" w:color="auto"/>
        <w:bottom w:val="none" w:sz="0" w:space="0" w:color="auto"/>
        <w:right w:val="none" w:sz="0" w:space="0" w:color="auto"/>
      </w:divBdr>
      <w:divsChild>
        <w:div w:id="595869822">
          <w:marLeft w:val="547"/>
          <w:marRight w:val="0"/>
          <w:marTop w:val="96"/>
          <w:marBottom w:val="0"/>
          <w:divBdr>
            <w:top w:val="none" w:sz="0" w:space="0" w:color="auto"/>
            <w:left w:val="none" w:sz="0" w:space="0" w:color="auto"/>
            <w:bottom w:val="none" w:sz="0" w:space="0" w:color="auto"/>
            <w:right w:val="none" w:sz="0" w:space="0" w:color="auto"/>
          </w:divBdr>
        </w:div>
      </w:divsChild>
    </w:div>
    <w:div w:id="2030637949">
      <w:bodyDiv w:val="1"/>
      <w:marLeft w:val="0"/>
      <w:marRight w:val="0"/>
      <w:marTop w:val="0"/>
      <w:marBottom w:val="0"/>
      <w:divBdr>
        <w:top w:val="none" w:sz="0" w:space="0" w:color="auto"/>
        <w:left w:val="none" w:sz="0" w:space="0" w:color="auto"/>
        <w:bottom w:val="none" w:sz="0" w:space="0" w:color="auto"/>
        <w:right w:val="none" w:sz="0" w:space="0" w:color="auto"/>
      </w:divBdr>
      <w:divsChild>
        <w:div w:id="227569924">
          <w:marLeft w:val="547"/>
          <w:marRight w:val="0"/>
          <w:marTop w:val="120"/>
          <w:marBottom w:val="0"/>
          <w:divBdr>
            <w:top w:val="none" w:sz="0" w:space="0" w:color="auto"/>
            <w:left w:val="none" w:sz="0" w:space="0" w:color="auto"/>
            <w:bottom w:val="none" w:sz="0" w:space="0" w:color="auto"/>
            <w:right w:val="none" w:sz="0" w:space="0" w:color="auto"/>
          </w:divBdr>
        </w:div>
        <w:div w:id="1555779180">
          <w:marLeft w:val="547"/>
          <w:marRight w:val="0"/>
          <w:marTop w:val="120"/>
          <w:marBottom w:val="0"/>
          <w:divBdr>
            <w:top w:val="none" w:sz="0" w:space="0" w:color="auto"/>
            <w:left w:val="none" w:sz="0" w:space="0" w:color="auto"/>
            <w:bottom w:val="none" w:sz="0" w:space="0" w:color="auto"/>
            <w:right w:val="none" w:sz="0" w:space="0" w:color="auto"/>
          </w:divBdr>
        </w:div>
        <w:div w:id="1660576817">
          <w:marLeft w:val="547"/>
          <w:marRight w:val="0"/>
          <w:marTop w:val="120"/>
          <w:marBottom w:val="0"/>
          <w:divBdr>
            <w:top w:val="none" w:sz="0" w:space="0" w:color="auto"/>
            <w:left w:val="none" w:sz="0" w:space="0" w:color="auto"/>
            <w:bottom w:val="none" w:sz="0" w:space="0" w:color="auto"/>
            <w:right w:val="none" w:sz="0" w:space="0" w:color="auto"/>
          </w:divBdr>
        </w:div>
        <w:div w:id="1788158424">
          <w:marLeft w:val="547"/>
          <w:marRight w:val="0"/>
          <w:marTop w:val="120"/>
          <w:marBottom w:val="0"/>
          <w:divBdr>
            <w:top w:val="none" w:sz="0" w:space="0" w:color="auto"/>
            <w:left w:val="none" w:sz="0" w:space="0" w:color="auto"/>
            <w:bottom w:val="none" w:sz="0" w:space="0" w:color="auto"/>
            <w:right w:val="none" w:sz="0" w:space="0" w:color="auto"/>
          </w:divBdr>
        </w:div>
        <w:div w:id="1740979211">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mmunity-housing-fund-prospectu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F19D2-16AB-45CC-BC22-BAED9D3C9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FE237AA1.dotm</Template>
  <TotalTime>15</TotalTime>
  <Pages>3</Pages>
  <Words>998</Words>
  <Characters>5692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Dellaway, Sian - FSC OPPD</dc:creator>
  <cp:lastModifiedBy>Rebecca Smith</cp:lastModifiedBy>
  <cp:revision>3</cp:revision>
  <dcterms:created xsi:type="dcterms:W3CDTF">2018-07-17T16:49:00Z</dcterms:created>
  <dcterms:modified xsi:type="dcterms:W3CDTF">2018-07-18T08:53:00Z</dcterms:modified>
</cp:coreProperties>
</file>