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8C4F3E" w:rsidP="00933209">
      <w:pPr>
        <w:tabs>
          <w:tab w:val="left" w:pos="3533"/>
          <w:tab w:val="center" w:pos="6979"/>
        </w:tabs>
        <w:rPr>
          <w:b/>
          <w:sz w:val="28"/>
          <w:szCs w:val="28"/>
          <w:u w:val="double" w:color="0070C0"/>
        </w:rPr>
      </w:pPr>
      <w:r>
        <w:rPr>
          <w:b/>
          <w:sz w:val="28"/>
          <w:szCs w:val="28"/>
          <w:u w:val="double" w:color="0070C0"/>
        </w:rPr>
        <w:t>HSEG</w:t>
      </w:r>
      <w:r w:rsidR="003805C2">
        <w:rPr>
          <w:b/>
          <w:sz w:val="28"/>
          <w:szCs w:val="28"/>
          <w:u w:val="double" w:color="0070C0"/>
        </w:rPr>
        <w:t xml:space="preserve"> 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sidR="004A500E">
        <w:rPr>
          <w:b/>
          <w:sz w:val="28"/>
          <w:szCs w:val="28"/>
          <w:u w:val="double" w:color="0070C0"/>
        </w:rPr>
        <w:t xml:space="preserve"> – </w:t>
      </w:r>
      <w:r>
        <w:rPr>
          <w:b/>
          <w:sz w:val="28"/>
          <w:szCs w:val="28"/>
          <w:u w:val="double" w:color="0070C0"/>
        </w:rPr>
        <w:t>3</w:t>
      </w:r>
      <w:r w:rsidRPr="008C4F3E">
        <w:rPr>
          <w:b/>
          <w:sz w:val="28"/>
          <w:szCs w:val="28"/>
          <w:u w:val="double" w:color="0070C0"/>
          <w:vertAlign w:val="superscript"/>
        </w:rPr>
        <w:t>rd</w:t>
      </w:r>
      <w:r>
        <w:rPr>
          <w:b/>
          <w:sz w:val="28"/>
          <w:szCs w:val="28"/>
          <w:u w:val="double" w:color="0070C0"/>
        </w:rPr>
        <w:t xml:space="preserve"> October</w:t>
      </w:r>
      <w:r w:rsidR="002479D5">
        <w:rPr>
          <w:b/>
          <w:sz w:val="28"/>
          <w:szCs w:val="28"/>
          <w:u w:val="double" w:color="0070C0"/>
        </w:rPr>
        <w:t xml:space="preserve"> </w:t>
      </w:r>
      <w:r w:rsidR="004A500E">
        <w:rPr>
          <w:b/>
          <w:sz w:val="28"/>
          <w:szCs w:val="28"/>
          <w:u w:val="double" w:color="0070C0"/>
        </w:rPr>
        <w:t xml:space="preserve">2017, </w:t>
      </w:r>
      <w:r>
        <w:rPr>
          <w:b/>
          <w:sz w:val="28"/>
          <w:szCs w:val="28"/>
          <w:u w:val="double" w:color="0070C0"/>
        </w:rPr>
        <w:t>Ashford Borough Council</w:t>
      </w:r>
    </w:p>
    <w:tbl>
      <w:tblPr>
        <w:tblStyle w:val="TableGrid"/>
        <w:tblW w:w="15971" w:type="dxa"/>
        <w:tblInd w:w="-743" w:type="dxa"/>
        <w:tblLayout w:type="fixed"/>
        <w:tblLook w:val="04A0" w:firstRow="1" w:lastRow="0" w:firstColumn="1" w:lastColumn="0" w:noHBand="0" w:noVBand="1"/>
      </w:tblPr>
      <w:tblGrid>
        <w:gridCol w:w="993"/>
        <w:gridCol w:w="1276"/>
        <w:gridCol w:w="8363"/>
        <w:gridCol w:w="3260"/>
        <w:gridCol w:w="993"/>
        <w:gridCol w:w="1086"/>
      </w:tblGrid>
      <w:tr w:rsidR="008319F8" w:rsidRPr="00745BAC" w:rsidTr="00DF3888">
        <w:tc>
          <w:tcPr>
            <w:tcW w:w="15971" w:type="dxa"/>
            <w:gridSpan w:val="6"/>
            <w:shd w:val="clear" w:color="auto" w:fill="0070C0"/>
          </w:tcPr>
          <w:p w:rsidR="008319F8" w:rsidRDefault="008319F8" w:rsidP="00745BAC">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FB6BEB">
              <w:rPr>
                <w:rFonts w:cstheme="minorHAnsi"/>
                <w:color w:val="FFFFFF" w:themeColor="background1"/>
              </w:rPr>
              <w:t>Sarah Lewis, Co-Chair &amp; TWBC; Andrew Paterson, Co-Chair &amp; Canterbury CC; Jo Ellis, Mentor &amp; TCHG; Ashley Stacey, Thanet DC; Tessa O’Sullivan, ACRK; Elly Toye, Dover DC; Jane Griffiths, BPHA; Liz Crockford, Sevenoaks DC; Aaron Nichols, Medway Council; Sandra Sainsbury, Shepway DC; Gillian Aylett, TMBC; Emma Bartlett, Canterbury CC; Rebecca Smith, KHG</w:t>
            </w:r>
          </w:p>
          <w:p w:rsidR="00745BAC" w:rsidRDefault="00745BAC" w:rsidP="00745BAC">
            <w:pPr>
              <w:jc w:val="center"/>
              <w:rPr>
                <w:color w:val="FFFFFF" w:themeColor="background1"/>
              </w:rPr>
            </w:pPr>
          </w:p>
          <w:p w:rsidR="0087426F" w:rsidRDefault="00745BAC" w:rsidP="00745BAC">
            <w:pPr>
              <w:rPr>
                <w:rFonts w:cstheme="minorHAnsi"/>
                <w:color w:val="FFFFFF" w:themeColor="background1"/>
              </w:rPr>
            </w:pPr>
            <w:r w:rsidRPr="00C127AE">
              <w:rPr>
                <w:rFonts w:cstheme="minorHAnsi"/>
                <w:b/>
                <w:color w:val="FFFFFF" w:themeColor="background1"/>
              </w:rPr>
              <w:t>Apologies</w:t>
            </w:r>
            <w:r>
              <w:rPr>
                <w:rFonts w:cstheme="minorHAnsi"/>
                <w:color w:val="FFFFFF" w:themeColor="background1"/>
              </w:rPr>
              <w:t xml:space="preserve">: </w:t>
            </w:r>
            <w:r w:rsidR="001943D7">
              <w:rPr>
                <w:rFonts w:cstheme="minorHAnsi"/>
                <w:color w:val="FFFFFF" w:themeColor="background1"/>
              </w:rPr>
              <w:t>Sarah Platts, KCC</w:t>
            </w:r>
            <w:r w:rsidR="00FB6BEB">
              <w:rPr>
                <w:rFonts w:cstheme="minorHAnsi"/>
                <w:color w:val="FFFFFF" w:themeColor="background1"/>
              </w:rPr>
              <w:t>; David Jeffrey &amp; Jennifer Shaw, Ashford BC; Rebecca Walker, Swale BC; Tony Stewart &amp; Alison Elliott, Maidstone BC</w:t>
            </w:r>
          </w:p>
          <w:p w:rsidR="00E97198" w:rsidRDefault="00E97198" w:rsidP="00745BAC">
            <w:pPr>
              <w:rPr>
                <w:rFonts w:cstheme="minorHAnsi"/>
                <w:color w:val="FFFFFF" w:themeColor="background1"/>
              </w:rPr>
            </w:pPr>
          </w:p>
          <w:p w:rsidR="00E97198" w:rsidRDefault="006C2977" w:rsidP="00745BAC">
            <w:pPr>
              <w:rPr>
                <w:rFonts w:cstheme="minorHAnsi"/>
                <w:color w:val="FFFFFF" w:themeColor="background1"/>
              </w:rPr>
            </w:pPr>
            <w:r w:rsidRPr="00FB6BEB">
              <w:rPr>
                <w:rFonts w:cstheme="minorHAnsi"/>
                <w:b/>
                <w:color w:val="FFFFFF" w:themeColor="background1"/>
              </w:rPr>
              <w:t>Visitor</w:t>
            </w:r>
            <w:r w:rsidR="006F3586" w:rsidRPr="00FB6BEB">
              <w:rPr>
                <w:rFonts w:cstheme="minorHAnsi"/>
                <w:b/>
                <w:color w:val="FFFFFF" w:themeColor="background1"/>
              </w:rPr>
              <w:t>s</w:t>
            </w:r>
            <w:r w:rsidR="00E97198">
              <w:rPr>
                <w:rFonts w:cstheme="minorHAnsi"/>
                <w:color w:val="FFFFFF" w:themeColor="background1"/>
              </w:rPr>
              <w:t xml:space="preserve">: </w:t>
            </w:r>
            <w:r w:rsidR="001943D7">
              <w:rPr>
                <w:rFonts w:cstheme="minorHAnsi"/>
                <w:color w:val="FFFFFF" w:themeColor="background1"/>
              </w:rPr>
              <w:t>Hannah Clements, K</w:t>
            </w:r>
            <w:r w:rsidR="001C7AAC">
              <w:rPr>
                <w:rFonts w:cstheme="minorHAnsi"/>
                <w:color w:val="FFFFFF" w:themeColor="background1"/>
              </w:rPr>
              <w:t>CC</w:t>
            </w:r>
          </w:p>
          <w:p w:rsidR="00745BAC" w:rsidRPr="00745BAC" w:rsidRDefault="00745BAC" w:rsidP="00E42640">
            <w:pPr>
              <w:rPr>
                <w:rFonts w:cstheme="minorHAnsi"/>
                <w:color w:val="FFFFFF" w:themeColor="background1"/>
              </w:rPr>
            </w:pPr>
          </w:p>
        </w:tc>
      </w:tr>
      <w:tr w:rsidR="00933209" w:rsidRPr="00745BAC" w:rsidTr="00DC3C82">
        <w:tc>
          <w:tcPr>
            <w:tcW w:w="993" w:type="dxa"/>
            <w:shd w:val="clear" w:color="auto" w:fill="DBE5F1" w:themeFill="accent1" w:themeFillTint="33"/>
          </w:tcPr>
          <w:p w:rsidR="00933209" w:rsidRPr="00745BAC" w:rsidRDefault="00933209" w:rsidP="002B184E">
            <w:pPr>
              <w:jc w:val="center"/>
              <w:rPr>
                <w:b/>
              </w:rPr>
            </w:pPr>
            <w:r>
              <w:rPr>
                <w:b/>
              </w:rPr>
              <w:t>Meeting Date</w:t>
            </w:r>
          </w:p>
        </w:tc>
        <w:tc>
          <w:tcPr>
            <w:tcW w:w="1276" w:type="dxa"/>
            <w:shd w:val="clear" w:color="auto" w:fill="DBE5F1" w:themeFill="accent1" w:themeFillTint="33"/>
          </w:tcPr>
          <w:p w:rsidR="00933209" w:rsidRPr="00745BAC" w:rsidRDefault="00933209" w:rsidP="008719B0">
            <w:pPr>
              <w:jc w:val="center"/>
              <w:rPr>
                <w:b/>
              </w:rPr>
            </w:pPr>
            <w:r w:rsidRPr="00745BAC">
              <w:rPr>
                <w:b/>
              </w:rPr>
              <w:t>Reference</w:t>
            </w:r>
          </w:p>
        </w:tc>
        <w:tc>
          <w:tcPr>
            <w:tcW w:w="8363" w:type="dxa"/>
            <w:shd w:val="clear" w:color="auto" w:fill="DBE5F1" w:themeFill="accent1" w:themeFillTint="33"/>
          </w:tcPr>
          <w:p w:rsidR="00933209" w:rsidRPr="00745BAC" w:rsidRDefault="00933209" w:rsidP="002B184E">
            <w:pPr>
              <w:jc w:val="center"/>
              <w:rPr>
                <w:b/>
              </w:rPr>
            </w:pPr>
            <w:r>
              <w:rPr>
                <w:b/>
              </w:rPr>
              <w:t>Notes</w:t>
            </w:r>
          </w:p>
        </w:tc>
        <w:tc>
          <w:tcPr>
            <w:tcW w:w="3260" w:type="dxa"/>
            <w:shd w:val="clear" w:color="auto" w:fill="DBE5F1" w:themeFill="accent1" w:themeFillTint="33"/>
          </w:tcPr>
          <w:p w:rsidR="00933209" w:rsidRPr="00745BAC" w:rsidRDefault="00933209" w:rsidP="008719B0">
            <w:pPr>
              <w:jc w:val="center"/>
              <w:rPr>
                <w:b/>
              </w:rPr>
            </w:pPr>
            <w:r w:rsidRPr="00745BAC">
              <w:rPr>
                <w:b/>
              </w:rPr>
              <w:t>Action/Decision</w:t>
            </w:r>
          </w:p>
        </w:tc>
        <w:tc>
          <w:tcPr>
            <w:tcW w:w="993" w:type="dxa"/>
            <w:shd w:val="clear" w:color="auto" w:fill="DBE5F1" w:themeFill="accent1" w:themeFillTint="33"/>
          </w:tcPr>
          <w:p w:rsidR="00933209" w:rsidRPr="00745BAC" w:rsidRDefault="00933209" w:rsidP="00E9001C">
            <w:pPr>
              <w:jc w:val="center"/>
              <w:rPr>
                <w:b/>
              </w:rPr>
            </w:pPr>
            <w:r>
              <w:rPr>
                <w:b/>
              </w:rPr>
              <w:t xml:space="preserve">Lead </w:t>
            </w:r>
          </w:p>
        </w:tc>
        <w:tc>
          <w:tcPr>
            <w:tcW w:w="1086" w:type="dxa"/>
            <w:shd w:val="clear" w:color="auto" w:fill="DBE5F1" w:themeFill="accent1" w:themeFillTint="33"/>
          </w:tcPr>
          <w:p w:rsidR="00933209" w:rsidRPr="00745BAC" w:rsidRDefault="00933209" w:rsidP="008719B0">
            <w:pPr>
              <w:jc w:val="center"/>
              <w:rPr>
                <w:b/>
              </w:rPr>
            </w:pPr>
            <w:r w:rsidRPr="00E9001C">
              <w:rPr>
                <w:b/>
                <w:sz w:val="20"/>
              </w:rPr>
              <w:t>Timescale</w:t>
            </w:r>
          </w:p>
        </w:tc>
      </w:tr>
      <w:tr w:rsidR="001C3A06" w:rsidRPr="00745BAC" w:rsidTr="00DC3C82">
        <w:tc>
          <w:tcPr>
            <w:tcW w:w="993" w:type="dxa"/>
          </w:tcPr>
          <w:p w:rsidR="001C3A06" w:rsidRPr="00745BAC" w:rsidRDefault="008C4F3E" w:rsidP="002B184E">
            <w:bookmarkStart w:id="0" w:name="_GoBack" w:colFirst="3" w:colLast="3"/>
            <w:r>
              <w:t>3.10</w:t>
            </w:r>
            <w:r w:rsidR="001C3A06">
              <w:t>.17</w:t>
            </w:r>
          </w:p>
        </w:tc>
        <w:tc>
          <w:tcPr>
            <w:tcW w:w="1276" w:type="dxa"/>
            <w:shd w:val="clear" w:color="auto" w:fill="auto"/>
          </w:tcPr>
          <w:p w:rsidR="001C3A06" w:rsidRPr="00745BAC" w:rsidRDefault="001C3A06" w:rsidP="008719B0">
            <w:r>
              <w:t>GIF Update</w:t>
            </w:r>
          </w:p>
        </w:tc>
        <w:tc>
          <w:tcPr>
            <w:tcW w:w="8363" w:type="dxa"/>
            <w:shd w:val="clear" w:color="auto" w:fill="auto"/>
          </w:tcPr>
          <w:p w:rsidR="001C3A06" w:rsidRDefault="003016B3" w:rsidP="00D131A0">
            <w:pPr>
              <w:jc w:val="both"/>
            </w:pPr>
            <w:r>
              <w:t xml:space="preserve">Published in 2015, the GIF is a picture is of housing growth up to 2030 and at what cost to provide the housing, the infrastructure requirements.  There is a breakdown of infrastructure requirements and costs.  The original 2015 version found a massive challenge of </w:t>
            </w:r>
            <w:r w:rsidR="0069739D">
              <w:t>infrastructure funding and a £2b</w:t>
            </w:r>
            <w:r>
              <w:t xml:space="preserve"> gap in funding.</w:t>
            </w:r>
          </w:p>
          <w:p w:rsidR="003016B3" w:rsidRDefault="003016B3" w:rsidP="00D131A0">
            <w:pPr>
              <w:jc w:val="both"/>
            </w:pPr>
          </w:p>
          <w:p w:rsidR="0069739D" w:rsidRDefault="0069739D" w:rsidP="00D131A0">
            <w:pPr>
              <w:jc w:val="both"/>
            </w:pPr>
            <w:r>
              <w:t xml:space="preserve">Now providing and update to the 2015, showing similar messages but identifying new messages.  </w:t>
            </w:r>
            <w:r w:rsidR="00BA7C27">
              <w:t>T</w:t>
            </w:r>
            <w:r>
              <w:t>he presentation provides information about number of new homes, infrastructure.</w:t>
            </w:r>
            <w:r w:rsidR="00BA7C27">
              <w:t xml:space="preserve">  </w:t>
            </w:r>
            <w:r>
              <w:t>2011 – 2030 – reinforcing existing messages, the funding gap around infrastructure is decreasing, slightly.  Cross county</w:t>
            </w:r>
            <w:r w:rsidR="00BA7C27">
              <w:t xml:space="preserve"> projects are big priorities (</w:t>
            </w:r>
            <w:r>
              <w:t xml:space="preserve">lower </w:t>
            </w:r>
            <w:r w:rsidR="00BA7C27">
              <w:t>Thames</w:t>
            </w:r>
            <w:r>
              <w:t xml:space="preserve"> crossing and Crossrail to Ebbs fleet).  The challenge remains the same, a graph to show housing completions and planned housing.</w:t>
            </w:r>
          </w:p>
          <w:p w:rsidR="0069739D" w:rsidRDefault="0069739D" w:rsidP="00D131A0">
            <w:pPr>
              <w:jc w:val="both"/>
            </w:pPr>
          </w:p>
          <w:p w:rsidR="0069739D" w:rsidRDefault="0069739D" w:rsidP="00D131A0">
            <w:pPr>
              <w:jc w:val="both"/>
            </w:pPr>
            <w:r>
              <w:t>The GIF does identify successes, the gap in funding remains a barrier to growth but the GIF should bring forward recommendations to address issues identified.  Actions include work around investment and innovation.</w:t>
            </w:r>
          </w:p>
          <w:p w:rsidR="0069739D" w:rsidRDefault="0069739D" w:rsidP="00D131A0">
            <w:pPr>
              <w:jc w:val="both"/>
            </w:pPr>
          </w:p>
          <w:p w:rsidR="0069739D" w:rsidRDefault="0069739D" w:rsidP="00D131A0">
            <w:pPr>
              <w:jc w:val="both"/>
            </w:pPr>
            <w:r>
              <w:t>The GIF takes a sub county approach in the new version, split to North East and West, the layout is similar but there are new infographics and maps to make information clearer.    New chapters are included – a new focus on maintenance and associated costs, need to future proof infrastructure – presentation includes information about highways maintenance costing.  New chapter – a 2050 Picture for Kent and Medway, this is about matching London and National Local Plans that run to this term, linking to technology, planning and building resilience within communities and Health and Social Care.</w:t>
            </w:r>
          </w:p>
          <w:p w:rsidR="0069739D" w:rsidRDefault="0069739D" w:rsidP="00D131A0">
            <w:pPr>
              <w:jc w:val="both"/>
            </w:pPr>
          </w:p>
          <w:p w:rsidR="0069739D" w:rsidRDefault="00BA7C27" w:rsidP="00D131A0">
            <w:pPr>
              <w:jc w:val="both"/>
            </w:pPr>
            <w:r>
              <w:lastRenderedPageBreak/>
              <w:t xml:space="preserve">Another focus is Climate challenges – what could happen by 2050, Kent still has a large agriculture sector, how to future proof homes and adapt existing provision.  There is an ageing population to consider as part of the overall picture (see slides for more information about projected population to 2050).  </w:t>
            </w:r>
            <w:r w:rsidR="00AF0BF5">
              <w:t>By 2050 will have to consider OP who are 100+ years.</w:t>
            </w:r>
          </w:p>
          <w:p w:rsidR="00AF0BF5" w:rsidRDefault="00AF0BF5" w:rsidP="00D131A0">
            <w:pPr>
              <w:jc w:val="both"/>
            </w:pPr>
          </w:p>
          <w:p w:rsidR="00AF0BF5" w:rsidRDefault="00AF0BF5" w:rsidP="00D131A0">
            <w:pPr>
              <w:jc w:val="both"/>
            </w:pPr>
            <w:r>
              <w:t xml:space="preserve">There is a chapter about London and the relationship with London, a wider look at development questions to work positively with London, how to respond to the London Plan and Transport Plan, making sure Kent’s needs are addressed as part of this.  The 2017 GIF will have focus on the Commercial space and offer in Kent, there is a current decline in supply of commercial space in the County.    There are slides about the impact of regulatory changes on demand and supply.  </w:t>
            </w:r>
          </w:p>
          <w:p w:rsidR="00AF0BF5" w:rsidRDefault="00AF0BF5" w:rsidP="00D131A0">
            <w:pPr>
              <w:jc w:val="both"/>
            </w:pPr>
          </w:p>
          <w:p w:rsidR="00297E1C" w:rsidRDefault="00297E1C" w:rsidP="00D131A0">
            <w:pPr>
              <w:jc w:val="both"/>
            </w:pPr>
            <w:r>
              <w:t xml:space="preserve">The GIF will develop and action plan, the original GIF had 10 actions, there has been a lot of work in KCC around utilities since the last GIF as part of that, there is more to develop further.  There will be a stand-alone action plan working with local partner groups, picking up themes identified within work such as the KMHS.    The slides provide a time line of work for the GIF.  SP and HC thanked colleagues for accepting their presentation on the GIF.   There will be continued engagement across all groups and key personnel about the development of the GIF.  </w:t>
            </w:r>
          </w:p>
          <w:p w:rsidR="00297E1C" w:rsidRDefault="00297E1C" w:rsidP="00D131A0">
            <w:pPr>
              <w:jc w:val="both"/>
            </w:pPr>
          </w:p>
          <w:p w:rsidR="00297E1C" w:rsidRDefault="00297E1C" w:rsidP="00D131A0">
            <w:pPr>
              <w:jc w:val="both"/>
            </w:pPr>
            <w:r w:rsidRPr="007475C9">
              <w:rPr>
                <w:b/>
              </w:rPr>
              <w:t>Feedback</w:t>
            </w:r>
            <w:r w:rsidR="00E9001C" w:rsidRPr="007475C9">
              <w:rPr>
                <w:b/>
              </w:rPr>
              <w:t xml:space="preserve"> about the GIF &amp; Presentation</w:t>
            </w:r>
            <w:r w:rsidR="00E9001C">
              <w:t xml:space="preserve"> –</w:t>
            </w:r>
          </w:p>
          <w:p w:rsidR="00E9001C" w:rsidRDefault="00E9001C" w:rsidP="00D131A0">
            <w:pPr>
              <w:jc w:val="both"/>
            </w:pPr>
          </w:p>
          <w:p w:rsidR="007475C9" w:rsidRDefault="00FB6BEB" w:rsidP="008C4F3E">
            <w:pPr>
              <w:jc w:val="both"/>
            </w:pPr>
            <w:r>
              <w:t>What is the definition of Infrastructu</w:t>
            </w:r>
            <w:r w:rsidR="007475C9">
              <w:t>re? There are five key elements to the definition: Transport; Education; Utilities &amp; Environment; Communities &amp; Culture; Health and Social Care.</w:t>
            </w:r>
          </w:p>
          <w:p w:rsidR="007475C9" w:rsidRDefault="007475C9" w:rsidP="008C4F3E">
            <w:pPr>
              <w:jc w:val="both"/>
            </w:pPr>
          </w:p>
          <w:p w:rsidR="007475C9" w:rsidRDefault="007475C9" w:rsidP="008C4F3E">
            <w:pPr>
              <w:jc w:val="both"/>
            </w:pPr>
            <w:r>
              <w:t xml:space="preserve">The information in the GIF is not new, it’s taken from a variety of sources and is brought together in a collaborative framework.  </w:t>
            </w:r>
          </w:p>
          <w:p w:rsidR="007475C9" w:rsidRDefault="007475C9" w:rsidP="008C4F3E">
            <w:pPr>
              <w:jc w:val="both"/>
            </w:pPr>
          </w:p>
          <w:p w:rsidR="007475C9" w:rsidRPr="00745BAC" w:rsidRDefault="007475C9" w:rsidP="008C4F3E">
            <w:pPr>
              <w:jc w:val="both"/>
            </w:pPr>
            <w:r>
              <w:t>There are sub committees set up for elements of the GIF, for example Utilities where the key issues are discussed amongst appropriate representatives.  Energy is the next topic for a subcommittee.    The impact of infrastructure on affordable housing was discussed and this is being considered , using overall delivery numbers not just affordable housing numbers, and will be put into the action plan that will sit beneath the GIF.</w:t>
            </w:r>
          </w:p>
        </w:tc>
        <w:tc>
          <w:tcPr>
            <w:tcW w:w="3260" w:type="dxa"/>
            <w:shd w:val="clear" w:color="auto" w:fill="auto"/>
          </w:tcPr>
          <w:p w:rsidR="001C3A06" w:rsidRPr="005A6F8C" w:rsidRDefault="001C3A06" w:rsidP="004472A2">
            <w:pPr>
              <w:jc w:val="both"/>
              <w:rPr>
                <w:b/>
              </w:rPr>
            </w:pPr>
            <w:r w:rsidRPr="005A6F8C">
              <w:rPr>
                <w:b/>
              </w:rPr>
              <w:lastRenderedPageBreak/>
              <w:t xml:space="preserve">RS to share presentation </w:t>
            </w: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p>
          <w:p w:rsidR="007475C9" w:rsidRPr="005A6F8C" w:rsidRDefault="007475C9" w:rsidP="004472A2">
            <w:pPr>
              <w:jc w:val="both"/>
              <w:rPr>
                <w:b/>
              </w:rPr>
            </w:pPr>
            <w:r w:rsidRPr="005A6F8C">
              <w:rPr>
                <w:b/>
              </w:rPr>
              <w:t>Colleagues to contact Hannah with any queries or comments from the presentation</w:t>
            </w:r>
          </w:p>
        </w:tc>
        <w:tc>
          <w:tcPr>
            <w:tcW w:w="993" w:type="dxa"/>
            <w:shd w:val="clear" w:color="auto" w:fill="auto"/>
          </w:tcPr>
          <w:p w:rsidR="001C3A06" w:rsidRDefault="001C3A06" w:rsidP="008719B0">
            <w:pPr>
              <w:jc w:val="both"/>
              <w:rPr>
                <w:b/>
              </w:rPr>
            </w:pPr>
            <w:r>
              <w:rPr>
                <w:b/>
              </w:rPr>
              <w:t>RS</w:t>
            </w: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Default="007475C9" w:rsidP="008719B0">
            <w:pPr>
              <w:jc w:val="both"/>
              <w:rPr>
                <w:b/>
              </w:rPr>
            </w:pPr>
          </w:p>
          <w:p w:rsidR="007475C9" w:rsidRPr="0044468F" w:rsidRDefault="007475C9" w:rsidP="008719B0">
            <w:pPr>
              <w:jc w:val="both"/>
              <w:rPr>
                <w:b/>
              </w:rPr>
            </w:pPr>
            <w:r>
              <w:rPr>
                <w:b/>
              </w:rPr>
              <w:t>ALL</w:t>
            </w:r>
          </w:p>
        </w:tc>
        <w:tc>
          <w:tcPr>
            <w:tcW w:w="1086" w:type="dxa"/>
            <w:shd w:val="clear" w:color="auto" w:fill="auto"/>
          </w:tcPr>
          <w:p w:rsidR="001C3A06" w:rsidRDefault="004472A2" w:rsidP="008719B0">
            <w:pPr>
              <w:jc w:val="both"/>
              <w:rPr>
                <w:b/>
                <w:color w:val="FF0000"/>
              </w:rPr>
            </w:pPr>
            <w:r>
              <w:rPr>
                <w:b/>
                <w:color w:val="FF0000"/>
              </w:rPr>
              <w:t>By 7/10</w:t>
            </w: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Default="007475C9" w:rsidP="008719B0">
            <w:pPr>
              <w:jc w:val="both"/>
              <w:rPr>
                <w:b/>
                <w:color w:val="FF0000"/>
              </w:rPr>
            </w:pPr>
          </w:p>
          <w:p w:rsidR="007475C9" w:rsidRPr="0044468F" w:rsidRDefault="007475C9" w:rsidP="008719B0">
            <w:pPr>
              <w:jc w:val="both"/>
              <w:rPr>
                <w:b/>
                <w:color w:val="FF0000"/>
              </w:rPr>
            </w:pPr>
            <w:r>
              <w:rPr>
                <w:b/>
                <w:color w:val="FF0000"/>
              </w:rPr>
              <w:t>By 9/10</w:t>
            </w:r>
          </w:p>
        </w:tc>
      </w:tr>
      <w:bookmarkEnd w:id="0"/>
      <w:tr w:rsidR="001C3A06" w:rsidRPr="00745BAC" w:rsidTr="00DC3C82">
        <w:tc>
          <w:tcPr>
            <w:tcW w:w="993" w:type="dxa"/>
          </w:tcPr>
          <w:p w:rsidR="001C3A06" w:rsidRDefault="008C4F3E">
            <w:r>
              <w:t>3.10.17</w:t>
            </w:r>
          </w:p>
        </w:tc>
        <w:tc>
          <w:tcPr>
            <w:tcW w:w="1276" w:type="dxa"/>
            <w:shd w:val="clear" w:color="auto" w:fill="auto"/>
          </w:tcPr>
          <w:p w:rsidR="001C3A06" w:rsidRPr="00745BAC" w:rsidRDefault="001C3A06" w:rsidP="008719B0">
            <w:r>
              <w:t>Mins/Matters Arising</w:t>
            </w:r>
          </w:p>
        </w:tc>
        <w:tc>
          <w:tcPr>
            <w:tcW w:w="8363" w:type="dxa"/>
            <w:shd w:val="clear" w:color="auto" w:fill="auto"/>
          </w:tcPr>
          <w:p w:rsidR="003771C3" w:rsidRDefault="00AB2059" w:rsidP="005D31FF">
            <w:pPr>
              <w:jc w:val="both"/>
            </w:pPr>
            <w:r>
              <w:t xml:space="preserve">Minutes Agreed as accurate.  </w:t>
            </w:r>
          </w:p>
          <w:p w:rsidR="00AB2059" w:rsidRDefault="00AB2059" w:rsidP="005D31FF">
            <w:pPr>
              <w:jc w:val="both"/>
            </w:pPr>
          </w:p>
          <w:p w:rsidR="00AB2059" w:rsidRPr="00745BAC" w:rsidRDefault="00AB2059" w:rsidP="005D31FF">
            <w:pPr>
              <w:jc w:val="both"/>
            </w:pPr>
            <w:r>
              <w:t>Page 3 – Under 35’s workshop is taking place on Friday 6</w:t>
            </w:r>
            <w:r w:rsidRPr="00AB2059">
              <w:rPr>
                <w:vertAlign w:val="superscript"/>
              </w:rPr>
              <w:t>th</w:t>
            </w:r>
            <w:r>
              <w:t xml:space="preserve"> October, notes and presentations to be shared following the event.</w:t>
            </w:r>
          </w:p>
        </w:tc>
        <w:tc>
          <w:tcPr>
            <w:tcW w:w="3260" w:type="dxa"/>
            <w:shd w:val="clear" w:color="auto" w:fill="auto"/>
          </w:tcPr>
          <w:p w:rsidR="001C3A06" w:rsidRDefault="001C3A06" w:rsidP="00D131A0">
            <w:pPr>
              <w:jc w:val="both"/>
            </w:pPr>
          </w:p>
          <w:p w:rsidR="00F85B9E" w:rsidRDefault="00F85B9E" w:rsidP="00D131A0">
            <w:pPr>
              <w:jc w:val="both"/>
            </w:pPr>
          </w:p>
          <w:p w:rsidR="00F85B9E" w:rsidRPr="005A6F8C" w:rsidRDefault="005659E4" w:rsidP="005A6F8C">
            <w:pPr>
              <w:rPr>
                <w:b/>
              </w:rPr>
            </w:pPr>
            <w:r w:rsidRPr="005A6F8C">
              <w:rPr>
                <w:b/>
              </w:rPr>
              <w:t>RS to ensure information available after event</w:t>
            </w:r>
          </w:p>
          <w:p w:rsidR="00F85B9E" w:rsidRPr="00745BAC" w:rsidRDefault="00F85B9E" w:rsidP="00D131A0">
            <w:pPr>
              <w:jc w:val="both"/>
            </w:pPr>
          </w:p>
        </w:tc>
        <w:tc>
          <w:tcPr>
            <w:tcW w:w="993" w:type="dxa"/>
            <w:shd w:val="clear" w:color="auto" w:fill="auto"/>
          </w:tcPr>
          <w:p w:rsidR="00F85B9E" w:rsidRDefault="00F85B9E" w:rsidP="00D131A0">
            <w:pPr>
              <w:jc w:val="both"/>
              <w:rPr>
                <w:b/>
              </w:rPr>
            </w:pPr>
          </w:p>
          <w:p w:rsidR="005659E4" w:rsidRDefault="005659E4" w:rsidP="00D131A0">
            <w:pPr>
              <w:jc w:val="both"/>
              <w:rPr>
                <w:b/>
              </w:rPr>
            </w:pPr>
          </w:p>
          <w:p w:rsidR="005659E4" w:rsidRPr="0044468F" w:rsidRDefault="005659E4" w:rsidP="00D131A0">
            <w:pPr>
              <w:jc w:val="both"/>
              <w:rPr>
                <w:b/>
              </w:rPr>
            </w:pPr>
            <w:r>
              <w:rPr>
                <w:b/>
              </w:rPr>
              <w:t>RS</w:t>
            </w:r>
          </w:p>
        </w:tc>
        <w:tc>
          <w:tcPr>
            <w:tcW w:w="1086" w:type="dxa"/>
            <w:shd w:val="clear" w:color="auto" w:fill="auto"/>
          </w:tcPr>
          <w:p w:rsidR="00F85B9E" w:rsidRDefault="00F85B9E" w:rsidP="00F85B9E">
            <w:pPr>
              <w:rPr>
                <w:b/>
                <w:color w:val="FF0000"/>
              </w:rPr>
            </w:pPr>
          </w:p>
          <w:p w:rsidR="005659E4" w:rsidRDefault="005659E4" w:rsidP="00F85B9E">
            <w:pPr>
              <w:rPr>
                <w:b/>
                <w:color w:val="FF0000"/>
              </w:rPr>
            </w:pPr>
          </w:p>
          <w:p w:rsidR="005659E4" w:rsidRPr="0044468F" w:rsidRDefault="005659E4" w:rsidP="00F85B9E">
            <w:pPr>
              <w:rPr>
                <w:b/>
                <w:color w:val="FF0000"/>
              </w:rPr>
            </w:pPr>
            <w:r>
              <w:rPr>
                <w:b/>
                <w:color w:val="FF0000"/>
              </w:rPr>
              <w:t>By 16/10</w:t>
            </w:r>
          </w:p>
        </w:tc>
      </w:tr>
      <w:tr w:rsidR="001C3A06" w:rsidRPr="00745BAC" w:rsidTr="00DC3C82">
        <w:tc>
          <w:tcPr>
            <w:tcW w:w="993" w:type="dxa"/>
          </w:tcPr>
          <w:p w:rsidR="001C3A06" w:rsidRDefault="008C4F3E">
            <w:r>
              <w:t>3.10.17</w:t>
            </w:r>
          </w:p>
        </w:tc>
        <w:tc>
          <w:tcPr>
            <w:tcW w:w="1276" w:type="dxa"/>
            <w:shd w:val="clear" w:color="auto" w:fill="auto"/>
          </w:tcPr>
          <w:p w:rsidR="001C3A06" w:rsidRDefault="00AB2059" w:rsidP="008719B0">
            <w:r>
              <w:t>HCA Update</w:t>
            </w:r>
          </w:p>
        </w:tc>
        <w:tc>
          <w:tcPr>
            <w:tcW w:w="8363" w:type="dxa"/>
            <w:shd w:val="clear" w:color="auto" w:fill="auto"/>
          </w:tcPr>
          <w:p w:rsidR="00F85B9E" w:rsidRDefault="00AB2059" w:rsidP="00D131A0">
            <w:pPr>
              <w:jc w:val="both"/>
            </w:pPr>
            <w:r>
              <w:t>There was no representative from the HCA.  AN advised that he met with Stephen Baldry yesterday but there was no information to share.  He did update that there is funding available for any specialist accommodation, as previous funding was not fully utilised.  Would rural schemes be considered?  Medway are looking at LD, Sheltered Plus, and accommodation for those leaving institutions.</w:t>
            </w:r>
          </w:p>
          <w:p w:rsidR="00AB2059" w:rsidRDefault="00AB2059" w:rsidP="00D131A0">
            <w:pPr>
              <w:jc w:val="both"/>
            </w:pPr>
          </w:p>
          <w:p w:rsidR="00AB2059" w:rsidRDefault="00AB2059" w:rsidP="00D131A0">
            <w:pPr>
              <w:jc w:val="both"/>
            </w:pPr>
            <w:r>
              <w:lastRenderedPageBreak/>
              <w:t xml:space="preserve">There has been some feedback from HCA about funding for exceptional sites/circumstances, there is also potential recycled grant to be used, from the 2016 – 21 programmes, and this has to be committed within the next 12 months.  </w:t>
            </w:r>
          </w:p>
          <w:p w:rsidR="00AB2059" w:rsidRPr="00745BAC" w:rsidRDefault="00AB2059" w:rsidP="00D131A0">
            <w:pPr>
              <w:jc w:val="both"/>
            </w:pPr>
          </w:p>
        </w:tc>
        <w:tc>
          <w:tcPr>
            <w:tcW w:w="3260" w:type="dxa"/>
            <w:shd w:val="clear" w:color="auto" w:fill="auto"/>
          </w:tcPr>
          <w:p w:rsidR="001C3A06" w:rsidRPr="00745BAC" w:rsidRDefault="001C3A06" w:rsidP="00D131A0">
            <w:pPr>
              <w:jc w:val="both"/>
            </w:pPr>
          </w:p>
        </w:tc>
        <w:tc>
          <w:tcPr>
            <w:tcW w:w="993" w:type="dxa"/>
            <w:shd w:val="clear" w:color="auto" w:fill="auto"/>
          </w:tcPr>
          <w:p w:rsidR="001C3A06" w:rsidRPr="0044468F" w:rsidRDefault="001C3A06" w:rsidP="00D131A0">
            <w:pPr>
              <w:jc w:val="both"/>
              <w:rPr>
                <w:b/>
              </w:rPr>
            </w:pPr>
          </w:p>
        </w:tc>
        <w:tc>
          <w:tcPr>
            <w:tcW w:w="1086" w:type="dxa"/>
            <w:shd w:val="clear" w:color="auto" w:fill="auto"/>
          </w:tcPr>
          <w:p w:rsidR="001C3A06" w:rsidRPr="0044468F" w:rsidRDefault="001C3A06" w:rsidP="00EE5454">
            <w:pPr>
              <w:jc w:val="both"/>
              <w:rPr>
                <w:b/>
                <w:color w:val="FF0000"/>
              </w:rPr>
            </w:pPr>
          </w:p>
        </w:tc>
      </w:tr>
      <w:tr w:rsidR="001C3A06" w:rsidRPr="00745BAC" w:rsidTr="00DC3C82">
        <w:tc>
          <w:tcPr>
            <w:tcW w:w="993" w:type="dxa"/>
          </w:tcPr>
          <w:p w:rsidR="001C3A06" w:rsidRPr="00871C9E" w:rsidRDefault="008C4F3E">
            <w:r>
              <w:t>3.10.17</w:t>
            </w:r>
          </w:p>
        </w:tc>
        <w:tc>
          <w:tcPr>
            <w:tcW w:w="1276" w:type="dxa"/>
            <w:shd w:val="clear" w:color="auto" w:fill="auto"/>
          </w:tcPr>
          <w:p w:rsidR="001C3A06" w:rsidRDefault="00AB2059" w:rsidP="008719B0">
            <w:r>
              <w:t>Help to Buy Agent Update</w:t>
            </w:r>
          </w:p>
        </w:tc>
        <w:tc>
          <w:tcPr>
            <w:tcW w:w="8363" w:type="dxa"/>
            <w:shd w:val="clear" w:color="auto" w:fill="auto"/>
          </w:tcPr>
          <w:p w:rsidR="00F85B9E" w:rsidRDefault="00AB2059" w:rsidP="006F7820">
            <w:pPr>
              <w:jc w:val="both"/>
            </w:pPr>
            <w:r>
              <w:t xml:space="preserve">The HTB contract has been extended to 2019, successful event at Brands Hatch 450 attending and 21 exhibitors, lots of interest and good quality people coming through.  HA’s cant access data from the HTB website any longer, the HCA have been audited and it was considered that the data should be more protected/restricted.  Now this information is just used for market appraisal, all sensitive data is removed.  </w:t>
            </w:r>
          </w:p>
          <w:p w:rsidR="00AB2059" w:rsidRDefault="00AB2059" w:rsidP="006F7820">
            <w:pPr>
              <w:jc w:val="both"/>
            </w:pPr>
          </w:p>
          <w:p w:rsidR="00AB2059" w:rsidRDefault="00AB2059" w:rsidP="006F7820">
            <w:pPr>
              <w:jc w:val="both"/>
            </w:pPr>
            <w:r>
              <w:t xml:space="preserve">Shows are therefore more important for exhibitors, HA’s have to now do more to market.  There was a provider meeting in June, feedback is that there are still sales off plan, business as usual.  </w:t>
            </w:r>
            <w:r w:rsidR="0024471C">
              <w:t xml:space="preserve">HA’s can market to those who have registered an interest through the website, applicants have to be more proactive about seeking out providers in an area of interest.  </w:t>
            </w:r>
          </w:p>
          <w:p w:rsidR="0024471C" w:rsidRDefault="0024471C" w:rsidP="006F7820">
            <w:pPr>
              <w:jc w:val="both"/>
            </w:pPr>
          </w:p>
          <w:p w:rsidR="0024471C" w:rsidRDefault="0024471C" w:rsidP="006F7820">
            <w:pPr>
              <w:jc w:val="both"/>
            </w:pPr>
            <w:r>
              <w:t>Every person who is interested in the Shared Ownership has to apply and be approved, people who are registered are then provided with an alert about new properties, HTB are also sharing bulletins with some property information and advising about proactive searching.</w:t>
            </w:r>
          </w:p>
          <w:p w:rsidR="0024471C" w:rsidRDefault="0024471C" w:rsidP="006F7820">
            <w:pPr>
              <w:jc w:val="both"/>
            </w:pPr>
          </w:p>
          <w:p w:rsidR="005659E4" w:rsidRDefault="005659E4" w:rsidP="006F7820">
            <w:pPr>
              <w:jc w:val="both"/>
            </w:pPr>
            <w:r>
              <w:t>There is more activity through social media to promote the website and how to use it more proactively.  Once a report is run on the system by a local authority it will sit on a dashboard, it is a live system so information will change but there will be no sensitive data.</w:t>
            </w:r>
          </w:p>
          <w:p w:rsidR="005659E4" w:rsidRDefault="005659E4" w:rsidP="006F7820">
            <w:pPr>
              <w:jc w:val="both"/>
            </w:pPr>
          </w:p>
          <w:p w:rsidR="0024471C" w:rsidRDefault="005659E4" w:rsidP="006F7820">
            <w:pPr>
              <w:jc w:val="both"/>
            </w:pPr>
            <w:r>
              <w:t>JG is working internally about updating completion information so that the system is up to date.  It is up to the HA to ensure that the completion data is up to data, the HTB agent can then undertake a soft cleanse of the data on the system.</w:t>
            </w:r>
          </w:p>
          <w:p w:rsidR="005659E4" w:rsidRDefault="005659E4" w:rsidP="006F7820">
            <w:pPr>
              <w:jc w:val="both"/>
            </w:pPr>
          </w:p>
          <w:p w:rsidR="005659E4" w:rsidRDefault="005659E4" w:rsidP="006F7820">
            <w:pPr>
              <w:jc w:val="both"/>
            </w:pPr>
            <w:r>
              <w:t xml:space="preserve">KHG to put a plea out to the HA colleagues and developer colleagues about their completion data and how this can be updated more regularly to prevent LA’s having to contact each HA individually.  </w:t>
            </w:r>
          </w:p>
          <w:p w:rsidR="005659E4" w:rsidRDefault="005659E4" w:rsidP="006F7820">
            <w:pPr>
              <w:jc w:val="both"/>
            </w:pPr>
          </w:p>
          <w:p w:rsidR="005659E4" w:rsidRDefault="005659E4" w:rsidP="006F7820">
            <w:pPr>
              <w:jc w:val="both"/>
            </w:pPr>
            <w:r>
              <w:t xml:space="preserve">JG advised that currently it is four working days to process an application for HTB, there is an auto approve on the on line applications, the team is working to two days approval.   </w:t>
            </w:r>
            <w:r w:rsidR="002D78AA">
              <w:lastRenderedPageBreak/>
              <w:t>HA’s</w:t>
            </w:r>
            <w:r>
              <w:t xml:space="preserve"> good at telling people how to apply.</w:t>
            </w:r>
            <w:r w:rsidR="00D072B0">
              <w:t xml:space="preserve">  The HA will undertake the financial checks on applications once they apply/find a property.</w:t>
            </w:r>
          </w:p>
          <w:p w:rsidR="005659E4" w:rsidRDefault="005659E4" w:rsidP="006F7820">
            <w:pPr>
              <w:jc w:val="both"/>
            </w:pPr>
          </w:p>
          <w:p w:rsidR="005659E4" w:rsidRDefault="005659E4" w:rsidP="006F7820">
            <w:pPr>
              <w:jc w:val="both"/>
            </w:pPr>
            <w:r>
              <w:t xml:space="preserve">JG is </w:t>
            </w:r>
            <w:r w:rsidR="00663376">
              <w:t xml:space="preserve">considering </w:t>
            </w:r>
            <w:r>
              <w:t>venue</w:t>
            </w:r>
            <w:r w:rsidR="00663376">
              <w:t>s</w:t>
            </w:r>
            <w:r>
              <w:t xml:space="preserve"> for </w:t>
            </w:r>
            <w:r w:rsidR="00663376">
              <w:t>2018 events</w:t>
            </w:r>
            <w:r>
              <w:t xml:space="preserve">.  </w:t>
            </w:r>
            <w:r w:rsidR="002D78AA">
              <w:t xml:space="preserve">JG is meeting with a colleague to look at a potential big Kent event for 2018 and will feedback accordingly.  AP suggested a potential event for East Kent shared ownership as Canterbury for example </w:t>
            </w:r>
            <w:r w:rsidR="00D072B0">
              <w:t>has</w:t>
            </w:r>
            <w:r w:rsidR="002D78AA">
              <w:t xml:space="preserve"> a lot due to come through going forward.</w:t>
            </w:r>
            <w:r w:rsidR="00F11A2F">
              <w:t xml:space="preserve">  Could local authorities and HA’s work together with help from the HTB agent to host a local event.</w:t>
            </w:r>
          </w:p>
          <w:p w:rsidR="005659E4" w:rsidRDefault="005659E4" w:rsidP="006F7820">
            <w:pPr>
              <w:jc w:val="both"/>
            </w:pPr>
          </w:p>
          <w:p w:rsidR="00D072B0" w:rsidRDefault="00D072B0" w:rsidP="006F7820">
            <w:pPr>
              <w:jc w:val="both"/>
            </w:pPr>
            <w:r>
              <w:t>LC questioned whether BPHA are resourced to do so would they hold/assist information for intermediate products such as Build to Rent, how will applicants be captured and eligibility checked?  JG advised that the website does cover ‘other’ products aside from HTB but this could change if the HCA change or confirm if intermediate products would fall into the HTB criteria.  Currently it doesn’t sit in the HTB programme.</w:t>
            </w:r>
            <w:r w:rsidR="00C36373">
              <w:t xml:space="preserve">  JE advised that some providers are using Right Move for ‘pure’ intermediate products.</w:t>
            </w:r>
            <w:r w:rsidR="00082C1F">
              <w:t xml:space="preserve">  SL advised that TWBC have used Kent Homechoice for some intermediate products available in Tunbridge Wells.</w:t>
            </w:r>
          </w:p>
          <w:p w:rsidR="00D072B0" w:rsidRDefault="00D072B0" w:rsidP="006F7820">
            <w:pPr>
              <w:jc w:val="both"/>
            </w:pPr>
          </w:p>
        </w:tc>
        <w:tc>
          <w:tcPr>
            <w:tcW w:w="3260" w:type="dxa"/>
            <w:shd w:val="clear" w:color="auto" w:fill="auto"/>
          </w:tcPr>
          <w:p w:rsidR="0030692E" w:rsidRDefault="0030692E" w:rsidP="00F85B9E">
            <w:pPr>
              <w:rPr>
                <w:b/>
              </w:rPr>
            </w:pPr>
          </w:p>
          <w:p w:rsidR="005659E4" w:rsidRDefault="005659E4" w:rsidP="00F85B9E">
            <w:pPr>
              <w:rPr>
                <w:b/>
              </w:rPr>
            </w:pPr>
          </w:p>
          <w:p w:rsidR="005659E4" w:rsidRDefault="005659E4" w:rsidP="00F85B9E">
            <w:pPr>
              <w:rPr>
                <w:b/>
              </w:rPr>
            </w:pPr>
          </w:p>
          <w:p w:rsidR="005659E4" w:rsidRDefault="005659E4" w:rsidP="00F85B9E">
            <w:pPr>
              <w:rPr>
                <w:b/>
              </w:rPr>
            </w:pPr>
          </w:p>
          <w:p w:rsidR="005659E4" w:rsidRDefault="005659E4" w:rsidP="00F85B9E">
            <w:pPr>
              <w:rPr>
                <w:b/>
              </w:rPr>
            </w:pPr>
          </w:p>
          <w:p w:rsidR="005659E4" w:rsidRDefault="005659E4" w:rsidP="00F85B9E">
            <w:pPr>
              <w:rPr>
                <w:b/>
              </w:rPr>
            </w:pPr>
          </w:p>
          <w:p w:rsidR="005659E4" w:rsidRDefault="005659E4" w:rsidP="00F85B9E">
            <w:pPr>
              <w:rPr>
                <w:b/>
              </w:rPr>
            </w:pPr>
          </w:p>
          <w:p w:rsidR="005659E4" w:rsidRDefault="005659E4" w:rsidP="00F85B9E">
            <w:pPr>
              <w:rPr>
                <w:b/>
              </w:rPr>
            </w:pPr>
          </w:p>
          <w:p w:rsidR="005659E4" w:rsidRDefault="005659E4" w:rsidP="00F85B9E">
            <w:pPr>
              <w:rPr>
                <w:b/>
              </w:rPr>
            </w:pPr>
          </w:p>
          <w:p w:rsidR="005659E4" w:rsidRDefault="005659E4" w:rsidP="00F85B9E">
            <w:pPr>
              <w:rPr>
                <w:b/>
              </w:rPr>
            </w:pPr>
          </w:p>
          <w:p w:rsidR="005659E4" w:rsidRDefault="005659E4" w:rsidP="00F85B9E">
            <w:pPr>
              <w:rPr>
                <w:b/>
              </w:rPr>
            </w:pPr>
          </w:p>
          <w:p w:rsidR="005659E4" w:rsidRDefault="005659E4" w:rsidP="00F85B9E">
            <w:pPr>
              <w:rPr>
                <w:b/>
              </w:rPr>
            </w:pPr>
          </w:p>
          <w:p w:rsidR="005659E4" w:rsidRDefault="005659E4" w:rsidP="00F85B9E">
            <w:pPr>
              <w:rPr>
                <w:b/>
              </w:rPr>
            </w:pPr>
          </w:p>
          <w:p w:rsidR="005659E4" w:rsidRDefault="005659E4" w:rsidP="00F85B9E">
            <w:pPr>
              <w:rPr>
                <w:b/>
              </w:rPr>
            </w:pPr>
          </w:p>
          <w:p w:rsidR="005659E4" w:rsidRDefault="005659E4" w:rsidP="00F85B9E">
            <w:pPr>
              <w:rPr>
                <w:b/>
              </w:rPr>
            </w:pPr>
          </w:p>
          <w:p w:rsidR="005659E4" w:rsidRDefault="005659E4" w:rsidP="00F85B9E">
            <w:pPr>
              <w:rPr>
                <w:b/>
              </w:rPr>
            </w:pPr>
          </w:p>
          <w:p w:rsidR="005659E4" w:rsidRDefault="005659E4" w:rsidP="00F85B9E">
            <w:pPr>
              <w:rPr>
                <w:b/>
              </w:rPr>
            </w:pPr>
          </w:p>
          <w:p w:rsidR="005659E4" w:rsidRDefault="005659E4" w:rsidP="00F85B9E">
            <w:pPr>
              <w:rPr>
                <w:b/>
              </w:rPr>
            </w:pPr>
            <w:r>
              <w:rPr>
                <w:b/>
              </w:rPr>
              <w:t>Colleagues to contact JG if they require assistance with the system access/use</w:t>
            </w:r>
          </w:p>
          <w:p w:rsidR="005659E4" w:rsidRDefault="005659E4" w:rsidP="00F85B9E">
            <w:pPr>
              <w:rPr>
                <w:b/>
              </w:rPr>
            </w:pPr>
          </w:p>
          <w:p w:rsidR="005659E4" w:rsidRDefault="005659E4" w:rsidP="00F85B9E">
            <w:pPr>
              <w:rPr>
                <w:b/>
              </w:rPr>
            </w:pPr>
          </w:p>
          <w:p w:rsidR="005659E4" w:rsidRDefault="005659E4" w:rsidP="00F85B9E">
            <w:pPr>
              <w:rPr>
                <w:b/>
              </w:rPr>
            </w:pPr>
          </w:p>
          <w:p w:rsidR="005659E4" w:rsidRDefault="005659E4" w:rsidP="00F85B9E">
            <w:pPr>
              <w:rPr>
                <w:b/>
              </w:rPr>
            </w:pPr>
          </w:p>
          <w:p w:rsidR="005659E4" w:rsidRDefault="005659E4" w:rsidP="00F85B9E">
            <w:pPr>
              <w:rPr>
                <w:b/>
              </w:rPr>
            </w:pPr>
          </w:p>
          <w:p w:rsidR="005659E4" w:rsidRDefault="005659E4" w:rsidP="00F85B9E">
            <w:pPr>
              <w:rPr>
                <w:b/>
              </w:rPr>
            </w:pPr>
            <w:r>
              <w:rPr>
                <w:b/>
              </w:rPr>
              <w:t>RS to take back for KHG colleagues</w:t>
            </w:r>
          </w:p>
          <w:p w:rsidR="002D65C2" w:rsidRDefault="002D65C2" w:rsidP="00F85B9E">
            <w:pPr>
              <w:rPr>
                <w:b/>
              </w:rPr>
            </w:pPr>
          </w:p>
          <w:p w:rsidR="002D65C2" w:rsidRDefault="002D65C2" w:rsidP="00F85B9E">
            <w:pPr>
              <w:rPr>
                <w:b/>
              </w:rPr>
            </w:pPr>
          </w:p>
          <w:p w:rsidR="002D65C2" w:rsidRDefault="002D65C2" w:rsidP="00F85B9E">
            <w:pPr>
              <w:rPr>
                <w:b/>
              </w:rPr>
            </w:pPr>
          </w:p>
          <w:p w:rsidR="002D65C2" w:rsidRDefault="002D65C2" w:rsidP="00F85B9E">
            <w:pPr>
              <w:rPr>
                <w:b/>
              </w:rPr>
            </w:pPr>
          </w:p>
          <w:p w:rsidR="002D65C2" w:rsidRDefault="002D65C2" w:rsidP="00F85B9E">
            <w:pPr>
              <w:rPr>
                <w:b/>
              </w:rPr>
            </w:pPr>
          </w:p>
          <w:p w:rsidR="002D65C2" w:rsidRDefault="002D65C2" w:rsidP="00F85B9E">
            <w:pPr>
              <w:rPr>
                <w:b/>
              </w:rPr>
            </w:pPr>
          </w:p>
          <w:p w:rsidR="002D65C2" w:rsidRDefault="002D65C2" w:rsidP="00F85B9E">
            <w:pPr>
              <w:rPr>
                <w:b/>
              </w:rPr>
            </w:pPr>
          </w:p>
          <w:p w:rsidR="002D65C2" w:rsidRDefault="002D65C2" w:rsidP="00F85B9E">
            <w:pPr>
              <w:rPr>
                <w:b/>
              </w:rPr>
            </w:pPr>
          </w:p>
          <w:p w:rsidR="002D65C2" w:rsidRDefault="002D65C2" w:rsidP="00F85B9E">
            <w:pPr>
              <w:rPr>
                <w:b/>
              </w:rPr>
            </w:pPr>
          </w:p>
          <w:p w:rsidR="002D65C2" w:rsidRDefault="002D65C2" w:rsidP="00F85B9E">
            <w:pPr>
              <w:rPr>
                <w:b/>
              </w:rPr>
            </w:pPr>
          </w:p>
          <w:p w:rsidR="002D65C2" w:rsidRDefault="002D65C2" w:rsidP="00F85B9E">
            <w:pPr>
              <w:rPr>
                <w:b/>
              </w:rPr>
            </w:pPr>
          </w:p>
          <w:p w:rsidR="002D65C2" w:rsidRDefault="002D65C2" w:rsidP="00F85B9E">
            <w:pPr>
              <w:rPr>
                <w:b/>
              </w:rPr>
            </w:pPr>
          </w:p>
          <w:p w:rsidR="002D65C2" w:rsidRPr="0030692E" w:rsidRDefault="002D65C2" w:rsidP="00F85B9E">
            <w:pPr>
              <w:rPr>
                <w:b/>
              </w:rPr>
            </w:pPr>
          </w:p>
        </w:tc>
        <w:tc>
          <w:tcPr>
            <w:tcW w:w="993" w:type="dxa"/>
            <w:shd w:val="clear" w:color="auto" w:fill="auto"/>
          </w:tcPr>
          <w:p w:rsidR="0030692E" w:rsidRDefault="0030692E" w:rsidP="00D131A0">
            <w:pPr>
              <w:jc w:val="both"/>
              <w:rPr>
                <w:b/>
              </w:rPr>
            </w:pPr>
          </w:p>
          <w:p w:rsidR="005659E4" w:rsidRDefault="005659E4" w:rsidP="00D131A0">
            <w:pPr>
              <w:jc w:val="both"/>
              <w:rPr>
                <w:b/>
              </w:rPr>
            </w:pPr>
          </w:p>
          <w:p w:rsidR="005659E4" w:rsidRDefault="005659E4" w:rsidP="00D131A0">
            <w:pPr>
              <w:jc w:val="both"/>
              <w:rPr>
                <w:b/>
              </w:rPr>
            </w:pPr>
          </w:p>
          <w:p w:rsidR="005659E4" w:rsidRDefault="005659E4" w:rsidP="00D131A0">
            <w:pPr>
              <w:jc w:val="both"/>
              <w:rPr>
                <w:b/>
              </w:rPr>
            </w:pPr>
          </w:p>
          <w:p w:rsidR="005659E4" w:rsidRDefault="005659E4" w:rsidP="00D131A0">
            <w:pPr>
              <w:jc w:val="both"/>
              <w:rPr>
                <w:b/>
              </w:rPr>
            </w:pPr>
          </w:p>
          <w:p w:rsidR="005659E4" w:rsidRDefault="005659E4" w:rsidP="00D131A0">
            <w:pPr>
              <w:jc w:val="both"/>
              <w:rPr>
                <w:b/>
              </w:rPr>
            </w:pPr>
          </w:p>
          <w:p w:rsidR="005659E4" w:rsidRDefault="005659E4" w:rsidP="00D131A0">
            <w:pPr>
              <w:jc w:val="both"/>
              <w:rPr>
                <w:b/>
              </w:rPr>
            </w:pPr>
          </w:p>
          <w:p w:rsidR="005659E4" w:rsidRDefault="005659E4" w:rsidP="00D131A0">
            <w:pPr>
              <w:jc w:val="both"/>
              <w:rPr>
                <w:b/>
              </w:rPr>
            </w:pPr>
          </w:p>
          <w:p w:rsidR="005659E4" w:rsidRDefault="005659E4" w:rsidP="00D131A0">
            <w:pPr>
              <w:jc w:val="both"/>
              <w:rPr>
                <w:b/>
              </w:rPr>
            </w:pPr>
          </w:p>
          <w:p w:rsidR="005659E4" w:rsidRDefault="005659E4" w:rsidP="00D131A0">
            <w:pPr>
              <w:jc w:val="both"/>
              <w:rPr>
                <w:b/>
              </w:rPr>
            </w:pPr>
          </w:p>
          <w:p w:rsidR="005659E4" w:rsidRDefault="005659E4" w:rsidP="00D131A0">
            <w:pPr>
              <w:jc w:val="both"/>
              <w:rPr>
                <w:b/>
              </w:rPr>
            </w:pPr>
          </w:p>
          <w:p w:rsidR="005659E4" w:rsidRDefault="005659E4" w:rsidP="00D131A0">
            <w:pPr>
              <w:jc w:val="both"/>
              <w:rPr>
                <w:b/>
              </w:rPr>
            </w:pPr>
          </w:p>
          <w:p w:rsidR="005659E4" w:rsidRDefault="005659E4" w:rsidP="00D131A0">
            <w:pPr>
              <w:jc w:val="both"/>
              <w:rPr>
                <w:b/>
              </w:rPr>
            </w:pPr>
          </w:p>
          <w:p w:rsidR="005659E4" w:rsidRDefault="005659E4" w:rsidP="00D131A0">
            <w:pPr>
              <w:jc w:val="both"/>
              <w:rPr>
                <w:b/>
              </w:rPr>
            </w:pPr>
          </w:p>
          <w:p w:rsidR="005659E4" w:rsidRDefault="005659E4" w:rsidP="00D131A0">
            <w:pPr>
              <w:jc w:val="both"/>
              <w:rPr>
                <w:b/>
              </w:rPr>
            </w:pPr>
          </w:p>
          <w:p w:rsidR="005659E4" w:rsidRDefault="005659E4" w:rsidP="00D131A0">
            <w:pPr>
              <w:jc w:val="both"/>
              <w:rPr>
                <w:b/>
              </w:rPr>
            </w:pPr>
          </w:p>
          <w:p w:rsidR="005659E4" w:rsidRDefault="005659E4" w:rsidP="00D131A0">
            <w:pPr>
              <w:jc w:val="both"/>
              <w:rPr>
                <w:b/>
              </w:rPr>
            </w:pPr>
          </w:p>
          <w:p w:rsidR="005659E4" w:rsidRDefault="005659E4" w:rsidP="00D131A0">
            <w:pPr>
              <w:jc w:val="both"/>
              <w:rPr>
                <w:b/>
              </w:rPr>
            </w:pPr>
            <w:r>
              <w:rPr>
                <w:b/>
              </w:rPr>
              <w:t>ALL</w:t>
            </w:r>
          </w:p>
          <w:p w:rsidR="005659E4" w:rsidRDefault="005659E4" w:rsidP="00D131A0">
            <w:pPr>
              <w:jc w:val="both"/>
              <w:rPr>
                <w:b/>
              </w:rPr>
            </w:pPr>
          </w:p>
          <w:p w:rsidR="005659E4" w:rsidRDefault="005659E4" w:rsidP="00D131A0">
            <w:pPr>
              <w:jc w:val="both"/>
              <w:rPr>
                <w:b/>
              </w:rPr>
            </w:pPr>
          </w:p>
          <w:p w:rsidR="005659E4" w:rsidRDefault="005659E4" w:rsidP="00D131A0">
            <w:pPr>
              <w:jc w:val="both"/>
              <w:rPr>
                <w:b/>
              </w:rPr>
            </w:pPr>
          </w:p>
          <w:p w:rsidR="005659E4" w:rsidRDefault="005659E4" w:rsidP="00D131A0">
            <w:pPr>
              <w:jc w:val="both"/>
              <w:rPr>
                <w:b/>
              </w:rPr>
            </w:pPr>
          </w:p>
          <w:p w:rsidR="005659E4" w:rsidRDefault="005659E4" w:rsidP="00D131A0">
            <w:pPr>
              <w:jc w:val="both"/>
              <w:rPr>
                <w:b/>
              </w:rPr>
            </w:pPr>
          </w:p>
          <w:p w:rsidR="005659E4" w:rsidRDefault="005659E4" w:rsidP="00D131A0">
            <w:pPr>
              <w:jc w:val="both"/>
              <w:rPr>
                <w:b/>
              </w:rPr>
            </w:pPr>
          </w:p>
          <w:p w:rsidR="005659E4" w:rsidRDefault="005659E4" w:rsidP="00D131A0">
            <w:pPr>
              <w:jc w:val="both"/>
              <w:rPr>
                <w:b/>
              </w:rPr>
            </w:pPr>
          </w:p>
          <w:p w:rsidR="005659E4" w:rsidRDefault="005659E4" w:rsidP="00D131A0">
            <w:pPr>
              <w:jc w:val="both"/>
              <w:rPr>
                <w:b/>
              </w:rPr>
            </w:pPr>
            <w:r>
              <w:rPr>
                <w:b/>
              </w:rPr>
              <w:t>RS</w:t>
            </w:r>
          </w:p>
          <w:p w:rsidR="005659E4" w:rsidRDefault="005659E4" w:rsidP="00D131A0">
            <w:pPr>
              <w:jc w:val="both"/>
              <w:rPr>
                <w:b/>
              </w:rPr>
            </w:pPr>
          </w:p>
          <w:p w:rsidR="005659E4" w:rsidRDefault="005659E4" w:rsidP="00D131A0">
            <w:pPr>
              <w:jc w:val="both"/>
              <w:rPr>
                <w:b/>
              </w:rPr>
            </w:pPr>
          </w:p>
          <w:p w:rsidR="005659E4" w:rsidRDefault="005659E4" w:rsidP="00D131A0">
            <w:pPr>
              <w:jc w:val="both"/>
              <w:rPr>
                <w:b/>
              </w:rPr>
            </w:pPr>
          </w:p>
        </w:tc>
        <w:tc>
          <w:tcPr>
            <w:tcW w:w="1086" w:type="dxa"/>
            <w:shd w:val="clear" w:color="auto" w:fill="auto"/>
          </w:tcPr>
          <w:p w:rsidR="0030692E" w:rsidRDefault="0030692E" w:rsidP="00EE5454">
            <w:pPr>
              <w:jc w:val="both"/>
              <w:rPr>
                <w:b/>
                <w:color w:val="FF0000"/>
              </w:rPr>
            </w:pPr>
          </w:p>
          <w:p w:rsidR="005659E4" w:rsidRDefault="005659E4" w:rsidP="00EE5454">
            <w:pPr>
              <w:jc w:val="both"/>
              <w:rPr>
                <w:b/>
                <w:color w:val="FF0000"/>
              </w:rPr>
            </w:pPr>
          </w:p>
          <w:p w:rsidR="005659E4" w:rsidRDefault="005659E4" w:rsidP="00EE5454">
            <w:pPr>
              <w:jc w:val="both"/>
              <w:rPr>
                <w:b/>
                <w:color w:val="FF0000"/>
              </w:rPr>
            </w:pPr>
          </w:p>
          <w:p w:rsidR="005659E4" w:rsidRDefault="005659E4" w:rsidP="00EE5454">
            <w:pPr>
              <w:jc w:val="both"/>
              <w:rPr>
                <w:b/>
                <w:color w:val="FF0000"/>
              </w:rPr>
            </w:pPr>
          </w:p>
          <w:p w:rsidR="005659E4" w:rsidRDefault="005659E4" w:rsidP="00EE5454">
            <w:pPr>
              <w:jc w:val="both"/>
              <w:rPr>
                <w:b/>
                <w:color w:val="FF0000"/>
              </w:rPr>
            </w:pPr>
          </w:p>
          <w:p w:rsidR="005659E4" w:rsidRDefault="005659E4" w:rsidP="00EE5454">
            <w:pPr>
              <w:jc w:val="both"/>
              <w:rPr>
                <w:b/>
                <w:color w:val="FF0000"/>
              </w:rPr>
            </w:pPr>
          </w:p>
          <w:p w:rsidR="005659E4" w:rsidRDefault="005659E4" w:rsidP="00EE5454">
            <w:pPr>
              <w:jc w:val="both"/>
              <w:rPr>
                <w:b/>
                <w:color w:val="FF0000"/>
              </w:rPr>
            </w:pPr>
          </w:p>
          <w:p w:rsidR="005659E4" w:rsidRDefault="005659E4" w:rsidP="00EE5454">
            <w:pPr>
              <w:jc w:val="both"/>
              <w:rPr>
                <w:b/>
                <w:color w:val="FF0000"/>
              </w:rPr>
            </w:pPr>
          </w:p>
          <w:p w:rsidR="005659E4" w:rsidRDefault="005659E4" w:rsidP="00EE5454">
            <w:pPr>
              <w:jc w:val="both"/>
              <w:rPr>
                <w:b/>
                <w:color w:val="FF0000"/>
              </w:rPr>
            </w:pPr>
          </w:p>
          <w:p w:rsidR="005659E4" w:rsidRDefault="005659E4" w:rsidP="00EE5454">
            <w:pPr>
              <w:jc w:val="both"/>
              <w:rPr>
                <w:b/>
                <w:color w:val="FF0000"/>
              </w:rPr>
            </w:pPr>
          </w:p>
          <w:p w:rsidR="005659E4" w:rsidRDefault="005659E4" w:rsidP="00EE5454">
            <w:pPr>
              <w:jc w:val="both"/>
              <w:rPr>
                <w:b/>
                <w:color w:val="FF0000"/>
              </w:rPr>
            </w:pPr>
          </w:p>
          <w:p w:rsidR="005659E4" w:rsidRDefault="005659E4" w:rsidP="00EE5454">
            <w:pPr>
              <w:jc w:val="both"/>
              <w:rPr>
                <w:b/>
                <w:color w:val="FF0000"/>
              </w:rPr>
            </w:pPr>
          </w:p>
          <w:p w:rsidR="005659E4" w:rsidRDefault="005659E4" w:rsidP="00EE5454">
            <w:pPr>
              <w:jc w:val="both"/>
              <w:rPr>
                <w:b/>
                <w:color w:val="FF0000"/>
              </w:rPr>
            </w:pPr>
          </w:p>
          <w:p w:rsidR="005659E4" w:rsidRDefault="005659E4" w:rsidP="00EE5454">
            <w:pPr>
              <w:jc w:val="both"/>
              <w:rPr>
                <w:b/>
                <w:color w:val="FF0000"/>
              </w:rPr>
            </w:pPr>
          </w:p>
          <w:p w:rsidR="005659E4" w:rsidRDefault="005659E4" w:rsidP="00EE5454">
            <w:pPr>
              <w:jc w:val="both"/>
              <w:rPr>
                <w:b/>
                <w:color w:val="FF0000"/>
              </w:rPr>
            </w:pPr>
          </w:p>
          <w:p w:rsidR="005659E4" w:rsidRDefault="005659E4" w:rsidP="00EE5454">
            <w:pPr>
              <w:jc w:val="both"/>
              <w:rPr>
                <w:b/>
                <w:color w:val="FF0000"/>
              </w:rPr>
            </w:pPr>
          </w:p>
          <w:p w:rsidR="005659E4" w:rsidRDefault="005659E4" w:rsidP="00EE5454">
            <w:pPr>
              <w:jc w:val="both"/>
              <w:rPr>
                <w:b/>
                <w:color w:val="FF0000"/>
              </w:rPr>
            </w:pPr>
          </w:p>
          <w:p w:rsidR="005659E4" w:rsidRDefault="005659E4" w:rsidP="00EE5454">
            <w:pPr>
              <w:jc w:val="both"/>
              <w:rPr>
                <w:b/>
                <w:color w:val="FF0000"/>
              </w:rPr>
            </w:pPr>
            <w:r>
              <w:rPr>
                <w:b/>
                <w:color w:val="FF0000"/>
              </w:rPr>
              <w:t>As required</w:t>
            </w:r>
          </w:p>
          <w:p w:rsidR="005659E4" w:rsidRDefault="005659E4" w:rsidP="00EE5454">
            <w:pPr>
              <w:jc w:val="both"/>
              <w:rPr>
                <w:b/>
                <w:color w:val="FF0000"/>
              </w:rPr>
            </w:pPr>
          </w:p>
          <w:p w:rsidR="005659E4" w:rsidRDefault="005659E4" w:rsidP="00EE5454">
            <w:pPr>
              <w:jc w:val="both"/>
              <w:rPr>
                <w:b/>
                <w:color w:val="FF0000"/>
              </w:rPr>
            </w:pPr>
          </w:p>
          <w:p w:rsidR="005659E4" w:rsidRDefault="005659E4" w:rsidP="00EE5454">
            <w:pPr>
              <w:jc w:val="both"/>
              <w:rPr>
                <w:b/>
                <w:color w:val="FF0000"/>
              </w:rPr>
            </w:pPr>
          </w:p>
          <w:p w:rsidR="005659E4" w:rsidRDefault="005659E4" w:rsidP="00EE5454">
            <w:pPr>
              <w:jc w:val="both"/>
              <w:rPr>
                <w:b/>
                <w:color w:val="FF0000"/>
              </w:rPr>
            </w:pPr>
          </w:p>
          <w:p w:rsidR="005659E4" w:rsidRDefault="005659E4" w:rsidP="00EE5454">
            <w:pPr>
              <w:jc w:val="both"/>
              <w:rPr>
                <w:b/>
                <w:color w:val="FF0000"/>
              </w:rPr>
            </w:pPr>
          </w:p>
          <w:p w:rsidR="005659E4" w:rsidRDefault="005659E4" w:rsidP="00EE5454">
            <w:pPr>
              <w:jc w:val="both"/>
              <w:rPr>
                <w:b/>
                <w:color w:val="FF0000"/>
              </w:rPr>
            </w:pPr>
          </w:p>
          <w:p w:rsidR="005659E4" w:rsidRDefault="005659E4" w:rsidP="00EE5454">
            <w:pPr>
              <w:jc w:val="both"/>
              <w:rPr>
                <w:b/>
                <w:color w:val="FF0000"/>
              </w:rPr>
            </w:pPr>
            <w:r>
              <w:rPr>
                <w:b/>
                <w:color w:val="FF0000"/>
              </w:rPr>
              <w:t>By 16/10</w:t>
            </w:r>
          </w:p>
        </w:tc>
      </w:tr>
      <w:tr w:rsidR="001C3A06" w:rsidRPr="00745BAC" w:rsidTr="00DC3C82">
        <w:tc>
          <w:tcPr>
            <w:tcW w:w="993" w:type="dxa"/>
          </w:tcPr>
          <w:p w:rsidR="001C3A06" w:rsidRDefault="008C4F3E">
            <w:r>
              <w:t>3.10.17</w:t>
            </w:r>
          </w:p>
        </w:tc>
        <w:tc>
          <w:tcPr>
            <w:tcW w:w="1276" w:type="dxa"/>
            <w:shd w:val="clear" w:color="auto" w:fill="auto"/>
          </w:tcPr>
          <w:p w:rsidR="001C3A06" w:rsidRDefault="00AB2059" w:rsidP="008719B0">
            <w:r>
              <w:t>HSEG Table of Products</w:t>
            </w:r>
          </w:p>
        </w:tc>
        <w:tc>
          <w:tcPr>
            <w:tcW w:w="8363" w:type="dxa"/>
            <w:shd w:val="clear" w:color="auto" w:fill="auto"/>
          </w:tcPr>
          <w:p w:rsidR="001C3A06" w:rsidRDefault="004652AE" w:rsidP="00FE0566">
            <w:pPr>
              <w:jc w:val="both"/>
            </w:pPr>
            <w:r>
              <w:t>The document was a list of the products available to assist getting people into housing across the board.  This is everything that wasn’t a standard product.</w:t>
            </w:r>
          </w:p>
          <w:p w:rsidR="004652AE" w:rsidRDefault="004652AE" w:rsidP="00FE0566">
            <w:pPr>
              <w:jc w:val="both"/>
            </w:pPr>
          </w:p>
          <w:p w:rsidR="004652AE" w:rsidRDefault="004652AE" w:rsidP="00FE0566">
            <w:pPr>
              <w:jc w:val="both"/>
            </w:pPr>
            <w:r>
              <w:t>Heylo Housing has presented to the KHG previously, presentation on the KHG website.</w:t>
            </w:r>
          </w:p>
          <w:p w:rsidR="004652AE" w:rsidRDefault="004652AE" w:rsidP="00FE0566">
            <w:pPr>
              <w:jc w:val="both"/>
            </w:pPr>
          </w:p>
          <w:p w:rsidR="004652AE" w:rsidRDefault="004652AE" w:rsidP="00FE0566">
            <w:pPr>
              <w:jc w:val="both"/>
            </w:pPr>
            <w:r>
              <w:t>There was a discussion about OPSO and how this is marketed if not within Extra Care</w:t>
            </w:r>
            <w:r w:rsidR="00C30184">
              <w:t>.  GA has approached HA’s about whether there is an opportunity for OPSO that isn’t an OPSO grant funded scheme and if this is the right way to approach as traditional shared ownership may not be an attractive housing option for an older person with sufficient equity to purchase 75% outright.</w:t>
            </w:r>
          </w:p>
          <w:p w:rsidR="0096714A" w:rsidRDefault="0096714A" w:rsidP="00FE0566">
            <w:pPr>
              <w:jc w:val="both"/>
            </w:pPr>
          </w:p>
          <w:p w:rsidR="0096714A" w:rsidRDefault="0096714A" w:rsidP="00FE0566">
            <w:pPr>
              <w:jc w:val="both"/>
            </w:pPr>
            <w:r>
              <w:t>It was agreed to leave the table of products on agenda.</w:t>
            </w:r>
          </w:p>
          <w:p w:rsidR="00C30184" w:rsidRPr="00745BAC" w:rsidRDefault="00C30184" w:rsidP="00FE0566">
            <w:pPr>
              <w:jc w:val="both"/>
            </w:pPr>
          </w:p>
        </w:tc>
        <w:tc>
          <w:tcPr>
            <w:tcW w:w="3260" w:type="dxa"/>
            <w:shd w:val="clear" w:color="auto" w:fill="auto"/>
          </w:tcPr>
          <w:p w:rsidR="009C0E21" w:rsidRDefault="009C0E21" w:rsidP="009C0E21">
            <w:pPr>
              <w:jc w:val="both"/>
              <w:rPr>
                <w:b/>
              </w:rPr>
            </w:pPr>
          </w:p>
          <w:p w:rsidR="004652AE" w:rsidRDefault="004652AE" w:rsidP="009C0E21">
            <w:pPr>
              <w:jc w:val="both"/>
              <w:rPr>
                <w:b/>
              </w:rPr>
            </w:pPr>
          </w:p>
          <w:p w:rsidR="004652AE" w:rsidRPr="008719B0" w:rsidRDefault="004652AE" w:rsidP="009C0E21">
            <w:pPr>
              <w:jc w:val="both"/>
              <w:rPr>
                <w:b/>
              </w:rPr>
            </w:pPr>
            <w:r>
              <w:rPr>
                <w:b/>
              </w:rPr>
              <w:t xml:space="preserve">RS to put link into minutes to presentation from KHG </w:t>
            </w:r>
          </w:p>
        </w:tc>
        <w:tc>
          <w:tcPr>
            <w:tcW w:w="993" w:type="dxa"/>
            <w:shd w:val="clear" w:color="auto" w:fill="auto"/>
          </w:tcPr>
          <w:p w:rsidR="001C3A06" w:rsidRDefault="001C3A06" w:rsidP="00D131A0">
            <w:pPr>
              <w:jc w:val="both"/>
              <w:rPr>
                <w:b/>
              </w:rPr>
            </w:pPr>
          </w:p>
          <w:p w:rsidR="004652AE" w:rsidRDefault="004652AE" w:rsidP="00D131A0">
            <w:pPr>
              <w:jc w:val="both"/>
              <w:rPr>
                <w:b/>
              </w:rPr>
            </w:pPr>
          </w:p>
          <w:p w:rsidR="004652AE" w:rsidRPr="0044468F" w:rsidRDefault="004652AE" w:rsidP="00D131A0">
            <w:pPr>
              <w:jc w:val="both"/>
              <w:rPr>
                <w:b/>
              </w:rPr>
            </w:pPr>
            <w:r>
              <w:rPr>
                <w:b/>
              </w:rPr>
              <w:t>RS</w:t>
            </w:r>
          </w:p>
        </w:tc>
        <w:tc>
          <w:tcPr>
            <w:tcW w:w="1086" w:type="dxa"/>
            <w:shd w:val="clear" w:color="auto" w:fill="auto"/>
          </w:tcPr>
          <w:p w:rsidR="001C3A06" w:rsidRDefault="001C3A06" w:rsidP="00D131A0">
            <w:pPr>
              <w:jc w:val="both"/>
              <w:rPr>
                <w:b/>
                <w:color w:val="FF0000"/>
              </w:rPr>
            </w:pPr>
          </w:p>
          <w:p w:rsidR="004652AE" w:rsidRDefault="004652AE" w:rsidP="00D131A0">
            <w:pPr>
              <w:jc w:val="both"/>
              <w:rPr>
                <w:b/>
                <w:color w:val="FF0000"/>
              </w:rPr>
            </w:pPr>
          </w:p>
          <w:p w:rsidR="004652AE" w:rsidRPr="0044468F" w:rsidRDefault="004652AE" w:rsidP="00D131A0">
            <w:pPr>
              <w:jc w:val="both"/>
              <w:rPr>
                <w:b/>
                <w:color w:val="FF0000"/>
              </w:rPr>
            </w:pPr>
            <w:r>
              <w:rPr>
                <w:b/>
                <w:color w:val="FF0000"/>
              </w:rPr>
              <w:t>By 7/10</w:t>
            </w:r>
          </w:p>
        </w:tc>
      </w:tr>
      <w:tr w:rsidR="001C3A06" w:rsidRPr="00745BAC" w:rsidTr="00DC3C82">
        <w:tc>
          <w:tcPr>
            <w:tcW w:w="993" w:type="dxa"/>
          </w:tcPr>
          <w:p w:rsidR="001C3A06" w:rsidRDefault="001C3A06"/>
        </w:tc>
        <w:tc>
          <w:tcPr>
            <w:tcW w:w="1276" w:type="dxa"/>
            <w:shd w:val="clear" w:color="auto" w:fill="auto"/>
          </w:tcPr>
          <w:p w:rsidR="001C3A06" w:rsidRDefault="00AB2059" w:rsidP="008719B0">
            <w:r>
              <w:t>HSEG Action Plan</w:t>
            </w:r>
          </w:p>
        </w:tc>
        <w:tc>
          <w:tcPr>
            <w:tcW w:w="8363" w:type="dxa"/>
            <w:shd w:val="clear" w:color="auto" w:fill="auto"/>
          </w:tcPr>
          <w:p w:rsidR="00DB7811" w:rsidRDefault="007A4FC0" w:rsidP="0044178D">
            <w:pPr>
              <w:jc w:val="both"/>
            </w:pPr>
            <w:r w:rsidRPr="004472A2">
              <w:rPr>
                <w:b/>
              </w:rPr>
              <w:t xml:space="preserve">Rural Housing Protocol </w:t>
            </w:r>
            <w:r>
              <w:t>– The revised protocol has been shared with all Parish Counci</w:t>
            </w:r>
            <w:r w:rsidR="00DB7811">
              <w:t xml:space="preserve">ls, the potential shared event is likely to take place in the New Year (linked to the </w:t>
            </w:r>
            <w:r>
              <w:t>Community Led Housing Event</w:t>
            </w:r>
            <w:r w:rsidR="00DB7811">
              <w:t xml:space="preserve">).  </w:t>
            </w:r>
          </w:p>
          <w:p w:rsidR="00DB7811" w:rsidRDefault="00DB7811" w:rsidP="0044178D">
            <w:pPr>
              <w:jc w:val="both"/>
            </w:pPr>
          </w:p>
          <w:p w:rsidR="007A4FC0" w:rsidRDefault="00DB7811" w:rsidP="0044178D">
            <w:pPr>
              <w:jc w:val="both"/>
            </w:pPr>
            <w:r w:rsidRPr="004472A2">
              <w:rPr>
                <w:b/>
              </w:rPr>
              <w:t>KMHS</w:t>
            </w:r>
            <w:r>
              <w:t xml:space="preserve"> – RS updated that the evidence base will be updated this month, RS meeting with Kerry Parr in November to review the outcome from the evidence base.   Sarah Robson</w:t>
            </w:r>
            <w:r w:rsidR="001943D7">
              <w:t>, Chair of KHG presented initial thoughts on the KMHS refresh to Kent Leaders last week, they are keen for the document to be dynamic, useful and a tool to assist with lobbying and working with Government on housing issues.  Further updates will be shared and HSEG will be used to help shape and work on the document.  The outcomes will also shape the action plan for the group going forward.</w:t>
            </w:r>
          </w:p>
          <w:p w:rsidR="00DB7811" w:rsidRDefault="00DB7811" w:rsidP="0044178D">
            <w:pPr>
              <w:jc w:val="both"/>
            </w:pPr>
          </w:p>
          <w:p w:rsidR="00DB7811" w:rsidRDefault="001943D7" w:rsidP="0044178D">
            <w:pPr>
              <w:jc w:val="both"/>
            </w:pPr>
            <w:r>
              <w:t xml:space="preserve">AN advised that just </w:t>
            </w:r>
            <w:r w:rsidR="00DB7811">
              <w:t>Maidstone</w:t>
            </w:r>
            <w:r>
              <w:t xml:space="preserve"> BC to provide data for the Kent and Medway Quarterly report.</w:t>
            </w:r>
          </w:p>
          <w:p w:rsidR="002C5B1B" w:rsidRDefault="002C5B1B" w:rsidP="0044178D">
            <w:pPr>
              <w:jc w:val="both"/>
            </w:pPr>
          </w:p>
          <w:p w:rsidR="004472A2" w:rsidRDefault="004472A2" w:rsidP="0044178D">
            <w:pPr>
              <w:jc w:val="both"/>
            </w:pPr>
            <w:r>
              <w:t>Tenancy Strategy – to be removed from Action Plan</w:t>
            </w:r>
          </w:p>
          <w:p w:rsidR="004472A2" w:rsidRDefault="004472A2" w:rsidP="0044178D">
            <w:pPr>
              <w:jc w:val="both"/>
            </w:pPr>
          </w:p>
          <w:p w:rsidR="004472A2" w:rsidRDefault="004472A2" w:rsidP="0044178D">
            <w:pPr>
              <w:jc w:val="both"/>
            </w:pPr>
            <w:r>
              <w:t>Affordability Gap – this will be need further consideration, will be picked up through the KMHS and through small working groups.</w:t>
            </w:r>
          </w:p>
          <w:p w:rsidR="004472A2" w:rsidRPr="00745BAC" w:rsidRDefault="004472A2" w:rsidP="0044178D">
            <w:pPr>
              <w:jc w:val="both"/>
            </w:pPr>
          </w:p>
        </w:tc>
        <w:tc>
          <w:tcPr>
            <w:tcW w:w="3260" w:type="dxa"/>
            <w:shd w:val="clear" w:color="auto" w:fill="auto"/>
          </w:tcPr>
          <w:p w:rsidR="002E2A04" w:rsidRDefault="001943D7" w:rsidP="00D131A0">
            <w:pPr>
              <w:jc w:val="both"/>
              <w:rPr>
                <w:b/>
              </w:rPr>
            </w:pPr>
            <w:r>
              <w:rPr>
                <w:b/>
              </w:rPr>
              <w:t>TOS when information available</w:t>
            </w:r>
          </w:p>
          <w:p w:rsidR="001943D7" w:rsidRDefault="001943D7" w:rsidP="00D131A0">
            <w:pPr>
              <w:jc w:val="both"/>
              <w:rPr>
                <w:b/>
              </w:rPr>
            </w:pPr>
          </w:p>
          <w:p w:rsidR="001943D7" w:rsidRDefault="001943D7" w:rsidP="00D131A0">
            <w:pPr>
              <w:jc w:val="both"/>
              <w:rPr>
                <w:b/>
              </w:rPr>
            </w:pPr>
          </w:p>
          <w:p w:rsidR="001943D7" w:rsidRDefault="001943D7" w:rsidP="00D131A0">
            <w:pPr>
              <w:jc w:val="both"/>
              <w:rPr>
                <w:b/>
              </w:rPr>
            </w:pPr>
          </w:p>
          <w:p w:rsidR="001943D7" w:rsidRDefault="001943D7" w:rsidP="00D131A0">
            <w:pPr>
              <w:jc w:val="both"/>
              <w:rPr>
                <w:b/>
              </w:rPr>
            </w:pPr>
          </w:p>
          <w:p w:rsidR="001943D7" w:rsidRDefault="001943D7" w:rsidP="00D131A0">
            <w:pPr>
              <w:jc w:val="both"/>
              <w:rPr>
                <w:b/>
              </w:rPr>
            </w:pPr>
          </w:p>
          <w:p w:rsidR="001943D7" w:rsidRDefault="001943D7" w:rsidP="00D131A0">
            <w:pPr>
              <w:jc w:val="both"/>
              <w:rPr>
                <w:b/>
              </w:rPr>
            </w:pPr>
          </w:p>
          <w:p w:rsidR="001943D7" w:rsidRDefault="001943D7" w:rsidP="00D131A0">
            <w:pPr>
              <w:jc w:val="both"/>
              <w:rPr>
                <w:b/>
              </w:rPr>
            </w:pPr>
          </w:p>
          <w:p w:rsidR="001943D7" w:rsidRDefault="001943D7" w:rsidP="00D131A0">
            <w:pPr>
              <w:jc w:val="both"/>
              <w:rPr>
                <w:b/>
              </w:rPr>
            </w:pPr>
          </w:p>
          <w:p w:rsidR="001943D7" w:rsidRDefault="001943D7" w:rsidP="00D131A0">
            <w:pPr>
              <w:jc w:val="both"/>
              <w:rPr>
                <w:b/>
              </w:rPr>
            </w:pPr>
          </w:p>
          <w:p w:rsidR="001943D7" w:rsidRDefault="001943D7" w:rsidP="00D131A0">
            <w:pPr>
              <w:jc w:val="both"/>
              <w:rPr>
                <w:b/>
              </w:rPr>
            </w:pPr>
          </w:p>
          <w:p w:rsidR="001943D7" w:rsidRDefault="001943D7" w:rsidP="00D131A0">
            <w:pPr>
              <w:jc w:val="both"/>
              <w:rPr>
                <w:b/>
              </w:rPr>
            </w:pPr>
          </w:p>
          <w:p w:rsidR="001943D7" w:rsidRDefault="001943D7" w:rsidP="00D131A0">
            <w:pPr>
              <w:jc w:val="both"/>
              <w:rPr>
                <w:b/>
              </w:rPr>
            </w:pPr>
            <w:r>
              <w:rPr>
                <w:b/>
              </w:rPr>
              <w:t>RS to send chaser to Maidstone</w:t>
            </w:r>
          </w:p>
          <w:p w:rsidR="004472A2" w:rsidRDefault="004472A2" w:rsidP="00D131A0">
            <w:pPr>
              <w:jc w:val="both"/>
              <w:rPr>
                <w:b/>
              </w:rPr>
            </w:pPr>
          </w:p>
          <w:p w:rsidR="004472A2" w:rsidRDefault="004472A2" w:rsidP="00D131A0">
            <w:pPr>
              <w:jc w:val="both"/>
              <w:rPr>
                <w:b/>
              </w:rPr>
            </w:pPr>
          </w:p>
          <w:p w:rsidR="004472A2" w:rsidRDefault="004472A2" w:rsidP="00D131A0">
            <w:pPr>
              <w:jc w:val="both"/>
              <w:rPr>
                <w:b/>
              </w:rPr>
            </w:pPr>
            <w:r>
              <w:rPr>
                <w:b/>
              </w:rPr>
              <w:t>RS to remove from Action Plan</w:t>
            </w:r>
          </w:p>
          <w:p w:rsidR="004472A2" w:rsidRDefault="004472A2" w:rsidP="00D131A0">
            <w:pPr>
              <w:jc w:val="both"/>
              <w:rPr>
                <w:b/>
              </w:rPr>
            </w:pPr>
          </w:p>
          <w:p w:rsidR="004472A2" w:rsidRPr="008719B0" w:rsidRDefault="004472A2" w:rsidP="00D131A0">
            <w:pPr>
              <w:jc w:val="both"/>
              <w:rPr>
                <w:b/>
              </w:rPr>
            </w:pPr>
          </w:p>
        </w:tc>
        <w:tc>
          <w:tcPr>
            <w:tcW w:w="993" w:type="dxa"/>
            <w:shd w:val="clear" w:color="auto" w:fill="auto"/>
          </w:tcPr>
          <w:p w:rsidR="001C3A06" w:rsidRDefault="001943D7" w:rsidP="00D131A0">
            <w:pPr>
              <w:jc w:val="both"/>
              <w:rPr>
                <w:b/>
              </w:rPr>
            </w:pPr>
            <w:r>
              <w:rPr>
                <w:b/>
              </w:rPr>
              <w:t>TOS</w:t>
            </w:r>
          </w:p>
          <w:p w:rsidR="001943D7" w:rsidRDefault="001943D7" w:rsidP="00D131A0">
            <w:pPr>
              <w:jc w:val="both"/>
              <w:rPr>
                <w:b/>
              </w:rPr>
            </w:pPr>
          </w:p>
          <w:p w:rsidR="001943D7" w:rsidRDefault="001943D7" w:rsidP="00D131A0">
            <w:pPr>
              <w:jc w:val="both"/>
              <w:rPr>
                <w:b/>
              </w:rPr>
            </w:pPr>
          </w:p>
          <w:p w:rsidR="001943D7" w:rsidRDefault="001943D7" w:rsidP="00D131A0">
            <w:pPr>
              <w:jc w:val="both"/>
              <w:rPr>
                <w:b/>
              </w:rPr>
            </w:pPr>
          </w:p>
          <w:p w:rsidR="001943D7" w:rsidRDefault="001943D7" w:rsidP="00D131A0">
            <w:pPr>
              <w:jc w:val="both"/>
              <w:rPr>
                <w:b/>
              </w:rPr>
            </w:pPr>
          </w:p>
          <w:p w:rsidR="001943D7" w:rsidRDefault="001943D7" w:rsidP="00D131A0">
            <w:pPr>
              <w:jc w:val="both"/>
              <w:rPr>
                <w:b/>
              </w:rPr>
            </w:pPr>
          </w:p>
          <w:p w:rsidR="001943D7" w:rsidRDefault="001943D7" w:rsidP="00D131A0">
            <w:pPr>
              <w:jc w:val="both"/>
              <w:rPr>
                <w:b/>
              </w:rPr>
            </w:pPr>
          </w:p>
          <w:p w:rsidR="001943D7" w:rsidRDefault="001943D7" w:rsidP="00D131A0">
            <w:pPr>
              <w:jc w:val="both"/>
              <w:rPr>
                <w:b/>
              </w:rPr>
            </w:pPr>
          </w:p>
          <w:p w:rsidR="001943D7" w:rsidRDefault="001943D7" w:rsidP="00D131A0">
            <w:pPr>
              <w:jc w:val="both"/>
              <w:rPr>
                <w:b/>
              </w:rPr>
            </w:pPr>
          </w:p>
          <w:p w:rsidR="001943D7" w:rsidRDefault="001943D7" w:rsidP="00D131A0">
            <w:pPr>
              <w:jc w:val="both"/>
              <w:rPr>
                <w:b/>
              </w:rPr>
            </w:pPr>
          </w:p>
          <w:p w:rsidR="001943D7" w:rsidRDefault="001943D7" w:rsidP="00D131A0">
            <w:pPr>
              <w:jc w:val="both"/>
              <w:rPr>
                <w:b/>
              </w:rPr>
            </w:pPr>
          </w:p>
          <w:p w:rsidR="001943D7" w:rsidRDefault="001943D7" w:rsidP="00D131A0">
            <w:pPr>
              <w:jc w:val="both"/>
              <w:rPr>
                <w:b/>
              </w:rPr>
            </w:pPr>
          </w:p>
          <w:p w:rsidR="001943D7" w:rsidRDefault="001943D7" w:rsidP="00D131A0">
            <w:pPr>
              <w:jc w:val="both"/>
              <w:rPr>
                <w:b/>
              </w:rPr>
            </w:pPr>
            <w:r>
              <w:rPr>
                <w:b/>
              </w:rPr>
              <w:t>RS</w:t>
            </w:r>
          </w:p>
          <w:p w:rsidR="004472A2" w:rsidRDefault="004472A2" w:rsidP="00D131A0">
            <w:pPr>
              <w:jc w:val="both"/>
              <w:rPr>
                <w:b/>
              </w:rPr>
            </w:pPr>
          </w:p>
          <w:p w:rsidR="004472A2" w:rsidRDefault="004472A2" w:rsidP="00D131A0">
            <w:pPr>
              <w:jc w:val="both"/>
              <w:rPr>
                <w:b/>
              </w:rPr>
            </w:pPr>
          </w:p>
          <w:p w:rsidR="004472A2" w:rsidRPr="0044468F" w:rsidRDefault="004472A2" w:rsidP="00D131A0">
            <w:pPr>
              <w:jc w:val="both"/>
              <w:rPr>
                <w:b/>
              </w:rPr>
            </w:pPr>
            <w:r>
              <w:rPr>
                <w:b/>
              </w:rPr>
              <w:t>RS</w:t>
            </w:r>
          </w:p>
        </w:tc>
        <w:tc>
          <w:tcPr>
            <w:tcW w:w="1086" w:type="dxa"/>
            <w:shd w:val="clear" w:color="auto" w:fill="auto"/>
          </w:tcPr>
          <w:p w:rsidR="001C3A06" w:rsidRDefault="001943D7" w:rsidP="00D131A0">
            <w:pPr>
              <w:jc w:val="both"/>
              <w:rPr>
                <w:b/>
                <w:color w:val="FF0000"/>
              </w:rPr>
            </w:pPr>
            <w:r>
              <w:rPr>
                <w:b/>
                <w:color w:val="FF0000"/>
              </w:rPr>
              <w:t>As available</w:t>
            </w:r>
          </w:p>
          <w:p w:rsidR="001943D7" w:rsidRDefault="001943D7" w:rsidP="00D131A0">
            <w:pPr>
              <w:jc w:val="both"/>
              <w:rPr>
                <w:b/>
                <w:color w:val="FF0000"/>
              </w:rPr>
            </w:pPr>
          </w:p>
          <w:p w:rsidR="001943D7" w:rsidRDefault="001943D7" w:rsidP="00D131A0">
            <w:pPr>
              <w:jc w:val="both"/>
              <w:rPr>
                <w:b/>
                <w:color w:val="FF0000"/>
              </w:rPr>
            </w:pPr>
          </w:p>
          <w:p w:rsidR="001943D7" w:rsidRDefault="001943D7" w:rsidP="00D131A0">
            <w:pPr>
              <w:jc w:val="both"/>
              <w:rPr>
                <w:b/>
                <w:color w:val="FF0000"/>
              </w:rPr>
            </w:pPr>
          </w:p>
          <w:p w:rsidR="001943D7" w:rsidRDefault="001943D7" w:rsidP="00D131A0">
            <w:pPr>
              <w:jc w:val="both"/>
              <w:rPr>
                <w:b/>
                <w:color w:val="FF0000"/>
              </w:rPr>
            </w:pPr>
          </w:p>
          <w:p w:rsidR="001943D7" w:rsidRDefault="001943D7" w:rsidP="00D131A0">
            <w:pPr>
              <w:jc w:val="both"/>
              <w:rPr>
                <w:b/>
                <w:color w:val="FF0000"/>
              </w:rPr>
            </w:pPr>
          </w:p>
          <w:p w:rsidR="001943D7" w:rsidRDefault="001943D7" w:rsidP="00D131A0">
            <w:pPr>
              <w:jc w:val="both"/>
              <w:rPr>
                <w:b/>
                <w:color w:val="FF0000"/>
              </w:rPr>
            </w:pPr>
          </w:p>
          <w:p w:rsidR="001943D7" w:rsidRDefault="001943D7" w:rsidP="00D131A0">
            <w:pPr>
              <w:jc w:val="both"/>
              <w:rPr>
                <w:b/>
                <w:color w:val="FF0000"/>
              </w:rPr>
            </w:pPr>
          </w:p>
          <w:p w:rsidR="001943D7" w:rsidRDefault="001943D7" w:rsidP="00D131A0">
            <w:pPr>
              <w:jc w:val="both"/>
              <w:rPr>
                <w:b/>
                <w:color w:val="FF0000"/>
              </w:rPr>
            </w:pPr>
          </w:p>
          <w:p w:rsidR="001943D7" w:rsidRDefault="001943D7" w:rsidP="00D131A0">
            <w:pPr>
              <w:jc w:val="both"/>
              <w:rPr>
                <w:b/>
                <w:color w:val="FF0000"/>
              </w:rPr>
            </w:pPr>
          </w:p>
          <w:p w:rsidR="001943D7" w:rsidRDefault="001943D7" w:rsidP="00D131A0">
            <w:pPr>
              <w:jc w:val="both"/>
              <w:rPr>
                <w:b/>
                <w:color w:val="FF0000"/>
              </w:rPr>
            </w:pPr>
          </w:p>
          <w:p w:rsidR="001943D7" w:rsidRDefault="001943D7" w:rsidP="00D131A0">
            <w:pPr>
              <w:jc w:val="both"/>
              <w:rPr>
                <w:b/>
                <w:color w:val="FF0000"/>
              </w:rPr>
            </w:pPr>
            <w:r>
              <w:rPr>
                <w:b/>
                <w:color w:val="FF0000"/>
              </w:rPr>
              <w:t>By 16/10</w:t>
            </w:r>
          </w:p>
          <w:p w:rsidR="004472A2" w:rsidRDefault="004472A2" w:rsidP="00D131A0">
            <w:pPr>
              <w:jc w:val="both"/>
              <w:rPr>
                <w:b/>
                <w:color w:val="FF0000"/>
              </w:rPr>
            </w:pPr>
          </w:p>
          <w:p w:rsidR="004472A2" w:rsidRDefault="004472A2" w:rsidP="00D131A0">
            <w:pPr>
              <w:jc w:val="both"/>
              <w:rPr>
                <w:b/>
                <w:color w:val="FF0000"/>
              </w:rPr>
            </w:pPr>
          </w:p>
          <w:p w:rsidR="004472A2" w:rsidRPr="0044468F" w:rsidRDefault="004472A2" w:rsidP="00D131A0">
            <w:pPr>
              <w:jc w:val="both"/>
              <w:rPr>
                <w:b/>
                <w:color w:val="FF0000"/>
              </w:rPr>
            </w:pPr>
            <w:r>
              <w:rPr>
                <w:b/>
                <w:color w:val="FF0000"/>
              </w:rPr>
              <w:t>By 16/10</w:t>
            </w:r>
          </w:p>
        </w:tc>
      </w:tr>
      <w:tr w:rsidR="001C3A06" w:rsidRPr="00745BAC" w:rsidTr="00DC3C82">
        <w:tc>
          <w:tcPr>
            <w:tcW w:w="993" w:type="dxa"/>
          </w:tcPr>
          <w:p w:rsidR="001C3A06" w:rsidRDefault="001C3A06"/>
        </w:tc>
        <w:tc>
          <w:tcPr>
            <w:tcW w:w="1276" w:type="dxa"/>
            <w:shd w:val="clear" w:color="auto" w:fill="auto"/>
          </w:tcPr>
          <w:p w:rsidR="001C3A06" w:rsidRPr="0027737E" w:rsidRDefault="00AB2059" w:rsidP="008719B0">
            <w:pPr>
              <w:rPr>
                <w:b/>
              </w:rPr>
            </w:pPr>
            <w:r w:rsidRPr="0027737E">
              <w:rPr>
                <w:b/>
              </w:rPr>
              <w:t>Discussion Session</w:t>
            </w:r>
          </w:p>
        </w:tc>
        <w:tc>
          <w:tcPr>
            <w:tcW w:w="8363" w:type="dxa"/>
            <w:shd w:val="clear" w:color="auto" w:fill="auto"/>
          </w:tcPr>
          <w:p w:rsidR="001C3A06" w:rsidRDefault="002C5B1B" w:rsidP="007C78F2">
            <w:pPr>
              <w:jc w:val="both"/>
            </w:pPr>
            <w:r>
              <w:t xml:space="preserve">Promotion of social rent as new build opposed to affordable rent – would promotion of social rent impact on the numbers?  SL commented that in TW there are residents living in affordable rent who are applying to the housing register as they cannot afford the affordable rent property.  Colleagues around the table have limited or no HA partners are offering social rent.  </w:t>
            </w:r>
          </w:p>
          <w:p w:rsidR="002C5B1B" w:rsidRDefault="002C5B1B" w:rsidP="007C78F2">
            <w:pPr>
              <w:jc w:val="both"/>
            </w:pPr>
          </w:p>
          <w:p w:rsidR="002C5B1B" w:rsidRDefault="002C5B1B" w:rsidP="007C78F2">
            <w:pPr>
              <w:jc w:val="both"/>
            </w:pPr>
            <w:r>
              <w:t xml:space="preserve">JE commented that the TCHG Board are considering the affordable debate and how to mitigate delivery and the appropriate levels to meet need in more affluent/expense areas, the potential for how to mix sites to enable meeting need across affordability.  Other HA’s having similar discussions.   There is no requirement from local authorities on percentages with regards to social rent, HA’s trying to assist local authorities and deliver products that help those on the housing registers.  </w:t>
            </w:r>
          </w:p>
          <w:p w:rsidR="002C5B1B" w:rsidRDefault="002C5B1B" w:rsidP="007C78F2">
            <w:pPr>
              <w:jc w:val="both"/>
            </w:pPr>
          </w:p>
          <w:p w:rsidR="002C5B1B" w:rsidRDefault="0027737E" w:rsidP="0027737E">
            <w:pPr>
              <w:jc w:val="both"/>
            </w:pPr>
            <w:r>
              <w:t xml:space="preserve">Threshold &amp; tenure requirements discussion – LC advised that generally thresholds at SDC are met; there will be more flexibility about tenure split in the new local plan.  For smaller schemes in urban areas or AONB there is no interest from HA’s as the delivery numbers are too small (excl rural exception sites) in SDC.  This is an issue in other areas of Kent.  </w:t>
            </w:r>
          </w:p>
          <w:p w:rsidR="0027737E" w:rsidRDefault="0027737E" w:rsidP="0027737E">
            <w:pPr>
              <w:jc w:val="both"/>
            </w:pPr>
          </w:p>
          <w:p w:rsidR="0027737E" w:rsidRDefault="0027737E" w:rsidP="0027737E">
            <w:pPr>
              <w:jc w:val="both"/>
            </w:pPr>
            <w:r>
              <w:t>Generally there is a 50/50 split about tenure on sites from both HA’s and developers.  AN has a tool kit to help with viability and tenure split for sites, there are internal pressures and infrastructure costing in other areas of Kent that impact on schemes and numbers.  LC commented on the Mayor of London</w:t>
            </w:r>
            <w:r w:rsidR="001971D0">
              <w:t xml:space="preserve"> (GLA)</w:t>
            </w:r>
            <w:r>
              <w:t xml:space="preserve"> approach to viability and the team that is working on this in London, would they have capacity to assist in Kent or an opportunity to buy into this service/expertise?  Is this an issue for planning?  </w:t>
            </w:r>
          </w:p>
          <w:p w:rsidR="0027737E" w:rsidRDefault="0027737E" w:rsidP="0027737E">
            <w:pPr>
              <w:jc w:val="both"/>
            </w:pPr>
          </w:p>
          <w:p w:rsidR="0027737E" w:rsidRPr="00745BAC" w:rsidRDefault="0027737E" w:rsidP="0027737E">
            <w:pPr>
              <w:jc w:val="both"/>
            </w:pPr>
          </w:p>
        </w:tc>
        <w:tc>
          <w:tcPr>
            <w:tcW w:w="3260" w:type="dxa"/>
            <w:shd w:val="clear" w:color="auto" w:fill="auto"/>
          </w:tcPr>
          <w:p w:rsidR="001C3A06" w:rsidRDefault="001C3A06"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r>
              <w:rPr>
                <w:b/>
              </w:rPr>
              <w:t>RS to share back to KPOG chair for further discussion</w:t>
            </w:r>
          </w:p>
          <w:p w:rsidR="001971D0" w:rsidRDefault="001971D0" w:rsidP="00D131A0">
            <w:pPr>
              <w:jc w:val="both"/>
              <w:rPr>
                <w:b/>
              </w:rPr>
            </w:pPr>
          </w:p>
          <w:p w:rsidR="001971D0" w:rsidRPr="0027714F" w:rsidRDefault="001971D0" w:rsidP="00D131A0">
            <w:pPr>
              <w:jc w:val="both"/>
              <w:rPr>
                <w:b/>
              </w:rPr>
            </w:pPr>
            <w:r>
              <w:rPr>
                <w:b/>
              </w:rPr>
              <w:t>AN to share consultant details that used in Medway and his tool kit which is set up for Medway but can be tweaked</w:t>
            </w:r>
          </w:p>
        </w:tc>
        <w:tc>
          <w:tcPr>
            <w:tcW w:w="993" w:type="dxa"/>
            <w:shd w:val="clear" w:color="auto" w:fill="auto"/>
          </w:tcPr>
          <w:p w:rsidR="001C3A06" w:rsidRDefault="001C3A06"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p>
          <w:p w:rsidR="001971D0" w:rsidRDefault="001971D0" w:rsidP="00D131A0">
            <w:pPr>
              <w:jc w:val="both"/>
              <w:rPr>
                <w:b/>
              </w:rPr>
            </w:pPr>
            <w:r>
              <w:rPr>
                <w:b/>
              </w:rPr>
              <w:t>RS</w:t>
            </w:r>
          </w:p>
          <w:p w:rsidR="001971D0" w:rsidRDefault="001971D0" w:rsidP="00D131A0">
            <w:pPr>
              <w:jc w:val="both"/>
              <w:rPr>
                <w:b/>
              </w:rPr>
            </w:pPr>
          </w:p>
          <w:p w:rsidR="001971D0" w:rsidRDefault="001971D0" w:rsidP="00D131A0">
            <w:pPr>
              <w:jc w:val="both"/>
              <w:rPr>
                <w:b/>
              </w:rPr>
            </w:pPr>
          </w:p>
          <w:p w:rsidR="001971D0" w:rsidRPr="0044468F" w:rsidRDefault="001971D0" w:rsidP="00D131A0">
            <w:pPr>
              <w:jc w:val="both"/>
              <w:rPr>
                <w:b/>
              </w:rPr>
            </w:pPr>
            <w:r>
              <w:rPr>
                <w:b/>
              </w:rPr>
              <w:t>AN</w:t>
            </w:r>
          </w:p>
        </w:tc>
        <w:tc>
          <w:tcPr>
            <w:tcW w:w="1086" w:type="dxa"/>
            <w:shd w:val="clear" w:color="auto" w:fill="auto"/>
          </w:tcPr>
          <w:p w:rsidR="001C3A06" w:rsidRDefault="001C3A06" w:rsidP="0027714F">
            <w:pPr>
              <w:rPr>
                <w:b/>
                <w:color w:val="FF0000"/>
              </w:rPr>
            </w:pPr>
          </w:p>
          <w:p w:rsidR="001971D0" w:rsidRDefault="001971D0" w:rsidP="0027714F">
            <w:pPr>
              <w:rPr>
                <w:b/>
                <w:color w:val="FF0000"/>
              </w:rPr>
            </w:pPr>
          </w:p>
          <w:p w:rsidR="001971D0" w:rsidRDefault="001971D0" w:rsidP="0027714F">
            <w:pPr>
              <w:rPr>
                <w:b/>
                <w:color w:val="FF0000"/>
              </w:rPr>
            </w:pPr>
          </w:p>
          <w:p w:rsidR="001971D0" w:rsidRDefault="001971D0" w:rsidP="0027714F">
            <w:pPr>
              <w:rPr>
                <w:b/>
                <w:color w:val="FF0000"/>
              </w:rPr>
            </w:pPr>
          </w:p>
          <w:p w:rsidR="001971D0" w:rsidRDefault="001971D0" w:rsidP="0027714F">
            <w:pPr>
              <w:rPr>
                <w:b/>
                <w:color w:val="FF0000"/>
              </w:rPr>
            </w:pPr>
          </w:p>
          <w:p w:rsidR="001971D0" w:rsidRDefault="001971D0" w:rsidP="0027714F">
            <w:pPr>
              <w:rPr>
                <w:b/>
                <w:color w:val="FF0000"/>
              </w:rPr>
            </w:pPr>
          </w:p>
          <w:p w:rsidR="001971D0" w:rsidRDefault="001971D0" w:rsidP="0027714F">
            <w:pPr>
              <w:rPr>
                <w:b/>
                <w:color w:val="FF0000"/>
              </w:rPr>
            </w:pPr>
          </w:p>
          <w:p w:rsidR="001971D0" w:rsidRDefault="001971D0" w:rsidP="0027714F">
            <w:pPr>
              <w:rPr>
                <w:b/>
                <w:color w:val="FF0000"/>
              </w:rPr>
            </w:pPr>
          </w:p>
          <w:p w:rsidR="001971D0" w:rsidRDefault="001971D0" w:rsidP="0027714F">
            <w:pPr>
              <w:rPr>
                <w:b/>
                <w:color w:val="FF0000"/>
              </w:rPr>
            </w:pPr>
          </w:p>
          <w:p w:rsidR="001971D0" w:rsidRDefault="001971D0" w:rsidP="0027714F">
            <w:pPr>
              <w:rPr>
                <w:b/>
                <w:color w:val="FF0000"/>
              </w:rPr>
            </w:pPr>
          </w:p>
          <w:p w:rsidR="001971D0" w:rsidRDefault="001971D0" w:rsidP="0027714F">
            <w:pPr>
              <w:rPr>
                <w:b/>
                <w:color w:val="FF0000"/>
              </w:rPr>
            </w:pPr>
          </w:p>
          <w:p w:rsidR="001971D0" w:rsidRDefault="001971D0" w:rsidP="0027714F">
            <w:pPr>
              <w:rPr>
                <w:b/>
                <w:color w:val="FF0000"/>
              </w:rPr>
            </w:pPr>
          </w:p>
          <w:p w:rsidR="001971D0" w:rsidRDefault="001971D0" w:rsidP="0027714F">
            <w:pPr>
              <w:rPr>
                <w:b/>
                <w:color w:val="FF0000"/>
              </w:rPr>
            </w:pPr>
          </w:p>
          <w:p w:rsidR="001971D0" w:rsidRDefault="001971D0" w:rsidP="0027714F">
            <w:pPr>
              <w:rPr>
                <w:b/>
                <w:color w:val="FF0000"/>
              </w:rPr>
            </w:pPr>
          </w:p>
          <w:p w:rsidR="001971D0" w:rsidRDefault="001971D0" w:rsidP="0027714F">
            <w:pPr>
              <w:rPr>
                <w:b/>
                <w:color w:val="FF0000"/>
              </w:rPr>
            </w:pPr>
          </w:p>
          <w:p w:rsidR="001971D0" w:rsidRDefault="001971D0" w:rsidP="0027714F">
            <w:pPr>
              <w:rPr>
                <w:b/>
                <w:color w:val="FF0000"/>
              </w:rPr>
            </w:pPr>
          </w:p>
          <w:p w:rsidR="001971D0" w:rsidRDefault="001971D0" w:rsidP="0027714F">
            <w:pPr>
              <w:rPr>
                <w:b/>
                <w:color w:val="FF0000"/>
              </w:rPr>
            </w:pPr>
          </w:p>
          <w:p w:rsidR="001971D0" w:rsidRDefault="001971D0" w:rsidP="0027714F">
            <w:pPr>
              <w:rPr>
                <w:b/>
                <w:color w:val="FF0000"/>
              </w:rPr>
            </w:pPr>
          </w:p>
          <w:p w:rsidR="001971D0" w:rsidRDefault="001971D0" w:rsidP="0027714F">
            <w:pPr>
              <w:rPr>
                <w:b/>
                <w:color w:val="FF0000"/>
              </w:rPr>
            </w:pPr>
            <w:r>
              <w:rPr>
                <w:b/>
                <w:color w:val="FF0000"/>
              </w:rPr>
              <w:t>By 16/10</w:t>
            </w:r>
          </w:p>
          <w:p w:rsidR="001971D0" w:rsidRDefault="001971D0" w:rsidP="0027714F">
            <w:pPr>
              <w:rPr>
                <w:b/>
                <w:color w:val="FF0000"/>
              </w:rPr>
            </w:pPr>
          </w:p>
          <w:p w:rsidR="001971D0" w:rsidRDefault="001971D0" w:rsidP="0027714F">
            <w:pPr>
              <w:rPr>
                <w:b/>
                <w:color w:val="FF0000"/>
              </w:rPr>
            </w:pPr>
          </w:p>
          <w:p w:rsidR="001971D0" w:rsidRDefault="001971D0" w:rsidP="0027714F">
            <w:pPr>
              <w:rPr>
                <w:b/>
                <w:color w:val="FF0000"/>
              </w:rPr>
            </w:pPr>
            <w:r>
              <w:rPr>
                <w:b/>
                <w:color w:val="FF0000"/>
              </w:rPr>
              <w:t>By 16/10</w:t>
            </w:r>
          </w:p>
          <w:p w:rsidR="001971D0" w:rsidRPr="0027714F" w:rsidRDefault="001971D0" w:rsidP="0027714F">
            <w:pPr>
              <w:rPr>
                <w:b/>
                <w:color w:val="FF0000"/>
              </w:rPr>
            </w:pPr>
          </w:p>
        </w:tc>
      </w:tr>
      <w:tr w:rsidR="001C3A06" w:rsidRPr="00745BAC" w:rsidTr="00DC3C82">
        <w:tc>
          <w:tcPr>
            <w:tcW w:w="993" w:type="dxa"/>
          </w:tcPr>
          <w:p w:rsidR="001C3A06" w:rsidRDefault="001C3A06"/>
        </w:tc>
        <w:tc>
          <w:tcPr>
            <w:tcW w:w="1276" w:type="dxa"/>
            <w:shd w:val="clear" w:color="auto" w:fill="auto"/>
          </w:tcPr>
          <w:p w:rsidR="001C3A06" w:rsidRPr="0027737E" w:rsidRDefault="00AB2059" w:rsidP="008719B0">
            <w:pPr>
              <w:rPr>
                <w:b/>
              </w:rPr>
            </w:pPr>
            <w:r w:rsidRPr="0027737E">
              <w:rPr>
                <w:b/>
              </w:rPr>
              <w:t>AOB</w:t>
            </w:r>
          </w:p>
        </w:tc>
        <w:tc>
          <w:tcPr>
            <w:tcW w:w="8363" w:type="dxa"/>
            <w:shd w:val="clear" w:color="auto" w:fill="auto"/>
          </w:tcPr>
          <w:p w:rsidR="00194850" w:rsidRDefault="004652AE" w:rsidP="00676FD2">
            <w:r>
              <w:t>Discussion themes/presentations for January 2018 to AP/SL.</w:t>
            </w:r>
          </w:p>
          <w:p w:rsidR="00DB7811" w:rsidRDefault="00DB7811" w:rsidP="00676FD2"/>
          <w:p w:rsidR="00DB7811" w:rsidRDefault="00DB7811" w:rsidP="00676FD2">
            <w:r>
              <w:t>JE is here for the group as support and colleagues to contact if necessary, JE suggested a catch up with AP, SL a</w:t>
            </w:r>
            <w:r w:rsidR="002C5B1B">
              <w:t>nd RS ahead of January meeting.</w:t>
            </w:r>
          </w:p>
          <w:p w:rsidR="002C5B1B" w:rsidRDefault="002C5B1B" w:rsidP="00676FD2"/>
          <w:p w:rsidR="002C5B1B" w:rsidRDefault="002C5B1B" w:rsidP="00676FD2">
            <w:r>
              <w:t xml:space="preserve">There has been a meeting regarding CLT funding, there is discussion for a post to deliver community led housing across some of the East Kent Districts.  Full details haven’t been agreed yet but will be taken forward.  </w:t>
            </w:r>
          </w:p>
          <w:p w:rsidR="004652AE" w:rsidRPr="00676FD2" w:rsidRDefault="004652AE" w:rsidP="00676FD2"/>
        </w:tc>
        <w:tc>
          <w:tcPr>
            <w:tcW w:w="3260" w:type="dxa"/>
            <w:shd w:val="clear" w:color="auto" w:fill="auto"/>
          </w:tcPr>
          <w:p w:rsidR="0027714F" w:rsidRDefault="002C5B1B" w:rsidP="00417809">
            <w:pPr>
              <w:rPr>
                <w:b/>
              </w:rPr>
            </w:pPr>
            <w:r>
              <w:rPr>
                <w:b/>
              </w:rPr>
              <w:t>ALL to note</w:t>
            </w:r>
          </w:p>
          <w:p w:rsidR="002C5B1B" w:rsidRDefault="002C5B1B" w:rsidP="00417809">
            <w:pPr>
              <w:rPr>
                <w:b/>
              </w:rPr>
            </w:pPr>
          </w:p>
          <w:p w:rsidR="002C5B1B" w:rsidRDefault="002C5B1B" w:rsidP="00417809">
            <w:pPr>
              <w:rPr>
                <w:b/>
              </w:rPr>
            </w:pPr>
            <w:r>
              <w:rPr>
                <w:b/>
              </w:rPr>
              <w:t>RS to set up meeting</w:t>
            </w:r>
          </w:p>
          <w:p w:rsidR="002C5B1B" w:rsidRDefault="002C5B1B" w:rsidP="00417809">
            <w:pPr>
              <w:rPr>
                <w:b/>
              </w:rPr>
            </w:pPr>
          </w:p>
          <w:p w:rsidR="002C5B1B" w:rsidRDefault="002C5B1B" w:rsidP="00417809">
            <w:pPr>
              <w:rPr>
                <w:b/>
              </w:rPr>
            </w:pPr>
          </w:p>
          <w:p w:rsidR="002C5B1B" w:rsidRPr="00417809" w:rsidRDefault="002C5B1B" w:rsidP="00417809">
            <w:pPr>
              <w:rPr>
                <w:b/>
              </w:rPr>
            </w:pPr>
            <w:r>
              <w:rPr>
                <w:b/>
              </w:rPr>
              <w:t xml:space="preserve">Colleagues to update as information available </w:t>
            </w:r>
          </w:p>
        </w:tc>
        <w:tc>
          <w:tcPr>
            <w:tcW w:w="993" w:type="dxa"/>
            <w:shd w:val="clear" w:color="auto" w:fill="auto"/>
          </w:tcPr>
          <w:p w:rsidR="0027714F" w:rsidRDefault="002C5B1B" w:rsidP="00D131A0">
            <w:pPr>
              <w:jc w:val="both"/>
              <w:rPr>
                <w:b/>
              </w:rPr>
            </w:pPr>
            <w:r>
              <w:rPr>
                <w:b/>
              </w:rPr>
              <w:t>All</w:t>
            </w:r>
          </w:p>
          <w:p w:rsidR="002C5B1B" w:rsidRDefault="002C5B1B" w:rsidP="00D131A0">
            <w:pPr>
              <w:jc w:val="both"/>
              <w:rPr>
                <w:b/>
              </w:rPr>
            </w:pPr>
          </w:p>
          <w:p w:rsidR="002C5B1B" w:rsidRDefault="002C5B1B" w:rsidP="00D131A0">
            <w:pPr>
              <w:jc w:val="both"/>
              <w:rPr>
                <w:b/>
              </w:rPr>
            </w:pPr>
            <w:r>
              <w:rPr>
                <w:b/>
              </w:rPr>
              <w:t>RS</w:t>
            </w:r>
          </w:p>
          <w:p w:rsidR="002C5B1B" w:rsidRDefault="002C5B1B" w:rsidP="00D131A0">
            <w:pPr>
              <w:jc w:val="both"/>
              <w:rPr>
                <w:b/>
              </w:rPr>
            </w:pPr>
          </w:p>
          <w:p w:rsidR="002C5B1B" w:rsidRDefault="002C5B1B" w:rsidP="00D131A0">
            <w:pPr>
              <w:jc w:val="both"/>
              <w:rPr>
                <w:b/>
              </w:rPr>
            </w:pPr>
          </w:p>
          <w:p w:rsidR="002C5B1B" w:rsidRPr="0044468F" w:rsidRDefault="002C5B1B" w:rsidP="00D131A0">
            <w:pPr>
              <w:jc w:val="both"/>
              <w:rPr>
                <w:b/>
              </w:rPr>
            </w:pPr>
            <w:r>
              <w:rPr>
                <w:b/>
              </w:rPr>
              <w:t>All</w:t>
            </w:r>
          </w:p>
        </w:tc>
        <w:tc>
          <w:tcPr>
            <w:tcW w:w="1086" w:type="dxa"/>
            <w:shd w:val="clear" w:color="auto" w:fill="auto"/>
          </w:tcPr>
          <w:p w:rsidR="0027714F" w:rsidRDefault="002C5B1B" w:rsidP="009A1443">
            <w:pPr>
              <w:rPr>
                <w:b/>
                <w:color w:val="FF0000"/>
              </w:rPr>
            </w:pPr>
            <w:r>
              <w:rPr>
                <w:b/>
                <w:color w:val="FF0000"/>
              </w:rPr>
              <w:t>As Required</w:t>
            </w:r>
          </w:p>
          <w:p w:rsidR="002C5B1B" w:rsidRDefault="002C5B1B" w:rsidP="009A1443">
            <w:pPr>
              <w:rPr>
                <w:b/>
                <w:color w:val="FF0000"/>
              </w:rPr>
            </w:pPr>
          </w:p>
          <w:p w:rsidR="002C5B1B" w:rsidRDefault="002C5B1B" w:rsidP="009A1443">
            <w:pPr>
              <w:rPr>
                <w:b/>
                <w:color w:val="FF0000"/>
              </w:rPr>
            </w:pPr>
            <w:r>
              <w:rPr>
                <w:b/>
                <w:color w:val="FF0000"/>
              </w:rPr>
              <w:t>For Dec</w:t>
            </w:r>
          </w:p>
          <w:p w:rsidR="002C5B1B" w:rsidRDefault="002C5B1B" w:rsidP="009A1443">
            <w:pPr>
              <w:rPr>
                <w:b/>
                <w:color w:val="FF0000"/>
              </w:rPr>
            </w:pPr>
          </w:p>
          <w:p w:rsidR="002C5B1B" w:rsidRPr="0044468F" w:rsidRDefault="002C5B1B" w:rsidP="009A1443">
            <w:pPr>
              <w:rPr>
                <w:b/>
                <w:color w:val="FF0000"/>
              </w:rPr>
            </w:pPr>
            <w:r>
              <w:rPr>
                <w:b/>
                <w:color w:val="FF0000"/>
              </w:rPr>
              <w:t>As required</w:t>
            </w:r>
          </w:p>
        </w:tc>
      </w:tr>
    </w:tbl>
    <w:p w:rsidR="00194850" w:rsidRDefault="00194850"/>
    <w:p w:rsidR="00443F82" w:rsidRPr="00B86E64" w:rsidRDefault="00E42640">
      <w:pPr>
        <w:rPr>
          <w:b/>
          <w:i/>
        </w:rPr>
      </w:pPr>
      <w:r>
        <w:t xml:space="preserve"> </w:t>
      </w:r>
      <w:r w:rsidRPr="00B86E64">
        <w:rPr>
          <w:b/>
          <w:i/>
        </w:rPr>
        <w:t>Thanks not</w:t>
      </w:r>
      <w:r w:rsidR="00DB38AF" w:rsidRPr="00B86E64">
        <w:rPr>
          <w:b/>
          <w:i/>
        </w:rPr>
        <w:t xml:space="preserve">ed to </w:t>
      </w:r>
      <w:r w:rsidR="004652AE">
        <w:rPr>
          <w:b/>
          <w:i/>
        </w:rPr>
        <w:t xml:space="preserve">Ashford BC for </w:t>
      </w:r>
      <w:r w:rsidR="006F3586" w:rsidRPr="00B86E64">
        <w:rPr>
          <w:b/>
          <w:i/>
        </w:rPr>
        <w:t>hosting</w:t>
      </w:r>
    </w:p>
    <w:sectPr w:rsidR="00443F82" w:rsidRPr="00B86E64" w:rsidSect="006C2977">
      <w:headerReference w:type="even" r:id="rId7"/>
      <w:headerReference w:type="default" r:id="rId8"/>
      <w:footerReference w:type="even" r:id="rId9"/>
      <w:footerReference w:type="default" r:id="rId10"/>
      <w:headerReference w:type="first" r:id="rId11"/>
      <w:footerReference w:type="first" r:id="rId12"/>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BEB" w:rsidRDefault="00FB6BEB" w:rsidP="001D0582">
      <w:pPr>
        <w:spacing w:after="0" w:line="240" w:lineRule="auto"/>
      </w:pPr>
      <w:r>
        <w:separator/>
      </w:r>
    </w:p>
  </w:endnote>
  <w:endnote w:type="continuationSeparator" w:id="0">
    <w:p w:rsidR="00FB6BEB" w:rsidRDefault="00FB6BEB"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EB" w:rsidRDefault="00FB6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FB6BEB" w:rsidRDefault="00FB6BEB">
        <w:pPr>
          <w:pStyle w:val="Footer"/>
          <w:jc w:val="right"/>
        </w:pPr>
        <w:r>
          <w:fldChar w:fldCharType="begin"/>
        </w:r>
        <w:r>
          <w:instrText xml:space="preserve"> PAGE   \* MERGEFORMAT </w:instrText>
        </w:r>
        <w:r>
          <w:fldChar w:fldCharType="separate"/>
        </w:r>
        <w:r w:rsidR="005A6F8C">
          <w:rPr>
            <w:noProof/>
          </w:rPr>
          <w:t>3</w:t>
        </w:r>
        <w:r>
          <w:rPr>
            <w:noProof/>
          </w:rPr>
          <w:fldChar w:fldCharType="end"/>
        </w:r>
      </w:p>
    </w:sdtContent>
  </w:sdt>
  <w:p w:rsidR="00FB6BEB" w:rsidRDefault="00FB6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EB" w:rsidRDefault="00FB6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BEB" w:rsidRDefault="00FB6BEB" w:rsidP="001D0582">
      <w:pPr>
        <w:spacing w:after="0" w:line="240" w:lineRule="auto"/>
      </w:pPr>
      <w:r>
        <w:separator/>
      </w:r>
    </w:p>
  </w:footnote>
  <w:footnote w:type="continuationSeparator" w:id="0">
    <w:p w:rsidR="00FB6BEB" w:rsidRDefault="00FB6BEB"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EB" w:rsidRDefault="00FB6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Content>
      <w:p w:rsidR="00FB6BEB" w:rsidRDefault="00FB6BE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EB" w:rsidRDefault="00FB6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7280D"/>
    <w:multiLevelType w:val="hybridMultilevel"/>
    <w:tmpl w:val="6752530C"/>
    <w:lvl w:ilvl="0" w:tplc="7A5CB70C">
      <w:start w:val="1"/>
      <w:numFmt w:val="bullet"/>
      <w:lvlText w:val=""/>
      <w:lvlJc w:val="left"/>
      <w:pPr>
        <w:tabs>
          <w:tab w:val="num" w:pos="720"/>
        </w:tabs>
        <w:ind w:left="720" w:hanging="360"/>
      </w:pPr>
      <w:rPr>
        <w:rFonts w:ascii="Wingdings" w:hAnsi="Wingdings" w:hint="default"/>
      </w:rPr>
    </w:lvl>
    <w:lvl w:ilvl="1" w:tplc="B8B8FE94" w:tentative="1">
      <w:start w:val="1"/>
      <w:numFmt w:val="bullet"/>
      <w:lvlText w:val=""/>
      <w:lvlJc w:val="left"/>
      <w:pPr>
        <w:tabs>
          <w:tab w:val="num" w:pos="1440"/>
        </w:tabs>
        <w:ind w:left="1440" w:hanging="360"/>
      </w:pPr>
      <w:rPr>
        <w:rFonts w:ascii="Wingdings" w:hAnsi="Wingdings" w:hint="default"/>
      </w:rPr>
    </w:lvl>
    <w:lvl w:ilvl="2" w:tplc="2CD2D96C" w:tentative="1">
      <w:start w:val="1"/>
      <w:numFmt w:val="bullet"/>
      <w:lvlText w:val=""/>
      <w:lvlJc w:val="left"/>
      <w:pPr>
        <w:tabs>
          <w:tab w:val="num" w:pos="2160"/>
        </w:tabs>
        <w:ind w:left="2160" w:hanging="360"/>
      </w:pPr>
      <w:rPr>
        <w:rFonts w:ascii="Wingdings" w:hAnsi="Wingdings" w:hint="default"/>
      </w:rPr>
    </w:lvl>
    <w:lvl w:ilvl="3" w:tplc="8AA676E0" w:tentative="1">
      <w:start w:val="1"/>
      <w:numFmt w:val="bullet"/>
      <w:lvlText w:val=""/>
      <w:lvlJc w:val="left"/>
      <w:pPr>
        <w:tabs>
          <w:tab w:val="num" w:pos="2880"/>
        </w:tabs>
        <w:ind w:left="2880" w:hanging="360"/>
      </w:pPr>
      <w:rPr>
        <w:rFonts w:ascii="Wingdings" w:hAnsi="Wingdings" w:hint="default"/>
      </w:rPr>
    </w:lvl>
    <w:lvl w:ilvl="4" w:tplc="F9F4BA9E" w:tentative="1">
      <w:start w:val="1"/>
      <w:numFmt w:val="bullet"/>
      <w:lvlText w:val=""/>
      <w:lvlJc w:val="left"/>
      <w:pPr>
        <w:tabs>
          <w:tab w:val="num" w:pos="3600"/>
        </w:tabs>
        <w:ind w:left="3600" w:hanging="360"/>
      </w:pPr>
      <w:rPr>
        <w:rFonts w:ascii="Wingdings" w:hAnsi="Wingdings" w:hint="default"/>
      </w:rPr>
    </w:lvl>
    <w:lvl w:ilvl="5" w:tplc="D146F792" w:tentative="1">
      <w:start w:val="1"/>
      <w:numFmt w:val="bullet"/>
      <w:lvlText w:val=""/>
      <w:lvlJc w:val="left"/>
      <w:pPr>
        <w:tabs>
          <w:tab w:val="num" w:pos="4320"/>
        </w:tabs>
        <w:ind w:left="4320" w:hanging="360"/>
      </w:pPr>
      <w:rPr>
        <w:rFonts w:ascii="Wingdings" w:hAnsi="Wingdings" w:hint="default"/>
      </w:rPr>
    </w:lvl>
    <w:lvl w:ilvl="6" w:tplc="4FCA4924" w:tentative="1">
      <w:start w:val="1"/>
      <w:numFmt w:val="bullet"/>
      <w:lvlText w:val=""/>
      <w:lvlJc w:val="left"/>
      <w:pPr>
        <w:tabs>
          <w:tab w:val="num" w:pos="5040"/>
        </w:tabs>
        <w:ind w:left="5040" w:hanging="360"/>
      </w:pPr>
      <w:rPr>
        <w:rFonts w:ascii="Wingdings" w:hAnsi="Wingdings" w:hint="default"/>
      </w:rPr>
    </w:lvl>
    <w:lvl w:ilvl="7" w:tplc="5FEAF6D6" w:tentative="1">
      <w:start w:val="1"/>
      <w:numFmt w:val="bullet"/>
      <w:lvlText w:val=""/>
      <w:lvlJc w:val="left"/>
      <w:pPr>
        <w:tabs>
          <w:tab w:val="num" w:pos="5760"/>
        </w:tabs>
        <w:ind w:left="5760" w:hanging="360"/>
      </w:pPr>
      <w:rPr>
        <w:rFonts w:ascii="Wingdings" w:hAnsi="Wingdings" w:hint="default"/>
      </w:rPr>
    </w:lvl>
    <w:lvl w:ilvl="8" w:tplc="F74CD7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25803"/>
    <w:multiLevelType w:val="hybridMultilevel"/>
    <w:tmpl w:val="84AC2892"/>
    <w:lvl w:ilvl="0" w:tplc="ED0C7B92">
      <w:start w:val="1"/>
      <w:numFmt w:val="bullet"/>
      <w:lvlText w:val="•"/>
      <w:lvlJc w:val="left"/>
      <w:pPr>
        <w:tabs>
          <w:tab w:val="num" w:pos="720"/>
        </w:tabs>
        <w:ind w:left="720" w:hanging="360"/>
      </w:pPr>
      <w:rPr>
        <w:rFonts w:ascii="Arial" w:hAnsi="Arial" w:hint="default"/>
      </w:rPr>
    </w:lvl>
    <w:lvl w:ilvl="1" w:tplc="05783236" w:tentative="1">
      <w:start w:val="1"/>
      <w:numFmt w:val="bullet"/>
      <w:lvlText w:val="•"/>
      <w:lvlJc w:val="left"/>
      <w:pPr>
        <w:tabs>
          <w:tab w:val="num" w:pos="1440"/>
        </w:tabs>
        <w:ind w:left="1440" w:hanging="360"/>
      </w:pPr>
      <w:rPr>
        <w:rFonts w:ascii="Arial" w:hAnsi="Arial" w:hint="default"/>
      </w:rPr>
    </w:lvl>
    <w:lvl w:ilvl="2" w:tplc="CE16BB2A" w:tentative="1">
      <w:start w:val="1"/>
      <w:numFmt w:val="bullet"/>
      <w:lvlText w:val="•"/>
      <w:lvlJc w:val="left"/>
      <w:pPr>
        <w:tabs>
          <w:tab w:val="num" w:pos="2160"/>
        </w:tabs>
        <w:ind w:left="2160" w:hanging="360"/>
      </w:pPr>
      <w:rPr>
        <w:rFonts w:ascii="Arial" w:hAnsi="Arial" w:hint="default"/>
      </w:rPr>
    </w:lvl>
    <w:lvl w:ilvl="3" w:tplc="B13E31DC" w:tentative="1">
      <w:start w:val="1"/>
      <w:numFmt w:val="bullet"/>
      <w:lvlText w:val="•"/>
      <w:lvlJc w:val="left"/>
      <w:pPr>
        <w:tabs>
          <w:tab w:val="num" w:pos="2880"/>
        </w:tabs>
        <w:ind w:left="2880" w:hanging="360"/>
      </w:pPr>
      <w:rPr>
        <w:rFonts w:ascii="Arial" w:hAnsi="Arial" w:hint="default"/>
      </w:rPr>
    </w:lvl>
    <w:lvl w:ilvl="4" w:tplc="4ECAF4A8" w:tentative="1">
      <w:start w:val="1"/>
      <w:numFmt w:val="bullet"/>
      <w:lvlText w:val="•"/>
      <w:lvlJc w:val="left"/>
      <w:pPr>
        <w:tabs>
          <w:tab w:val="num" w:pos="3600"/>
        </w:tabs>
        <w:ind w:left="3600" w:hanging="360"/>
      </w:pPr>
      <w:rPr>
        <w:rFonts w:ascii="Arial" w:hAnsi="Arial" w:hint="default"/>
      </w:rPr>
    </w:lvl>
    <w:lvl w:ilvl="5" w:tplc="7FF0C09E" w:tentative="1">
      <w:start w:val="1"/>
      <w:numFmt w:val="bullet"/>
      <w:lvlText w:val="•"/>
      <w:lvlJc w:val="left"/>
      <w:pPr>
        <w:tabs>
          <w:tab w:val="num" w:pos="4320"/>
        </w:tabs>
        <w:ind w:left="4320" w:hanging="360"/>
      </w:pPr>
      <w:rPr>
        <w:rFonts w:ascii="Arial" w:hAnsi="Arial" w:hint="default"/>
      </w:rPr>
    </w:lvl>
    <w:lvl w:ilvl="6" w:tplc="21C4D83E" w:tentative="1">
      <w:start w:val="1"/>
      <w:numFmt w:val="bullet"/>
      <w:lvlText w:val="•"/>
      <w:lvlJc w:val="left"/>
      <w:pPr>
        <w:tabs>
          <w:tab w:val="num" w:pos="5040"/>
        </w:tabs>
        <w:ind w:left="5040" w:hanging="360"/>
      </w:pPr>
      <w:rPr>
        <w:rFonts w:ascii="Arial" w:hAnsi="Arial" w:hint="default"/>
      </w:rPr>
    </w:lvl>
    <w:lvl w:ilvl="7" w:tplc="758860D8" w:tentative="1">
      <w:start w:val="1"/>
      <w:numFmt w:val="bullet"/>
      <w:lvlText w:val="•"/>
      <w:lvlJc w:val="left"/>
      <w:pPr>
        <w:tabs>
          <w:tab w:val="num" w:pos="5760"/>
        </w:tabs>
        <w:ind w:left="5760" w:hanging="360"/>
      </w:pPr>
      <w:rPr>
        <w:rFonts w:ascii="Arial" w:hAnsi="Arial" w:hint="default"/>
      </w:rPr>
    </w:lvl>
    <w:lvl w:ilvl="8" w:tplc="A63CF5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2C"/>
    <w:rsid w:val="0002794B"/>
    <w:rsid w:val="00030B86"/>
    <w:rsid w:val="00061235"/>
    <w:rsid w:val="000718CE"/>
    <w:rsid w:val="00082C1F"/>
    <w:rsid w:val="00085AA4"/>
    <w:rsid w:val="000871E7"/>
    <w:rsid w:val="00094B7F"/>
    <w:rsid w:val="00094D7E"/>
    <w:rsid w:val="00095958"/>
    <w:rsid w:val="000A139A"/>
    <w:rsid w:val="000B4C89"/>
    <w:rsid w:val="000D2680"/>
    <w:rsid w:val="000E09FF"/>
    <w:rsid w:val="000E1AF4"/>
    <w:rsid w:val="000E5093"/>
    <w:rsid w:val="000E6197"/>
    <w:rsid w:val="00111B2B"/>
    <w:rsid w:val="00115336"/>
    <w:rsid w:val="001262F3"/>
    <w:rsid w:val="00127ED4"/>
    <w:rsid w:val="00130B92"/>
    <w:rsid w:val="001439DD"/>
    <w:rsid w:val="001475A9"/>
    <w:rsid w:val="00150D2E"/>
    <w:rsid w:val="00156EA5"/>
    <w:rsid w:val="00167755"/>
    <w:rsid w:val="00182CF3"/>
    <w:rsid w:val="001943D7"/>
    <w:rsid w:val="00194850"/>
    <w:rsid w:val="001965ED"/>
    <w:rsid w:val="001971D0"/>
    <w:rsid w:val="001A1975"/>
    <w:rsid w:val="001C3A06"/>
    <w:rsid w:val="001C7AAC"/>
    <w:rsid w:val="001D0582"/>
    <w:rsid w:val="001D54FF"/>
    <w:rsid w:val="001E3BD2"/>
    <w:rsid w:val="001F0061"/>
    <w:rsid w:val="00200B68"/>
    <w:rsid w:val="002147E0"/>
    <w:rsid w:val="00222A5F"/>
    <w:rsid w:val="00240ACA"/>
    <w:rsid w:val="00243F4C"/>
    <w:rsid w:val="0024471C"/>
    <w:rsid w:val="002479D5"/>
    <w:rsid w:val="00262705"/>
    <w:rsid w:val="002718DD"/>
    <w:rsid w:val="00271F22"/>
    <w:rsid w:val="00274D25"/>
    <w:rsid w:val="0027714F"/>
    <w:rsid w:val="0027737E"/>
    <w:rsid w:val="00293C7B"/>
    <w:rsid w:val="00297E1C"/>
    <w:rsid w:val="002B184E"/>
    <w:rsid w:val="002C3CC1"/>
    <w:rsid w:val="002C4971"/>
    <w:rsid w:val="002C521E"/>
    <w:rsid w:val="002C5B1B"/>
    <w:rsid w:val="002D65C2"/>
    <w:rsid w:val="002D78AA"/>
    <w:rsid w:val="002E1DBC"/>
    <w:rsid w:val="002E2A04"/>
    <w:rsid w:val="003016B3"/>
    <w:rsid w:val="0030692E"/>
    <w:rsid w:val="0033294D"/>
    <w:rsid w:val="003352B8"/>
    <w:rsid w:val="00341EA6"/>
    <w:rsid w:val="00365150"/>
    <w:rsid w:val="0037203C"/>
    <w:rsid w:val="00375457"/>
    <w:rsid w:val="003763CD"/>
    <w:rsid w:val="003771C3"/>
    <w:rsid w:val="003805C2"/>
    <w:rsid w:val="0038370A"/>
    <w:rsid w:val="003900EE"/>
    <w:rsid w:val="00391561"/>
    <w:rsid w:val="0039728D"/>
    <w:rsid w:val="003A12E5"/>
    <w:rsid w:val="003C7C89"/>
    <w:rsid w:val="003E3946"/>
    <w:rsid w:val="003E6D4B"/>
    <w:rsid w:val="003F19AE"/>
    <w:rsid w:val="003F5CB0"/>
    <w:rsid w:val="00417809"/>
    <w:rsid w:val="004241B5"/>
    <w:rsid w:val="00426472"/>
    <w:rsid w:val="00432746"/>
    <w:rsid w:val="004409D4"/>
    <w:rsid w:val="0044178D"/>
    <w:rsid w:val="00443F82"/>
    <w:rsid w:val="0044468F"/>
    <w:rsid w:val="004472A2"/>
    <w:rsid w:val="00454E00"/>
    <w:rsid w:val="004652AE"/>
    <w:rsid w:val="00486834"/>
    <w:rsid w:val="004951B9"/>
    <w:rsid w:val="00495785"/>
    <w:rsid w:val="004A500E"/>
    <w:rsid w:val="004C57A0"/>
    <w:rsid w:val="004D1D2D"/>
    <w:rsid w:val="004F3A69"/>
    <w:rsid w:val="00540DE2"/>
    <w:rsid w:val="00557253"/>
    <w:rsid w:val="005659E4"/>
    <w:rsid w:val="0057197C"/>
    <w:rsid w:val="005755F2"/>
    <w:rsid w:val="00596291"/>
    <w:rsid w:val="005A6F8C"/>
    <w:rsid w:val="005A7FF7"/>
    <w:rsid w:val="005C2EBA"/>
    <w:rsid w:val="005C39F5"/>
    <w:rsid w:val="005D1AB8"/>
    <w:rsid w:val="005D31FF"/>
    <w:rsid w:val="005D68EF"/>
    <w:rsid w:val="00640FCB"/>
    <w:rsid w:val="00647CA0"/>
    <w:rsid w:val="00663376"/>
    <w:rsid w:val="00663A8B"/>
    <w:rsid w:val="00676FD2"/>
    <w:rsid w:val="006835C0"/>
    <w:rsid w:val="0069739D"/>
    <w:rsid w:val="006A0F46"/>
    <w:rsid w:val="006B0BF9"/>
    <w:rsid w:val="006C2977"/>
    <w:rsid w:val="006C353E"/>
    <w:rsid w:val="006D52CE"/>
    <w:rsid w:val="006F3586"/>
    <w:rsid w:val="006F73A7"/>
    <w:rsid w:val="006F7820"/>
    <w:rsid w:val="00702D6B"/>
    <w:rsid w:val="00707E57"/>
    <w:rsid w:val="0071574E"/>
    <w:rsid w:val="00730D8F"/>
    <w:rsid w:val="00735129"/>
    <w:rsid w:val="00745BAC"/>
    <w:rsid w:val="007475C9"/>
    <w:rsid w:val="0075537B"/>
    <w:rsid w:val="007652BA"/>
    <w:rsid w:val="00790C1F"/>
    <w:rsid w:val="00791545"/>
    <w:rsid w:val="0079363C"/>
    <w:rsid w:val="007A4FC0"/>
    <w:rsid w:val="007A5862"/>
    <w:rsid w:val="007C72A6"/>
    <w:rsid w:val="007C78F2"/>
    <w:rsid w:val="007D358C"/>
    <w:rsid w:val="007D3984"/>
    <w:rsid w:val="007D6331"/>
    <w:rsid w:val="007F0729"/>
    <w:rsid w:val="00805F77"/>
    <w:rsid w:val="0082091E"/>
    <w:rsid w:val="008319F8"/>
    <w:rsid w:val="0083657E"/>
    <w:rsid w:val="00843F80"/>
    <w:rsid w:val="00851586"/>
    <w:rsid w:val="00863010"/>
    <w:rsid w:val="008634D4"/>
    <w:rsid w:val="008719B0"/>
    <w:rsid w:val="0087426F"/>
    <w:rsid w:val="00882841"/>
    <w:rsid w:val="0088348D"/>
    <w:rsid w:val="008B1CA5"/>
    <w:rsid w:val="008B438C"/>
    <w:rsid w:val="008C4F3E"/>
    <w:rsid w:val="008E7E63"/>
    <w:rsid w:val="008F2C58"/>
    <w:rsid w:val="008F7807"/>
    <w:rsid w:val="00905451"/>
    <w:rsid w:val="009060F9"/>
    <w:rsid w:val="00911690"/>
    <w:rsid w:val="00933209"/>
    <w:rsid w:val="009336E9"/>
    <w:rsid w:val="00951585"/>
    <w:rsid w:val="0096714A"/>
    <w:rsid w:val="00985443"/>
    <w:rsid w:val="00996D1A"/>
    <w:rsid w:val="009A1443"/>
    <w:rsid w:val="009A59AF"/>
    <w:rsid w:val="009A7BEE"/>
    <w:rsid w:val="009B30E4"/>
    <w:rsid w:val="009C0E21"/>
    <w:rsid w:val="009C7E68"/>
    <w:rsid w:val="009D06FB"/>
    <w:rsid w:val="009E3045"/>
    <w:rsid w:val="009E732B"/>
    <w:rsid w:val="009F6A91"/>
    <w:rsid w:val="00A0569E"/>
    <w:rsid w:val="00A20A77"/>
    <w:rsid w:val="00A2502B"/>
    <w:rsid w:val="00A41B69"/>
    <w:rsid w:val="00A74FDB"/>
    <w:rsid w:val="00A91826"/>
    <w:rsid w:val="00AA336E"/>
    <w:rsid w:val="00AB2059"/>
    <w:rsid w:val="00AC1941"/>
    <w:rsid w:val="00AC5535"/>
    <w:rsid w:val="00AD242F"/>
    <w:rsid w:val="00AD4D11"/>
    <w:rsid w:val="00AF0BF5"/>
    <w:rsid w:val="00AF7A24"/>
    <w:rsid w:val="00B469BF"/>
    <w:rsid w:val="00B60719"/>
    <w:rsid w:val="00B666CB"/>
    <w:rsid w:val="00B77576"/>
    <w:rsid w:val="00B8529C"/>
    <w:rsid w:val="00B86E64"/>
    <w:rsid w:val="00B9511D"/>
    <w:rsid w:val="00BA4C5F"/>
    <w:rsid w:val="00BA7C27"/>
    <w:rsid w:val="00BB2AAD"/>
    <w:rsid w:val="00BC7803"/>
    <w:rsid w:val="00BE5D7D"/>
    <w:rsid w:val="00BF07DA"/>
    <w:rsid w:val="00BF31E9"/>
    <w:rsid w:val="00BF76C5"/>
    <w:rsid w:val="00C127AE"/>
    <w:rsid w:val="00C14626"/>
    <w:rsid w:val="00C30184"/>
    <w:rsid w:val="00C3309B"/>
    <w:rsid w:val="00C36373"/>
    <w:rsid w:val="00C70D27"/>
    <w:rsid w:val="00C836EB"/>
    <w:rsid w:val="00CA27E0"/>
    <w:rsid w:val="00CC5D2C"/>
    <w:rsid w:val="00CD3142"/>
    <w:rsid w:val="00CE0030"/>
    <w:rsid w:val="00CF109C"/>
    <w:rsid w:val="00D072B0"/>
    <w:rsid w:val="00D131A0"/>
    <w:rsid w:val="00D3313F"/>
    <w:rsid w:val="00D55D11"/>
    <w:rsid w:val="00D55EE3"/>
    <w:rsid w:val="00D75B11"/>
    <w:rsid w:val="00D8088B"/>
    <w:rsid w:val="00D942B4"/>
    <w:rsid w:val="00DB38AF"/>
    <w:rsid w:val="00DB7811"/>
    <w:rsid w:val="00DB7928"/>
    <w:rsid w:val="00DC3C82"/>
    <w:rsid w:val="00DC3FBE"/>
    <w:rsid w:val="00DC4624"/>
    <w:rsid w:val="00DC5AC6"/>
    <w:rsid w:val="00DF2FAC"/>
    <w:rsid w:val="00DF3888"/>
    <w:rsid w:val="00DF74F2"/>
    <w:rsid w:val="00E01461"/>
    <w:rsid w:val="00E12356"/>
    <w:rsid w:val="00E128D7"/>
    <w:rsid w:val="00E42640"/>
    <w:rsid w:val="00E4409D"/>
    <w:rsid w:val="00E45720"/>
    <w:rsid w:val="00E71FF5"/>
    <w:rsid w:val="00E723BB"/>
    <w:rsid w:val="00E763C8"/>
    <w:rsid w:val="00E80552"/>
    <w:rsid w:val="00E805A7"/>
    <w:rsid w:val="00E9001C"/>
    <w:rsid w:val="00E945E0"/>
    <w:rsid w:val="00E97198"/>
    <w:rsid w:val="00E97F02"/>
    <w:rsid w:val="00EB1CF0"/>
    <w:rsid w:val="00EC630B"/>
    <w:rsid w:val="00ED7102"/>
    <w:rsid w:val="00EE0E30"/>
    <w:rsid w:val="00EE5454"/>
    <w:rsid w:val="00F01C6E"/>
    <w:rsid w:val="00F11A2F"/>
    <w:rsid w:val="00F4695A"/>
    <w:rsid w:val="00F47DC4"/>
    <w:rsid w:val="00F513B0"/>
    <w:rsid w:val="00F71CB7"/>
    <w:rsid w:val="00F85B9E"/>
    <w:rsid w:val="00FB113B"/>
    <w:rsid w:val="00FB47D9"/>
    <w:rsid w:val="00FB6BEB"/>
    <w:rsid w:val="00FC77C1"/>
    <w:rsid w:val="00FD0151"/>
    <w:rsid w:val="00FD5B84"/>
    <w:rsid w:val="00FD7444"/>
    <w:rsid w:val="00FE0566"/>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5CE2C7"/>
  <w15:docId w15:val="{5E6CFA95-9BE5-4FDA-911E-42FFC9DF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806048">
      <w:bodyDiv w:val="1"/>
      <w:marLeft w:val="0"/>
      <w:marRight w:val="0"/>
      <w:marTop w:val="0"/>
      <w:marBottom w:val="0"/>
      <w:divBdr>
        <w:top w:val="none" w:sz="0" w:space="0" w:color="auto"/>
        <w:left w:val="none" w:sz="0" w:space="0" w:color="auto"/>
        <w:bottom w:val="none" w:sz="0" w:space="0" w:color="auto"/>
        <w:right w:val="none" w:sz="0" w:space="0" w:color="auto"/>
      </w:divBdr>
      <w:divsChild>
        <w:div w:id="595869822">
          <w:marLeft w:val="547"/>
          <w:marRight w:val="0"/>
          <w:marTop w:val="96"/>
          <w:marBottom w:val="0"/>
          <w:divBdr>
            <w:top w:val="none" w:sz="0" w:space="0" w:color="auto"/>
            <w:left w:val="none" w:sz="0" w:space="0" w:color="auto"/>
            <w:bottom w:val="none" w:sz="0" w:space="0" w:color="auto"/>
            <w:right w:val="none" w:sz="0" w:space="0" w:color="auto"/>
          </w:divBdr>
        </w:div>
      </w:divsChild>
    </w:div>
    <w:div w:id="2030637949">
      <w:bodyDiv w:val="1"/>
      <w:marLeft w:val="0"/>
      <w:marRight w:val="0"/>
      <w:marTop w:val="0"/>
      <w:marBottom w:val="0"/>
      <w:divBdr>
        <w:top w:val="none" w:sz="0" w:space="0" w:color="auto"/>
        <w:left w:val="none" w:sz="0" w:space="0" w:color="auto"/>
        <w:bottom w:val="none" w:sz="0" w:space="0" w:color="auto"/>
        <w:right w:val="none" w:sz="0" w:space="0" w:color="auto"/>
      </w:divBdr>
      <w:divsChild>
        <w:div w:id="227569924">
          <w:marLeft w:val="547"/>
          <w:marRight w:val="0"/>
          <w:marTop w:val="120"/>
          <w:marBottom w:val="0"/>
          <w:divBdr>
            <w:top w:val="none" w:sz="0" w:space="0" w:color="auto"/>
            <w:left w:val="none" w:sz="0" w:space="0" w:color="auto"/>
            <w:bottom w:val="none" w:sz="0" w:space="0" w:color="auto"/>
            <w:right w:val="none" w:sz="0" w:space="0" w:color="auto"/>
          </w:divBdr>
        </w:div>
        <w:div w:id="1555779180">
          <w:marLeft w:val="547"/>
          <w:marRight w:val="0"/>
          <w:marTop w:val="120"/>
          <w:marBottom w:val="0"/>
          <w:divBdr>
            <w:top w:val="none" w:sz="0" w:space="0" w:color="auto"/>
            <w:left w:val="none" w:sz="0" w:space="0" w:color="auto"/>
            <w:bottom w:val="none" w:sz="0" w:space="0" w:color="auto"/>
            <w:right w:val="none" w:sz="0" w:space="0" w:color="auto"/>
          </w:divBdr>
        </w:div>
        <w:div w:id="1660576817">
          <w:marLeft w:val="547"/>
          <w:marRight w:val="0"/>
          <w:marTop w:val="120"/>
          <w:marBottom w:val="0"/>
          <w:divBdr>
            <w:top w:val="none" w:sz="0" w:space="0" w:color="auto"/>
            <w:left w:val="none" w:sz="0" w:space="0" w:color="auto"/>
            <w:bottom w:val="none" w:sz="0" w:space="0" w:color="auto"/>
            <w:right w:val="none" w:sz="0" w:space="0" w:color="auto"/>
          </w:divBdr>
        </w:div>
        <w:div w:id="1788158424">
          <w:marLeft w:val="547"/>
          <w:marRight w:val="0"/>
          <w:marTop w:val="120"/>
          <w:marBottom w:val="0"/>
          <w:divBdr>
            <w:top w:val="none" w:sz="0" w:space="0" w:color="auto"/>
            <w:left w:val="none" w:sz="0" w:space="0" w:color="auto"/>
            <w:bottom w:val="none" w:sz="0" w:space="0" w:color="auto"/>
            <w:right w:val="none" w:sz="0" w:space="0" w:color="auto"/>
          </w:divBdr>
        </w:div>
        <w:div w:id="174097921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7C9674F8.dotm</Template>
  <TotalTime>127</TotalTime>
  <Pages>6</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20</cp:revision>
  <dcterms:created xsi:type="dcterms:W3CDTF">2017-09-26T09:08:00Z</dcterms:created>
  <dcterms:modified xsi:type="dcterms:W3CDTF">2017-10-04T09:41:00Z</dcterms:modified>
</cp:coreProperties>
</file>