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D4308" w:rsidRPr="00DF015F" w:rsidRDefault="00D26C34" w:rsidP="00DC2DDD">
      <w:pPr>
        <w:jc w:val="center"/>
        <w:rPr>
          <w:b/>
          <w:u w:val="single"/>
        </w:rPr>
      </w:pPr>
      <w:r>
        <w:rPr>
          <w:b/>
          <w:u w:val="single"/>
        </w:rPr>
        <w:t>2 NOVEMBER</w:t>
      </w:r>
      <w:r w:rsidR="00DD4308">
        <w:rPr>
          <w:b/>
          <w:u w:val="single"/>
        </w:rPr>
        <w:t xml:space="preserve"> 2017</w:t>
      </w:r>
    </w:p>
    <w:p w:rsidR="00DC2DDD" w:rsidRPr="00DF015F" w:rsidRDefault="00DC2DDD" w:rsidP="00DC2DDD">
      <w:pPr>
        <w:jc w:val="center"/>
        <w:rPr>
          <w:b/>
          <w:u w:val="single"/>
        </w:rPr>
      </w:pPr>
      <w:r w:rsidRPr="00DF015F">
        <w:rPr>
          <w:b/>
          <w:u w:val="single"/>
        </w:rPr>
        <w:t xml:space="preserve">Held at </w:t>
      </w:r>
      <w:r w:rsidR="00DF015F" w:rsidRPr="00DF015F">
        <w:rPr>
          <w:b/>
          <w:u w:val="single"/>
        </w:rPr>
        <w:t>Maidstone BC Office, Maidstone House, Maidstone</w:t>
      </w:r>
    </w:p>
    <w:p w:rsidR="00DF015F" w:rsidRDefault="00DF015F" w:rsidP="00DF015F">
      <w:r w:rsidRPr="00DF015F">
        <w:rPr>
          <w:b/>
        </w:rPr>
        <w:t>Present:</w:t>
      </w:r>
      <w:r w:rsidR="00842D44">
        <w:rPr>
          <w:b/>
        </w:rPr>
        <w:t xml:space="preserve"> </w:t>
      </w:r>
      <w:r w:rsidR="00E21A76">
        <w:rPr>
          <w:b/>
        </w:rPr>
        <w:t>Marie Gerald – Deputy Chair,</w:t>
      </w:r>
      <w:r w:rsidR="003759E6">
        <w:rPr>
          <w:b/>
        </w:rPr>
        <w:t xml:space="preserve">  Lesley Clay JPPB, </w:t>
      </w:r>
      <w:bookmarkStart w:id="0" w:name="_GoBack"/>
      <w:bookmarkEnd w:id="0"/>
      <w:r w:rsidR="00E21A76">
        <w:rPr>
          <w:b/>
        </w:rPr>
        <w:t xml:space="preserve"> Elly </w:t>
      </w:r>
      <w:proofErr w:type="spellStart"/>
      <w:r w:rsidR="00E21A76">
        <w:rPr>
          <w:b/>
        </w:rPr>
        <w:t>Toye</w:t>
      </w:r>
      <w:proofErr w:type="spellEnd"/>
      <w:r w:rsidR="00E21A76">
        <w:rPr>
          <w:b/>
        </w:rPr>
        <w:t xml:space="preserve">, Lynn Wilders, Sylvia Roberts, Mike Barrett, </w:t>
      </w:r>
      <w:r w:rsidR="0024044A">
        <w:rPr>
          <w:b/>
        </w:rPr>
        <w:t xml:space="preserve">John Littlemore, Andy </w:t>
      </w:r>
      <w:proofErr w:type="spellStart"/>
      <w:r w:rsidR="0024044A">
        <w:rPr>
          <w:b/>
        </w:rPr>
        <w:t>Kefford</w:t>
      </w:r>
      <w:proofErr w:type="spellEnd"/>
      <w:r w:rsidR="0024044A">
        <w:rPr>
          <w:b/>
        </w:rPr>
        <w:t xml:space="preserve">, Andrew McDonald, Roxanne Sheppard, Vicky </w:t>
      </w:r>
      <w:proofErr w:type="spellStart"/>
      <w:r w:rsidR="0024044A">
        <w:rPr>
          <w:b/>
        </w:rPr>
        <w:t>Hodson</w:t>
      </w:r>
      <w:proofErr w:type="spellEnd"/>
      <w:r w:rsidR="0024044A">
        <w:rPr>
          <w:b/>
        </w:rPr>
        <w:t xml:space="preserve">, Deborah White, Jason </w:t>
      </w:r>
      <w:proofErr w:type="spellStart"/>
      <w:r w:rsidR="0024044A">
        <w:rPr>
          <w:b/>
        </w:rPr>
        <w:t>Wheble</w:t>
      </w:r>
      <w:proofErr w:type="spellEnd"/>
      <w:r w:rsidR="0024044A">
        <w:rPr>
          <w:b/>
        </w:rPr>
        <w:t>, Victoria May, Marion Money, Stuart Clifton, Lora McCourt, Pam Millington.</w:t>
      </w:r>
    </w:p>
    <w:p w:rsidR="00DF015F" w:rsidRPr="002D03A5" w:rsidRDefault="00DF015F" w:rsidP="00DF015F">
      <w:r>
        <w:rPr>
          <w:b/>
        </w:rPr>
        <w:t>Apologies:</w:t>
      </w:r>
      <w:r w:rsidR="00DB1DA3">
        <w:rPr>
          <w:b/>
        </w:rPr>
        <w:t xml:space="preserve"> </w:t>
      </w:r>
      <w:r w:rsidR="00D26C34">
        <w:t xml:space="preserve">Brian Horton, Horton Strategic and SELEP; Jill </w:t>
      </w:r>
      <w:proofErr w:type="spellStart"/>
      <w:r w:rsidR="00D26C34">
        <w:t>Pells</w:t>
      </w:r>
      <w:proofErr w:type="spellEnd"/>
      <w:r w:rsidR="00EF7114">
        <w:t xml:space="preserve"> </w:t>
      </w:r>
      <w:r w:rsidR="00D26C34">
        <w:t>KHG</w:t>
      </w:r>
      <w:r w:rsidR="00EF7114">
        <w:t>;</w:t>
      </w:r>
      <w:r w:rsidR="00372765">
        <w:t xml:space="preserve"> Sarah Robson KHG</w:t>
      </w:r>
      <w:r w:rsidR="00EF7114">
        <w:t>;</w:t>
      </w:r>
      <w:r w:rsidR="00372765">
        <w:t xml:space="preserve"> Jeff Burch KSSCRC</w:t>
      </w:r>
      <w:r w:rsidR="00EF7114">
        <w:t>;</w:t>
      </w:r>
      <w:r w:rsidR="004564C0">
        <w:t xml:space="preserve"> Jane </w:t>
      </w:r>
      <w:proofErr w:type="spellStart"/>
      <w:r w:rsidR="004564C0">
        <w:t>Smithe</w:t>
      </w:r>
      <w:r w:rsidR="00422A58">
        <w:t>r</w:t>
      </w:r>
      <w:proofErr w:type="spellEnd"/>
      <w:r w:rsidR="00422A58">
        <w:t xml:space="preserve"> TMBC;</w:t>
      </w:r>
      <w:r w:rsidR="004564C0">
        <w:t xml:space="preserve">  Jane Lang</w:t>
      </w:r>
      <w:r w:rsidR="00422A58">
        <w:t xml:space="preserve"> TWBC;</w:t>
      </w:r>
      <w:r w:rsidR="004564C0">
        <w:t xml:space="preserve"> Jane Griffiths</w:t>
      </w:r>
      <w:r w:rsidR="00F454FF">
        <w:t xml:space="preserve"> </w:t>
      </w:r>
      <w:proofErr w:type="spellStart"/>
      <w:r w:rsidR="00F454FF">
        <w:t>bpha</w:t>
      </w:r>
      <w:proofErr w:type="spellEnd"/>
      <w:r w:rsidR="00F454FF">
        <w:t>.</w:t>
      </w:r>
    </w:p>
    <w:tbl>
      <w:tblPr>
        <w:tblStyle w:val="TableGrid"/>
        <w:tblW w:w="14095" w:type="dxa"/>
        <w:tblInd w:w="-743" w:type="dxa"/>
        <w:tblLook w:val="04A0" w:firstRow="1" w:lastRow="0" w:firstColumn="1" w:lastColumn="0" w:noHBand="0" w:noVBand="1"/>
      </w:tblPr>
      <w:tblGrid>
        <w:gridCol w:w="2109"/>
        <w:gridCol w:w="7784"/>
        <w:gridCol w:w="1161"/>
        <w:gridCol w:w="1144"/>
        <w:gridCol w:w="1897"/>
      </w:tblGrid>
      <w:tr w:rsidR="00432F07" w:rsidRPr="00745BAC" w:rsidTr="00D26C34">
        <w:tc>
          <w:tcPr>
            <w:tcW w:w="2111" w:type="dxa"/>
            <w:shd w:val="clear" w:color="auto" w:fill="DBE5F1" w:themeFill="accent1" w:themeFillTint="33"/>
          </w:tcPr>
          <w:p w:rsidR="00432F07" w:rsidRPr="00745BAC" w:rsidRDefault="00432F07" w:rsidP="002B184E">
            <w:pPr>
              <w:jc w:val="center"/>
              <w:rPr>
                <w:b/>
              </w:rPr>
            </w:pPr>
            <w:r w:rsidRPr="00745BAC">
              <w:rPr>
                <w:b/>
              </w:rPr>
              <w:t>Reference</w:t>
            </w:r>
          </w:p>
        </w:tc>
        <w:tc>
          <w:tcPr>
            <w:tcW w:w="7807"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134" w:type="dxa"/>
            <w:shd w:val="clear" w:color="auto" w:fill="DBE5F1" w:themeFill="accent1" w:themeFillTint="33"/>
          </w:tcPr>
          <w:p w:rsidR="00432F07" w:rsidRPr="00745BAC" w:rsidRDefault="00432F07" w:rsidP="002B184E">
            <w:pPr>
              <w:jc w:val="center"/>
              <w:rPr>
                <w:b/>
              </w:rPr>
            </w:pPr>
            <w:r w:rsidRPr="00745BAC">
              <w:rPr>
                <w:b/>
              </w:rPr>
              <w:t>Timescale</w:t>
            </w:r>
          </w:p>
        </w:tc>
        <w:tc>
          <w:tcPr>
            <w:tcW w:w="1145" w:type="dxa"/>
            <w:shd w:val="clear" w:color="auto" w:fill="DBE5F1" w:themeFill="accent1" w:themeFillTint="33"/>
          </w:tcPr>
          <w:p w:rsidR="00432F07" w:rsidRPr="00745BAC" w:rsidRDefault="00432F07" w:rsidP="002B184E">
            <w:pPr>
              <w:jc w:val="center"/>
              <w:rPr>
                <w:b/>
              </w:rPr>
            </w:pPr>
            <w:r w:rsidRPr="00745BAC">
              <w:rPr>
                <w:b/>
              </w:rPr>
              <w:t>Lead person</w:t>
            </w:r>
          </w:p>
        </w:tc>
        <w:tc>
          <w:tcPr>
            <w:tcW w:w="1898" w:type="dxa"/>
            <w:shd w:val="clear" w:color="auto" w:fill="DBE5F1" w:themeFill="accent1" w:themeFillTint="33"/>
          </w:tcPr>
          <w:p w:rsidR="00432F07" w:rsidRPr="00745BAC" w:rsidRDefault="00164913" w:rsidP="002B184E">
            <w:pPr>
              <w:jc w:val="center"/>
              <w:rPr>
                <w:b/>
              </w:rPr>
            </w:pPr>
            <w:r w:rsidRPr="00745BAC">
              <w:rPr>
                <w:b/>
              </w:rPr>
              <w:t>Action/Decision</w:t>
            </w:r>
          </w:p>
        </w:tc>
      </w:tr>
      <w:tr w:rsidR="00432F07" w:rsidRPr="00745BAC" w:rsidTr="00D26C34">
        <w:tc>
          <w:tcPr>
            <w:tcW w:w="2111" w:type="dxa"/>
          </w:tcPr>
          <w:p w:rsidR="00432F07" w:rsidRPr="00DD4308" w:rsidRDefault="00C01161" w:rsidP="00D26C34">
            <w:pPr>
              <w:rPr>
                <w:b/>
              </w:rPr>
            </w:pPr>
            <w:r>
              <w:rPr>
                <w:b/>
              </w:rPr>
              <w:t xml:space="preserve">Action log from Meeting </w:t>
            </w:r>
            <w:r w:rsidR="00D26C34">
              <w:rPr>
                <w:b/>
              </w:rPr>
              <w:t>14 September 2017</w:t>
            </w:r>
            <w:r>
              <w:rPr>
                <w:b/>
              </w:rPr>
              <w:t xml:space="preserve"> </w:t>
            </w:r>
          </w:p>
        </w:tc>
        <w:tc>
          <w:tcPr>
            <w:tcW w:w="7807" w:type="dxa"/>
            <w:shd w:val="clear" w:color="auto" w:fill="auto"/>
          </w:tcPr>
          <w:p w:rsidR="006E2643" w:rsidRDefault="00D36270" w:rsidP="006202F2">
            <w:r>
              <w:t>Cost of TA now concluded</w:t>
            </w:r>
          </w:p>
          <w:p w:rsidR="00D36270" w:rsidRDefault="00D36270" w:rsidP="00D36270">
            <w:r>
              <w:t>NMG</w:t>
            </w:r>
            <w:r w:rsidR="004564C0">
              <w:t xml:space="preserve"> </w:t>
            </w:r>
            <w:r>
              <w:t>stated that most landlords charge 1-2 weeks  RIA regardless of UC</w:t>
            </w:r>
            <w:r w:rsidR="000676B4">
              <w:t>.</w:t>
            </w:r>
          </w:p>
          <w:p w:rsidR="00D85945" w:rsidRDefault="000676B4" w:rsidP="000B732E">
            <w:r>
              <w:t xml:space="preserve">With regard to YP Joint protocol, </w:t>
            </w:r>
            <w:r w:rsidR="00D85945">
              <w:t>we</w:t>
            </w:r>
            <w:r>
              <w:t xml:space="preserve"> will probably go</w:t>
            </w:r>
            <w:r w:rsidR="001300A7">
              <w:t xml:space="preserve"> straight to training rather than a launch now, given time constraints. </w:t>
            </w:r>
          </w:p>
          <w:p w:rsidR="00532876" w:rsidRPr="00745BAC" w:rsidRDefault="000676B4" w:rsidP="000B732E">
            <w:r>
              <w:t xml:space="preserve"> </w:t>
            </w:r>
            <w:r w:rsidR="00532876">
              <w:t>All salaries for HO now sent to SC except for Medway and Shepway.</w:t>
            </w:r>
          </w:p>
        </w:tc>
        <w:tc>
          <w:tcPr>
            <w:tcW w:w="1134" w:type="dxa"/>
            <w:shd w:val="clear" w:color="auto" w:fill="auto"/>
          </w:tcPr>
          <w:p w:rsidR="00614883" w:rsidRPr="00745BAC" w:rsidRDefault="00614883" w:rsidP="00454E00"/>
        </w:tc>
        <w:tc>
          <w:tcPr>
            <w:tcW w:w="1145" w:type="dxa"/>
            <w:shd w:val="clear" w:color="auto" w:fill="auto"/>
          </w:tcPr>
          <w:p w:rsidR="00614883" w:rsidRPr="00614883" w:rsidRDefault="00614883" w:rsidP="00454E00">
            <w:pPr>
              <w:rPr>
                <w:b/>
              </w:rPr>
            </w:pPr>
          </w:p>
        </w:tc>
        <w:tc>
          <w:tcPr>
            <w:tcW w:w="1898" w:type="dxa"/>
            <w:shd w:val="clear" w:color="auto" w:fill="auto"/>
          </w:tcPr>
          <w:p w:rsidR="00614883" w:rsidRPr="00745BAC" w:rsidRDefault="00D85945" w:rsidP="00D85945">
            <w:r>
              <w:t>Info re HO salaries  to be circulated to LHA members</w:t>
            </w:r>
          </w:p>
        </w:tc>
      </w:tr>
      <w:tr w:rsidR="00C01161" w:rsidRPr="00745BAC" w:rsidTr="00D26C34">
        <w:tc>
          <w:tcPr>
            <w:tcW w:w="2111" w:type="dxa"/>
          </w:tcPr>
          <w:p w:rsidR="00C01161" w:rsidRPr="00DD4308" w:rsidRDefault="00D26C34" w:rsidP="009E49FB">
            <w:pPr>
              <w:rPr>
                <w:b/>
              </w:rPr>
            </w:pPr>
            <w:r>
              <w:rPr>
                <w:b/>
              </w:rPr>
              <w:t>18 Plus Protocol and Shadowing of 18Plus Team</w:t>
            </w:r>
          </w:p>
        </w:tc>
        <w:tc>
          <w:tcPr>
            <w:tcW w:w="7807" w:type="dxa"/>
            <w:shd w:val="clear" w:color="auto" w:fill="auto"/>
          </w:tcPr>
          <w:p w:rsidR="00BB652C" w:rsidRDefault="000676B4" w:rsidP="001B142B">
            <w:r>
              <w:t>Protocol now amended and will be sent out to partners asap.</w:t>
            </w:r>
          </w:p>
          <w:p w:rsidR="0074200A" w:rsidRDefault="0074200A" w:rsidP="001B142B"/>
          <w:p w:rsidR="0074200A" w:rsidRDefault="0074200A" w:rsidP="001B142B">
            <w:r>
              <w:t>LHAs willing for shadowing with colleagues from 18 plus team. Contact details to be sent to AM.</w:t>
            </w:r>
          </w:p>
          <w:p w:rsidR="00AF569A" w:rsidRPr="00745BAC" w:rsidRDefault="00AF569A" w:rsidP="00D85945">
            <w:r>
              <w:t>MB concerned that</w:t>
            </w:r>
            <w:r w:rsidR="00D85945">
              <w:t>,</w:t>
            </w:r>
            <w:r>
              <w:t xml:space="preserve"> with the review of commissioned services in KCC re supported accommodation</w:t>
            </w:r>
            <w:r w:rsidR="00D85945">
              <w:t>,</w:t>
            </w:r>
            <w:r>
              <w:t xml:space="preserve"> placements for 18-24 year olds, who are not care leavers </w:t>
            </w:r>
            <w:r w:rsidR="00D85945">
              <w:t>,</w:t>
            </w:r>
            <w:r>
              <w:t xml:space="preserve"> may be in adult accommodation with people with chaotic lifestyles.</w:t>
            </w:r>
          </w:p>
        </w:tc>
        <w:tc>
          <w:tcPr>
            <w:tcW w:w="1134" w:type="dxa"/>
            <w:shd w:val="clear" w:color="auto" w:fill="auto"/>
          </w:tcPr>
          <w:p w:rsidR="00BA3231" w:rsidRPr="00745BAC" w:rsidRDefault="0074200A" w:rsidP="008669A9">
            <w:r>
              <w:t xml:space="preserve">20 November </w:t>
            </w:r>
          </w:p>
        </w:tc>
        <w:tc>
          <w:tcPr>
            <w:tcW w:w="1145" w:type="dxa"/>
            <w:shd w:val="clear" w:color="auto" w:fill="auto"/>
          </w:tcPr>
          <w:p w:rsidR="00BA3231" w:rsidRDefault="000676B4" w:rsidP="008669A9">
            <w:pPr>
              <w:jc w:val="both"/>
              <w:rPr>
                <w:b/>
              </w:rPr>
            </w:pPr>
            <w:r>
              <w:rPr>
                <w:b/>
              </w:rPr>
              <w:t>LC</w:t>
            </w:r>
          </w:p>
          <w:p w:rsidR="0074200A" w:rsidRDefault="0074200A" w:rsidP="008669A9">
            <w:pPr>
              <w:jc w:val="both"/>
              <w:rPr>
                <w:b/>
              </w:rPr>
            </w:pPr>
          </w:p>
          <w:p w:rsidR="0074200A" w:rsidRDefault="0074200A" w:rsidP="008669A9">
            <w:pPr>
              <w:jc w:val="both"/>
              <w:rPr>
                <w:b/>
              </w:rPr>
            </w:pPr>
          </w:p>
          <w:p w:rsidR="0074200A" w:rsidRPr="00BA3231" w:rsidRDefault="0074200A" w:rsidP="008669A9">
            <w:pPr>
              <w:jc w:val="both"/>
              <w:rPr>
                <w:b/>
              </w:rPr>
            </w:pPr>
            <w:r>
              <w:rPr>
                <w:b/>
              </w:rPr>
              <w:t>MG</w:t>
            </w:r>
          </w:p>
        </w:tc>
        <w:tc>
          <w:tcPr>
            <w:tcW w:w="1898" w:type="dxa"/>
            <w:shd w:val="clear" w:color="auto" w:fill="auto"/>
          </w:tcPr>
          <w:p w:rsidR="00BA3231" w:rsidRPr="00745BAC" w:rsidRDefault="000676B4" w:rsidP="000676B4">
            <w:r>
              <w:t xml:space="preserve">Protocol now agreed.  </w:t>
            </w:r>
          </w:p>
        </w:tc>
      </w:tr>
      <w:tr w:rsidR="005B7F31" w:rsidRPr="00745BAC" w:rsidTr="00D26C34">
        <w:tc>
          <w:tcPr>
            <w:tcW w:w="2111" w:type="dxa"/>
          </w:tcPr>
          <w:p w:rsidR="005B7F31" w:rsidRPr="00DD4308" w:rsidRDefault="00D26C34" w:rsidP="009E49FB">
            <w:pPr>
              <w:rPr>
                <w:b/>
              </w:rPr>
            </w:pPr>
            <w:r>
              <w:rPr>
                <w:b/>
              </w:rPr>
              <w:t>Homeless Reduction Act</w:t>
            </w:r>
          </w:p>
        </w:tc>
        <w:tc>
          <w:tcPr>
            <w:tcW w:w="7807" w:type="dxa"/>
            <w:shd w:val="clear" w:color="auto" w:fill="auto"/>
          </w:tcPr>
          <w:p w:rsidR="00521852" w:rsidRDefault="00346CD5" w:rsidP="00CF7190">
            <w:r>
              <w:t xml:space="preserve">Homelessness Code of Guidance is now out for consultation. </w:t>
            </w:r>
          </w:p>
          <w:p w:rsidR="009D0E1B" w:rsidRDefault="009D0E1B" w:rsidP="00CF7190"/>
          <w:p w:rsidR="003D3F42" w:rsidRDefault="003D3F42" w:rsidP="00006D10">
            <w:r>
              <w:t xml:space="preserve">LHAs have been notified of new burdens funding – unclear as to when this will be arriving, and </w:t>
            </w:r>
            <w:r w:rsidR="00D85945">
              <w:t>the</w:t>
            </w:r>
            <w:r>
              <w:t xml:space="preserve"> time cycle after this. Additional  £8000 for IT, but this is difficult as there is a tendering process for </w:t>
            </w:r>
            <w:proofErr w:type="spellStart"/>
            <w:r>
              <w:t>Homechoice</w:t>
            </w:r>
            <w:proofErr w:type="spellEnd"/>
            <w:r w:rsidR="00006D10">
              <w:t xml:space="preserve"> at the moment.</w:t>
            </w:r>
          </w:p>
          <w:p w:rsidR="009D0E1B" w:rsidRDefault="009D0E1B" w:rsidP="00006D10"/>
          <w:p w:rsidR="001D1598" w:rsidRDefault="001D1598" w:rsidP="00006D10">
            <w:r>
              <w:lastRenderedPageBreak/>
              <w:t>There will be a wider meeting with the London LHAs re out of area placements, especially around gangs.</w:t>
            </w:r>
          </w:p>
          <w:p w:rsidR="004A58E8" w:rsidRDefault="004A58E8" w:rsidP="00006D10"/>
          <w:p w:rsidR="004A58E8" w:rsidRDefault="004A58E8" w:rsidP="004A58E8">
            <w:r>
              <w:t>Failure to comply – does this take account of ill mental health? It is quite difficult to sign off duty as threshold is ‘deliberate and unreasonable’ refusal to comply.</w:t>
            </w:r>
          </w:p>
          <w:p w:rsidR="00D54F8B" w:rsidRDefault="00D54F8B" w:rsidP="004A58E8"/>
          <w:p w:rsidR="00D54F8B" w:rsidRDefault="00D54F8B" w:rsidP="0074200A">
            <w:r>
              <w:t xml:space="preserve">In terms of support for those customers who won’t have made an application but may look for advice – </w:t>
            </w:r>
            <w:r w:rsidR="00824CED">
              <w:t>may be some</w:t>
            </w:r>
            <w:r>
              <w:t xml:space="preserve"> signposting and advice</w:t>
            </w:r>
            <w:r w:rsidR="00824CED">
              <w:t xml:space="preserve"> needed unless it looks likely that homelessness may be a future risk and so duties will be as under HRA.</w:t>
            </w:r>
          </w:p>
          <w:p w:rsidR="00B1531B" w:rsidRDefault="00B1531B" w:rsidP="0074200A"/>
          <w:p w:rsidR="00B1531B" w:rsidRPr="00745BAC" w:rsidRDefault="00B1531B" w:rsidP="00B1531B">
            <w:r>
              <w:t>GDPR –</w:t>
            </w:r>
            <w:r w:rsidR="00D85945">
              <w:t>be aware of the</w:t>
            </w:r>
            <w:r>
              <w:t xml:space="preserve"> changes in data protection</w:t>
            </w:r>
          </w:p>
        </w:tc>
        <w:tc>
          <w:tcPr>
            <w:tcW w:w="1134" w:type="dxa"/>
            <w:shd w:val="clear" w:color="auto" w:fill="auto"/>
          </w:tcPr>
          <w:p w:rsidR="005B7F31" w:rsidRPr="00745BAC" w:rsidRDefault="00346CD5" w:rsidP="008669A9">
            <w:r>
              <w:lastRenderedPageBreak/>
              <w:t>11 December</w:t>
            </w:r>
          </w:p>
        </w:tc>
        <w:tc>
          <w:tcPr>
            <w:tcW w:w="1145" w:type="dxa"/>
            <w:shd w:val="clear" w:color="auto" w:fill="auto"/>
          </w:tcPr>
          <w:p w:rsidR="005B7F31" w:rsidRPr="00441094" w:rsidRDefault="00346CD5" w:rsidP="008669A9">
            <w:pPr>
              <w:jc w:val="both"/>
              <w:rPr>
                <w:b/>
              </w:rPr>
            </w:pPr>
            <w:r w:rsidRPr="00441094">
              <w:rPr>
                <w:b/>
              </w:rPr>
              <w:t>MG</w:t>
            </w:r>
          </w:p>
        </w:tc>
        <w:tc>
          <w:tcPr>
            <w:tcW w:w="1898" w:type="dxa"/>
            <w:shd w:val="clear" w:color="auto" w:fill="auto"/>
          </w:tcPr>
          <w:p w:rsidR="005B7F31" w:rsidRDefault="00346CD5" w:rsidP="00311C62">
            <w:r>
              <w:t>KHOG joint response to be notified to KHG</w:t>
            </w:r>
          </w:p>
          <w:p w:rsidR="00B1531B" w:rsidRDefault="00B1531B" w:rsidP="00311C62"/>
          <w:p w:rsidR="00B1531B" w:rsidRDefault="00B1531B" w:rsidP="00311C62"/>
          <w:p w:rsidR="00B1531B" w:rsidRDefault="00B1531B" w:rsidP="00311C62"/>
          <w:p w:rsidR="00B1531B" w:rsidRDefault="00B1531B" w:rsidP="00311C62"/>
          <w:p w:rsidR="00B1531B" w:rsidRDefault="00B1531B" w:rsidP="00311C62"/>
          <w:p w:rsidR="00B1531B" w:rsidRDefault="00B1531B" w:rsidP="00311C62"/>
          <w:p w:rsidR="00B1531B" w:rsidRDefault="00B1531B" w:rsidP="00311C62"/>
          <w:p w:rsidR="00B1531B" w:rsidRDefault="00B1531B" w:rsidP="00311C62"/>
          <w:p w:rsidR="00B1531B" w:rsidRDefault="00B1531B" w:rsidP="00311C62"/>
          <w:p w:rsidR="00B1531B" w:rsidRPr="00745BAC" w:rsidRDefault="00B1531B" w:rsidP="00311C62">
            <w:r w:rsidRPr="00B1531B">
              <w:t>to be monitored by KHOG</w:t>
            </w:r>
          </w:p>
        </w:tc>
      </w:tr>
      <w:tr w:rsidR="005B7F31" w:rsidRPr="00745BAC" w:rsidTr="00D26C34">
        <w:tc>
          <w:tcPr>
            <w:tcW w:w="2111" w:type="dxa"/>
          </w:tcPr>
          <w:p w:rsidR="005B7F31" w:rsidRDefault="00D26C34" w:rsidP="009E49FB">
            <w:pPr>
              <w:rPr>
                <w:b/>
              </w:rPr>
            </w:pPr>
            <w:r>
              <w:rPr>
                <w:b/>
              </w:rPr>
              <w:lastRenderedPageBreak/>
              <w:t>MAPPA Housing Panel</w:t>
            </w:r>
          </w:p>
        </w:tc>
        <w:tc>
          <w:tcPr>
            <w:tcW w:w="7807" w:type="dxa"/>
            <w:shd w:val="clear" w:color="auto" w:fill="auto"/>
          </w:tcPr>
          <w:p w:rsidR="00D9188B" w:rsidRPr="00745BAC" w:rsidRDefault="00B1531B" w:rsidP="00D85945">
            <w:r>
              <w:t xml:space="preserve">Still in a pilot phase </w:t>
            </w:r>
            <w:r w:rsidR="00D85945">
              <w:t>-</w:t>
            </w:r>
            <w:r>
              <w:t>there is a specific panel including representation from KHOG, to look at accommodation</w:t>
            </w:r>
            <w:r w:rsidR="00D85945">
              <w:t xml:space="preserve"> for</w:t>
            </w:r>
            <w:r w:rsidR="00D85945" w:rsidRPr="00D85945">
              <w:t xml:space="preserve"> levels 2 and 3 of MAPPAs where housing needs are complex</w:t>
            </w:r>
            <w:r w:rsidR="00D85945">
              <w:t xml:space="preserve"> </w:t>
            </w:r>
            <w:r>
              <w:t xml:space="preserve">.  Over one year, there were 11 cases, with only 1 ending up with social housing.  This panel will prevent these cases coming to LHAs under the HRA as the appropriate providers are </w:t>
            </w:r>
            <w:r w:rsidR="00D85945">
              <w:t>represented there</w:t>
            </w:r>
            <w:r>
              <w:t>.   MG contacts</w:t>
            </w:r>
            <w:r w:rsidR="00D85945">
              <w:t xml:space="preserve"> any </w:t>
            </w:r>
            <w:r>
              <w:t>LHA where there are relevant actions and the LHA may</w:t>
            </w:r>
            <w:r w:rsidR="00D85945">
              <w:t xml:space="preserve"> then</w:t>
            </w:r>
            <w:r>
              <w:t xml:space="preserve"> wish to attend the panel.</w:t>
            </w:r>
            <w:r w:rsidR="00441094">
              <w:t xml:space="preserve"> </w:t>
            </w:r>
            <w:r w:rsidR="00096DCB">
              <w:t xml:space="preserve"> MB said that there is still some bed spaces which should be provided by KCC as part of probation money (probation after care grant) which was put into supporting people some years ago.</w:t>
            </w:r>
          </w:p>
        </w:tc>
        <w:tc>
          <w:tcPr>
            <w:tcW w:w="1134" w:type="dxa"/>
            <w:shd w:val="clear" w:color="auto" w:fill="auto"/>
          </w:tcPr>
          <w:p w:rsidR="00A041DA" w:rsidRPr="00745BAC" w:rsidRDefault="00A041DA" w:rsidP="00454E00"/>
        </w:tc>
        <w:tc>
          <w:tcPr>
            <w:tcW w:w="1145" w:type="dxa"/>
            <w:shd w:val="clear" w:color="auto" w:fill="auto"/>
          </w:tcPr>
          <w:p w:rsidR="00A041DA" w:rsidRPr="00441094" w:rsidRDefault="00441094" w:rsidP="00454E00">
            <w:pPr>
              <w:rPr>
                <w:b/>
              </w:rPr>
            </w:pPr>
            <w:r w:rsidRPr="00441094">
              <w:rPr>
                <w:b/>
              </w:rPr>
              <w:t>MG</w:t>
            </w:r>
          </w:p>
        </w:tc>
        <w:tc>
          <w:tcPr>
            <w:tcW w:w="1898" w:type="dxa"/>
            <w:shd w:val="clear" w:color="auto" w:fill="auto"/>
          </w:tcPr>
          <w:p w:rsidR="00A041DA" w:rsidRPr="00745BAC" w:rsidRDefault="00441094" w:rsidP="00AC2608">
            <w:pPr>
              <w:jc w:val="both"/>
            </w:pPr>
            <w:r>
              <w:t>MG will circulate review</w:t>
            </w:r>
          </w:p>
        </w:tc>
      </w:tr>
      <w:tr w:rsidR="005B7F31" w:rsidRPr="00745BAC" w:rsidTr="00D26C34">
        <w:tc>
          <w:tcPr>
            <w:tcW w:w="2111" w:type="dxa"/>
          </w:tcPr>
          <w:p w:rsidR="005B7F31" w:rsidRDefault="00D26C34" w:rsidP="00B47710">
            <w:pPr>
              <w:rPr>
                <w:b/>
              </w:rPr>
            </w:pPr>
            <w:r>
              <w:rPr>
                <w:b/>
              </w:rPr>
              <w:t>Training for 16/17 Joint Protocol</w:t>
            </w:r>
          </w:p>
        </w:tc>
        <w:tc>
          <w:tcPr>
            <w:tcW w:w="7807" w:type="dxa"/>
            <w:shd w:val="clear" w:color="auto" w:fill="auto"/>
          </w:tcPr>
          <w:p w:rsidR="001B4C9F" w:rsidRPr="00745BAC" w:rsidRDefault="000B732E" w:rsidP="00B1531B">
            <w:r w:rsidRPr="000B732E">
              <w:t xml:space="preserve">KHOG </w:t>
            </w:r>
            <w:r>
              <w:t>agreed to</w:t>
            </w:r>
            <w:r w:rsidRPr="000B732E">
              <w:t xml:space="preserve"> have one consistent presentation to deliver at each training session.</w:t>
            </w:r>
          </w:p>
        </w:tc>
        <w:tc>
          <w:tcPr>
            <w:tcW w:w="1134" w:type="dxa"/>
            <w:shd w:val="clear" w:color="auto" w:fill="auto"/>
          </w:tcPr>
          <w:p w:rsidR="00A041DA" w:rsidRPr="00745BAC" w:rsidRDefault="00062431" w:rsidP="00454E00">
            <w:r>
              <w:t>TBC</w:t>
            </w:r>
          </w:p>
        </w:tc>
        <w:tc>
          <w:tcPr>
            <w:tcW w:w="1145" w:type="dxa"/>
            <w:shd w:val="clear" w:color="auto" w:fill="auto"/>
          </w:tcPr>
          <w:p w:rsidR="00884433" w:rsidRPr="00062431" w:rsidRDefault="00062431" w:rsidP="00062431">
            <w:pPr>
              <w:rPr>
                <w:b/>
              </w:rPr>
            </w:pPr>
            <w:r w:rsidRPr="00062431">
              <w:rPr>
                <w:b/>
              </w:rPr>
              <w:t>MG</w:t>
            </w:r>
          </w:p>
        </w:tc>
        <w:tc>
          <w:tcPr>
            <w:tcW w:w="1898" w:type="dxa"/>
            <w:shd w:val="clear" w:color="auto" w:fill="auto"/>
          </w:tcPr>
          <w:p w:rsidR="00A041DA" w:rsidRPr="00745BAC" w:rsidRDefault="00A041DA" w:rsidP="00D103B4"/>
        </w:tc>
      </w:tr>
      <w:tr w:rsidR="005B7F31" w:rsidRPr="00745BAC" w:rsidTr="00D26C34">
        <w:tc>
          <w:tcPr>
            <w:tcW w:w="2111" w:type="dxa"/>
          </w:tcPr>
          <w:p w:rsidR="005B7F31" w:rsidRPr="00DD4308" w:rsidRDefault="00D26C34" w:rsidP="00B47710">
            <w:pPr>
              <w:rPr>
                <w:b/>
              </w:rPr>
            </w:pPr>
            <w:r>
              <w:rPr>
                <w:b/>
              </w:rPr>
              <w:t>Other Protocols</w:t>
            </w:r>
          </w:p>
        </w:tc>
        <w:tc>
          <w:tcPr>
            <w:tcW w:w="7807" w:type="dxa"/>
            <w:shd w:val="clear" w:color="auto" w:fill="auto"/>
          </w:tcPr>
          <w:p w:rsidR="00B3068A" w:rsidRPr="00745BAC" w:rsidRDefault="00062431" w:rsidP="00663CCF">
            <w:r>
              <w:t>Offender protocol to be refreshed</w:t>
            </w:r>
          </w:p>
        </w:tc>
        <w:tc>
          <w:tcPr>
            <w:tcW w:w="1134" w:type="dxa"/>
            <w:shd w:val="clear" w:color="auto" w:fill="auto"/>
          </w:tcPr>
          <w:p w:rsidR="00AA6047" w:rsidRPr="00745BAC" w:rsidRDefault="001D4B86" w:rsidP="00454E00">
            <w:r>
              <w:t>TBC</w:t>
            </w:r>
          </w:p>
        </w:tc>
        <w:tc>
          <w:tcPr>
            <w:tcW w:w="1145" w:type="dxa"/>
            <w:shd w:val="clear" w:color="auto" w:fill="auto"/>
          </w:tcPr>
          <w:p w:rsidR="00AA6047" w:rsidRPr="00745BAC" w:rsidRDefault="00AA6047" w:rsidP="00454E00"/>
        </w:tc>
        <w:tc>
          <w:tcPr>
            <w:tcW w:w="1898" w:type="dxa"/>
            <w:shd w:val="clear" w:color="auto" w:fill="auto"/>
          </w:tcPr>
          <w:p w:rsidR="00AA6047" w:rsidRPr="00745BAC" w:rsidRDefault="00AA6047" w:rsidP="00AA6047"/>
        </w:tc>
      </w:tr>
      <w:tr w:rsidR="005B7F31" w:rsidRPr="00745BAC" w:rsidTr="00D26C34">
        <w:tc>
          <w:tcPr>
            <w:tcW w:w="2111" w:type="dxa"/>
          </w:tcPr>
          <w:p w:rsidR="004F549D" w:rsidRDefault="00D26C34" w:rsidP="004F549D">
            <w:pPr>
              <w:rPr>
                <w:b/>
              </w:rPr>
            </w:pPr>
            <w:r>
              <w:rPr>
                <w:b/>
              </w:rPr>
              <w:t xml:space="preserve">Training </w:t>
            </w:r>
            <w:r w:rsidR="00604DDE">
              <w:rPr>
                <w:b/>
              </w:rPr>
              <w:t>Opportunities</w:t>
            </w:r>
          </w:p>
          <w:p w:rsidR="004F549D" w:rsidRDefault="004F549D" w:rsidP="004F549D">
            <w:pPr>
              <w:rPr>
                <w:b/>
              </w:rPr>
            </w:pPr>
          </w:p>
          <w:p w:rsidR="004F549D" w:rsidRDefault="004F549D" w:rsidP="004F549D">
            <w:pPr>
              <w:rPr>
                <w:b/>
              </w:rPr>
            </w:pPr>
          </w:p>
          <w:p w:rsidR="004F549D" w:rsidRDefault="004F549D" w:rsidP="004F549D">
            <w:pPr>
              <w:rPr>
                <w:b/>
              </w:rPr>
            </w:pPr>
          </w:p>
          <w:p w:rsidR="005B7F31" w:rsidRPr="00DD4308" w:rsidRDefault="00D26C34" w:rsidP="004F549D">
            <w:pPr>
              <w:rPr>
                <w:b/>
              </w:rPr>
            </w:pPr>
            <w:r>
              <w:rPr>
                <w:b/>
              </w:rPr>
              <w:t xml:space="preserve"> </w:t>
            </w:r>
            <w:r w:rsidR="004F549D">
              <w:rPr>
                <w:b/>
              </w:rPr>
              <w:t>Case Law</w:t>
            </w:r>
          </w:p>
        </w:tc>
        <w:tc>
          <w:tcPr>
            <w:tcW w:w="7807" w:type="dxa"/>
            <w:shd w:val="clear" w:color="auto" w:fill="auto"/>
          </w:tcPr>
          <w:p w:rsidR="005B7F31" w:rsidRDefault="00E23302" w:rsidP="00115F2B">
            <w:r>
              <w:t>Andy Gale visiting next week</w:t>
            </w:r>
          </w:p>
          <w:p w:rsidR="00E23302" w:rsidRDefault="00E23302" w:rsidP="00E23302">
            <w:r>
              <w:t xml:space="preserve">HAST training at Sevenoaks </w:t>
            </w:r>
            <w:r w:rsidR="001D4B86">
              <w:t xml:space="preserve"> - queries re parking*</w:t>
            </w:r>
          </w:p>
          <w:p w:rsidR="00E23302" w:rsidRDefault="00E23302" w:rsidP="00E23302">
            <w:r>
              <w:t>ET asked if anyone is running new starter courses</w:t>
            </w:r>
            <w:r w:rsidR="004F549D">
              <w:t xml:space="preserve"> -NHAS is running a course on the HRA</w:t>
            </w:r>
          </w:p>
          <w:p w:rsidR="004F549D" w:rsidRDefault="004F549D" w:rsidP="00E23302">
            <w:r>
              <w:t>CIH conference on 30 Nov</w:t>
            </w:r>
          </w:p>
          <w:p w:rsidR="00E23302" w:rsidRPr="00745BAC" w:rsidRDefault="004F549D" w:rsidP="001D4B86">
            <w:r>
              <w:t>T</w:t>
            </w:r>
            <w:r w:rsidR="001D4B86">
              <w:t>wo</w:t>
            </w:r>
            <w:r>
              <w:t xml:space="preserve"> rulings – </w:t>
            </w:r>
            <w:r w:rsidR="001D4B86">
              <w:t xml:space="preserve">one re </w:t>
            </w:r>
            <w:r>
              <w:t>settled accommodation and</w:t>
            </w:r>
            <w:r w:rsidR="001D4B86">
              <w:t xml:space="preserve"> one re</w:t>
            </w:r>
            <w:r>
              <w:t xml:space="preserve"> the word  ‘significantly’ </w:t>
            </w:r>
            <w:r w:rsidR="001D4B86">
              <w:t>(</w:t>
            </w:r>
            <w:r>
              <w:t>more vulnerable</w:t>
            </w:r>
            <w:r w:rsidR="001D4B86">
              <w:t>)</w:t>
            </w:r>
            <w:r>
              <w:t xml:space="preserve">. Case law can be found on sites at Nearly Legal and Lime Legal.  New case law </w:t>
            </w:r>
            <w:r w:rsidR="001D4B86">
              <w:t>re</w:t>
            </w:r>
            <w:r>
              <w:t xml:space="preserve"> out of area placements.</w:t>
            </w:r>
          </w:p>
        </w:tc>
        <w:tc>
          <w:tcPr>
            <w:tcW w:w="1134" w:type="dxa"/>
            <w:shd w:val="clear" w:color="auto" w:fill="auto"/>
          </w:tcPr>
          <w:p w:rsidR="005B7F31" w:rsidRPr="00745BAC" w:rsidRDefault="005B7F31" w:rsidP="00454E00"/>
        </w:tc>
        <w:tc>
          <w:tcPr>
            <w:tcW w:w="1145" w:type="dxa"/>
            <w:shd w:val="clear" w:color="auto" w:fill="auto"/>
          </w:tcPr>
          <w:p w:rsidR="005B7F31" w:rsidRPr="00745BAC" w:rsidRDefault="005B7F31" w:rsidP="00454E00"/>
        </w:tc>
        <w:tc>
          <w:tcPr>
            <w:tcW w:w="1898" w:type="dxa"/>
            <w:shd w:val="clear" w:color="auto" w:fill="auto"/>
          </w:tcPr>
          <w:p w:rsidR="005B7F31" w:rsidRPr="00745BAC" w:rsidRDefault="001D4B86" w:rsidP="007F6D5D">
            <w:r>
              <w:t>*</w:t>
            </w:r>
            <w:r w:rsidR="00E23302">
              <w:t>DW to send a map out for parking in Sevenoaks</w:t>
            </w:r>
            <w:r>
              <w:t xml:space="preserve"> - </w:t>
            </w:r>
            <w:r w:rsidRPr="001D4B86">
              <w:rPr>
                <w:i/>
              </w:rPr>
              <w:t>done</w:t>
            </w:r>
          </w:p>
        </w:tc>
      </w:tr>
      <w:tr w:rsidR="005B7F31" w:rsidRPr="00745BAC" w:rsidTr="00D26C34">
        <w:tc>
          <w:tcPr>
            <w:tcW w:w="2111" w:type="dxa"/>
            <w:tcBorders>
              <w:bottom w:val="single" w:sz="4" w:space="0" w:color="auto"/>
            </w:tcBorders>
          </w:tcPr>
          <w:p w:rsidR="005B7F31" w:rsidRPr="00DD4308" w:rsidRDefault="00D26C34" w:rsidP="009E49FB">
            <w:pPr>
              <w:rPr>
                <w:b/>
              </w:rPr>
            </w:pPr>
            <w:r>
              <w:rPr>
                <w:b/>
              </w:rPr>
              <w:t>AOB</w:t>
            </w:r>
          </w:p>
        </w:tc>
        <w:tc>
          <w:tcPr>
            <w:tcW w:w="7807" w:type="dxa"/>
            <w:tcBorders>
              <w:bottom w:val="single" w:sz="4" w:space="0" w:color="auto"/>
            </w:tcBorders>
            <w:shd w:val="clear" w:color="auto" w:fill="auto"/>
          </w:tcPr>
          <w:p w:rsidR="00AF569A" w:rsidRPr="00745BAC" w:rsidRDefault="00BE4B68" w:rsidP="007961DB">
            <w:r>
              <w:t xml:space="preserve">MB- Porchlight has allocated some funding </w:t>
            </w:r>
            <w:r w:rsidR="001D4B86">
              <w:t>for their own</w:t>
            </w:r>
            <w:r>
              <w:t xml:space="preserve"> research on female rough sleepers as </w:t>
            </w:r>
            <w:r w:rsidR="001D4B86">
              <w:t xml:space="preserve">other </w:t>
            </w:r>
            <w:r>
              <w:t xml:space="preserve">research has indicated that the percentage in Kent is high, so need </w:t>
            </w:r>
            <w:r>
              <w:lastRenderedPageBreak/>
              <w:t xml:space="preserve">to </w:t>
            </w:r>
            <w:r w:rsidR="004F0D75">
              <w:t>find out if this is accurate.</w:t>
            </w:r>
            <w:r w:rsidR="007961DB">
              <w:t xml:space="preserve">  Anticipating a large rise in rough sleeping generally.</w:t>
            </w:r>
          </w:p>
        </w:tc>
        <w:tc>
          <w:tcPr>
            <w:tcW w:w="1134" w:type="dxa"/>
            <w:tcBorders>
              <w:bottom w:val="single" w:sz="4" w:space="0" w:color="auto"/>
            </w:tcBorders>
            <w:shd w:val="clear" w:color="auto" w:fill="auto"/>
          </w:tcPr>
          <w:p w:rsidR="005B7F31" w:rsidRPr="00745BAC" w:rsidRDefault="005B7F31" w:rsidP="00454E00"/>
        </w:tc>
        <w:tc>
          <w:tcPr>
            <w:tcW w:w="1145" w:type="dxa"/>
            <w:tcBorders>
              <w:bottom w:val="single" w:sz="4" w:space="0" w:color="auto"/>
            </w:tcBorders>
            <w:shd w:val="clear" w:color="auto" w:fill="auto"/>
          </w:tcPr>
          <w:p w:rsidR="005B7F31" w:rsidRPr="00745BAC" w:rsidRDefault="005B7F31" w:rsidP="00A41B69"/>
        </w:tc>
        <w:tc>
          <w:tcPr>
            <w:tcW w:w="1898" w:type="dxa"/>
            <w:tcBorders>
              <w:bottom w:val="single" w:sz="4" w:space="0" w:color="auto"/>
            </w:tcBorders>
            <w:shd w:val="clear" w:color="auto" w:fill="auto"/>
          </w:tcPr>
          <w:p w:rsidR="005B7F31" w:rsidRPr="00745BAC" w:rsidRDefault="005B7F31" w:rsidP="0061520B"/>
        </w:tc>
      </w:tr>
      <w:tr w:rsidR="00D26C34" w:rsidRPr="00745BAC" w:rsidTr="00D26C34">
        <w:tc>
          <w:tcPr>
            <w:tcW w:w="14095" w:type="dxa"/>
            <w:gridSpan w:val="5"/>
            <w:shd w:val="clear" w:color="auto" w:fill="00B0F0"/>
          </w:tcPr>
          <w:p w:rsidR="00D26C34" w:rsidRPr="00D26C34" w:rsidRDefault="00D26C34" w:rsidP="00D26C34">
            <w:pPr>
              <w:jc w:val="center"/>
              <w:rPr>
                <w:b/>
              </w:rPr>
            </w:pPr>
            <w:r w:rsidRPr="00D26C34">
              <w:rPr>
                <w:b/>
              </w:rPr>
              <w:lastRenderedPageBreak/>
              <w:t>Full Meeting Ends</w:t>
            </w:r>
            <w:r>
              <w:rPr>
                <w:b/>
              </w:rPr>
              <w:t>/Local Housing Authorities Meeting Commences</w:t>
            </w:r>
          </w:p>
        </w:tc>
      </w:tr>
      <w:tr w:rsidR="005B7F31" w:rsidRPr="00745BAC" w:rsidTr="00D26C34">
        <w:tc>
          <w:tcPr>
            <w:tcW w:w="2111" w:type="dxa"/>
          </w:tcPr>
          <w:p w:rsidR="005B7F31" w:rsidRPr="00DD4308" w:rsidRDefault="00D26C34" w:rsidP="009E49FB">
            <w:pPr>
              <w:rPr>
                <w:b/>
              </w:rPr>
            </w:pPr>
            <w:r>
              <w:rPr>
                <w:b/>
              </w:rPr>
              <w:t>Emergency Accommodation Protocol</w:t>
            </w:r>
          </w:p>
        </w:tc>
        <w:tc>
          <w:tcPr>
            <w:tcW w:w="7807" w:type="dxa"/>
            <w:shd w:val="clear" w:color="auto" w:fill="auto"/>
          </w:tcPr>
          <w:p w:rsidR="00DC5278" w:rsidRPr="001C48C5" w:rsidRDefault="00C95BD2" w:rsidP="00C95BD2">
            <w:r>
              <w:t>Already re-designed by SC and MG  and has now been finally amended by KHOG.</w:t>
            </w:r>
          </w:p>
        </w:tc>
        <w:tc>
          <w:tcPr>
            <w:tcW w:w="1134" w:type="dxa"/>
            <w:shd w:val="clear" w:color="auto" w:fill="auto"/>
          </w:tcPr>
          <w:p w:rsidR="00E07EF4" w:rsidRPr="00745BAC" w:rsidRDefault="006D38B0" w:rsidP="00454E00">
            <w:r>
              <w:t>November 2017</w:t>
            </w:r>
          </w:p>
        </w:tc>
        <w:tc>
          <w:tcPr>
            <w:tcW w:w="1145" w:type="dxa"/>
            <w:shd w:val="clear" w:color="auto" w:fill="auto"/>
          </w:tcPr>
          <w:p w:rsidR="00E07EF4" w:rsidRPr="00D96F1E" w:rsidRDefault="006D38B0" w:rsidP="00454E00">
            <w:pPr>
              <w:rPr>
                <w:b/>
              </w:rPr>
            </w:pPr>
            <w:r>
              <w:rPr>
                <w:b/>
              </w:rPr>
              <w:t>LC</w:t>
            </w:r>
          </w:p>
        </w:tc>
        <w:tc>
          <w:tcPr>
            <w:tcW w:w="1898" w:type="dxa"/>
            <w:shd w:val="clear" w:color="auto" w:fill="auto"/>
          </w:tcPr>
          <w:p w:rsidR="00D96F1E" w:rsidRPr="00745BAC" w:rsidRDefault="006D38B0" w:rsidP="006D38B0">
            <w:r>
              <w:t>Protocol to be finished and circulated and put on  KHG/JPPB website</w:t>
            </w:r>
          </w:p>
        </w:tc>
      </w:tr>
      <w:tr w:rsidR="00CD466D" w:rsidRPr="00745BAC" w:rsidTr="00D26C34">
        <w:tc>
          <w:tcPr>
            <w:tcW w:w="2111" w:type="dxa"/>
          </w:tcPr>
          <w:p w:rsidR="00CD466D" w:rsidRDefault="00CD466D" w:rsidP="009E49FB">
            <w:pPr>
              <w:rPr>
                <w:b/>
              </w:rPr>
            </w:pPr>
            <w:r>
              <w:rPr>
                <w:b/>
              </w:rPr>
              <w:t>AOB</w:t>
            </w:r>
          </w:p>
        </w:tc>
        <w:tc>
          <w:tcPr>
            <w:tcW w:w="7807" w:type="dxa"/>
            <w:shd w:val="clear" w:color="auto" w:fill="auto"/>
          </w:tcPr>
          <w:p w:rsidR="00CD466D" w:rsidRPr="001C48C5" w:rsidRDefault="00CD466D" w:rsidP="00F637B5">
            <w:r>
              <w:t xml:space="preserve">Potential for those who have been trafficked and are held in a safe house to present at one LHA.  </w:t>
            </w:r>
            <w:r w:rsidR="00F637B5">
              <w:t>SC – may not always be eligible for assistance.</w:t>
            </w:r>
          </w:p>
        </w:tc>
        <w:tc>
          <w:tcPr>
            <w:tcW w:w="1134" w:type="dxa"/>
            <w:shd w:val="clear" w:color="auto" w:fill="auto"/>
          </w:tcPr>
          <w:p w:rsidR="00CD466D" w:rsidRPr="00745BAC" w:rsidRDefault="00CD466D" w:rsidP="00454E00"/>
        </w:tc>
        <w:tc>
          <w:tcPr>
            <w:tcW w:w="1145" w:type="dxa"/>
            <w:shd w:val="clear" w:color="auto" w:fill="auto"/>
          </w:tcPr>
          <w:p w:rsidR="00CD466D" w:rsidRPr="00D96F1E" w:rsidRDefault="00CD466D" w:rsidP="00454E00">
            <w:pPr>
              <w:rPr>
                <w:b/>
              </w:rPr>
            </w:pPr>
          </w:p>
        </w:tc>
        <w:tc>
          <w:tcPr>
            <w:tcW w:w="1898" w:type="dxa"/>
            <w:shd w:val="clear" w:color="auto" w:fill="auto"/>
          </w:tcPr>
          <w:p w:rsidR="00CD466D" w:rsidRPr="00745BAC" w:rsidRDefault="00CD466D" w:rsidP="00B55164"/>
        </w:tc>
      </w:tr>
      <w:tr w:rsidR="005B7F31" w:rsidRPr="00745BAC" w:rsidTr="00D26C34">
        <w:tc>
          <w:tcPr>
            <w:tcW w:w="2111" w:type="dxa"/>
          </w:tcPr>
          <w:p w:rsidR="005B7F31" w:rsidRDefault="005B7F31" w:rsidP="009E49FB">
            <w:pPr>
              <w:rPr>
                <w:b/>
              </w:rPr>
            </w:pPr>
            <w:r>
              <w:rPr>
                <w:b/>
              </w:rPr>
              <w:t>Next Meeting</w:t>
            </w:r>
          </w:p>
        </w:tc>
        <w:tc>
          <w:tcPr>
            <w:tcW w:w="7807" w:type="dxa"/>
            <w:shd w:val="clear" w:color="auto" w:fill="auto"/>
          </w:tcPr>
          <w:p w:rsidR="005B7F31" w:rsidRPr="00C166F9" w:rsidRDefault="005B7F31" w:rsidP="00D26C34">
            <w:r w:rsidRPr="00D26C34">
              <w:rPr>
                <w:b/>
                <w:color w:val="FF0000"/>
              </w:rPr>
              <w:t>Full Meeting</w:t>
            </w:r>
            <w:r>
              <w:t xml:space="preserve">, </w:t>
            </w:r>
            <w:r w:rsidR="00D26C34">
              <w:rPr>
                <w:b/>
              </w:rPr>
              <w:t>15 March 2018</w:t>
            </w:r>
            <w:r>
              <w:t xml:space="preserve"> at 10 am (MBC) </w:t>
            </w:r>
          </w:p>
        </w:tc>
        <w:tc>
          <w:tcPr>
            <w:tcW w:w="1134" w:type="dxa"/>
            <w:shd w:val="clear" w:color="auto" w:fill="auto"/>
          </w:tcPr>
          <w:p w:rsidR="005B7F31" w:rsidRPr="00745BAC" w:rsidRDefault="005B7F31" w:rsidP="00454E00"/>
        </w:tc>
        <w:tc>
          <w:tcPr>
            <w:tcW w:w="1145" w:type="dxa"/>
            <w:shd w:val="clear" w:color="auto" w:fill="auto"/>
          </w:tcPr>
          <w:p w:rsidR="005B7F31" w:rsidRPr="00745BAC" w:rsidRDefault="005B7F31" w:rsidP="00454E00"/>
        </w:tc>
        <w:tc>
          <w:tcPr>
            <w:tcW w:w="1898" w:type="dxa"/>
            <w:shd w:val="clear" w:color="auto" w:fill="auto"/>
          </w:tcPr>
          <w:p w:rsidR="005B7F31" w:rsidRPr="00745BAC" w:rsidRDefault="005B7F31" w:rsidP="00393BA4"/>
        </w:tc>
      </w:tr>
      <w:tr w:rsidR="005B7F31" w:rsidRPr="00745BAC" w:rsidTr="00D26C34">
        <w:tc>
          <w:tcPr>
            <w:tcW w:w="2111" w:type="dxa"/>
          </w:tcPr>
          <w:p w:rsidR="005B7F31" w:rsidRDefault="005B7F31" w:rsidP="009E49FB">
            <w:pPr>
              <w:rPr>
                <w:b/>
              </w:rPr>
            </w:pPr>
            <w:r>
              <w:rPr>
                <w:b/>
              </w:rPr>
              <w:t>2018 Meetings</w:t>
            </w:r>
          </w:p>
        </w:tc>
        <w:tc>
          <w:tcPr>
            <w:tcW w:w="7807" w:type="dxa"/>
            <w:shd w:val="clear" w:color="auto" w:fill="auto"/>
          </w:tcPr>
          <w:p w:rsidR="005B7F31" w:rsidRDefault="005B7F31" w:rsidP="00C01161">
            <w:r>
              <w:t>All to be at MBC and to start at 10 am prompt.</w:t>
            </w:r>
          </w:p>
          <w:p w:rsidR="005B7F31" w:rsidRDefault="005B7F31" w:rsidP="00C01161">
            <w:r w:rsidRPr="004B0BAA">
              <w:rPr>
                <w:b/>
              </w:rPr>
              <w:t>21 June</w:t>
            </w:r>
            <w:r>
              <w:t xml:space="preserve"> (</w:t>
            </w:r>
            <w:r w:rsidRPr="004B0BAA">
              <w:rPr>
                <w:b/>
                <w:color w:val="7030A0"/>
              </w:rPr>
              <w:t>L</w:t>
            </w:r>
            <w:r w:rsidR="00D113AE">
              <w:rPr>
                <w:b/>
                <w:color w:val="7030A0"/>
              </w:rPr>
              <w:t xml:space="preserve">ocal Housing </w:t>
            </w:r>
            <w:r w:rsidRPr="004B0BAA">
              <w:rPr>
                <w:b/>
                <w:color w:val="7030A0"/>
              </w:rPr>
              <w:t>A</w:t>
            </w:r>
            <w:r w:rsidR="00D113AE">
              <w:rPr>
                <w:b/>
                <w:color w:val="7030A0"/>
              </w:rPr>
              <w:t>uthorities</w:t>
            </w:r>
            <w:r w:rsidRPr="004B0BAA">
              <w:rPr>
                <w:b/>
                <w:color w:val="7030A0"/>
              </w:rPr>
              <w:t xml:space="preserve"> only meeting</w:t>
            </w:r>
            <w:r>
              <w:t xml:space="preserve">); </w:t>
            </w:r>
          </w:p>
          <w:p w:rsidR="005B7F31" w:rsidRDefault="005B7F31" w:rsidP="00C01161">
            <w:r w:rsidRPr="004B0BAA">
              <w:rPr>
                <w:b/>
              </w:rPr>
              <w:t>13 September</w:t>
            </w:r>
            <w:r>
              <w:t xml:space="preserve"> (</w:t>
            </w:r>
            <w:r w:rsidR="00D113AE" w:rsidRPr="004B0BAA">
              <w:rPr>
                <w:b/>
                <w:color w:val="7030A0"/>
              </w:rPr>
              <w:t>L</w:t>
            </w:r>
            <w:r w:rsidR="00D113AE">
              <w:rPr>
                <w:b/>
                <w:color w:val="7030A0"/>
              </w:rPr>
              <w:t xml:space="preserve">ocal Housing </w:t>
            </w:r>
            <w:r w:rsidR="00D113AE" w:rsidRPr="004B0BAA">
              <w:rPr>
                <w:b/>
                <w:color w:val="7030A0"/>
              </w:rPr>
              <w:t>A</w:t>
            </w:r>
            <w:r w:rsidR="00D113AE">
              <w:rPr>
                <w:b/>
                <w:color w:val="7030A0"/>
              </w:rPr>
              <w:t>uthorities</w:t>
            </w:r>
            <w:r w:rsidR="00D113AE" w:rsidRPr="004B0BAA">
              <w:rPr>
                <w:b/>
                <w:color w:val="7030A0"/>
              </w:rPr>
              <w:t xml:space="preserve"> only meeting</w:t>
            </w:r>
            <w:r>
              <w:t xml:space="preserve">); </w:t>
            </w:r>
          </w:p>
          <w:p w:rsidR="005B7F31" w:rsidRDefault="005B7F31" w:rsidP="00C01161">
            <w:r w:rsidRPr="004B0BAA">
              <w:rPr>
                <w:b/>
              </w:rPr>
              <w:t>1 November</w:t>
            </w:r>
            <w:r>
              <w:t xml:space="preserve"> (</w:t>
            </w:r>
            <w:r w:rsidRPr="004B0BAA">
              <w:rPr>
                <w:b/>
                <w:color w:val="FF0000"/>
              </w:rPr>
              <w:t>Full Meeting</w:t>
            </w:r>
            <w:r>
              <w:t xml:space="preserve">); </w:t>
            </w:r>
          </w:p>
          <w:p w:rsidR="005B7F31" w:rsidRDefault="005B7F31" w:rsidP="00C01161">
            <w:r w:rsidRPr="004B0BAA">
              <w:rPr>
                <w:b/>
              </w:rPr>
              <w:t>13 December 2018</w:t>
            </w:r>
            <w:r>
              <w:t xml:space="preserve"> (</w:t>
            </w:r>
            <w:r w:rsidR="00D113AE" w:rsidRPr="004B0BAA">
              <w:rPr>
                <w:b/>
                <w:color w:val="7030A0"/>
              </w:rPr>
              <w:t>L</w:t>
            </w:r>
            <w:r w:rsidR="00D113AE">
              <w:rPr>
                <w:b/>
                <w:color w:val="7030A0"/>
              </w:rPr>
              <w:t xml:space="preserve">ocal Housing </w:t>
            </w:r>
            <w:r w:rsidR="00D113AE" w:rsidRPr="004B0BAA">
              <w:rPr>
                <w:b/>
                <w:color w:val="7030A0"/>
              </w:rPr>
              <w:t>A</w:t>
            </w:r>
            <w:r w:rsidR="00D113AE">
              <w:rPr>
                <w:b/>
                <w:color w:val="7030A0"/>
              </w:rPr>
              <w:t>uthorities</w:t>
            </w:r>
            <w:r w:rsidR="00D113AE" w:rsidRPr="004B0BAA">
              <w:rPr>
                <w:b/>
                <w:color w:val="7030A0"/>
              </w:rPr>
              <w:t xml:space="preserve"> only meeting</w:t>
            </w:r>
            <w:r>
              <w:t>)</w:t>
            </w:r>
          </w:p>
          <w:p w:rsidR="005B7F31" w:rsidRDefault="005B7F31" w:rsidP="00C01161"/>
        </w:tc>
        <w:tc>
          <w:tcPr>
            <w:tcW w:w="1134" w:type="dxa"/>
            <w:shd w:val="clear" w:color="auto" w:fill="auto"/>
          </w:tcPr>
          <w:p w:rsidR="005B7F31" w:rsidRPr="00745BAC" w:rsidRDefault="005B7F31" w:rsidP="00454E00"/>
        </w:tc>
        <w:tc>
          <w:tcPr>
            <w:tcW w:w="1145" w:type="dxa"/>
            <w:shd w:val="clear" w:color="auto" w:fill="auto"/>
          </w:tcPr>
          <w:p w:rsidR="005B7F31" w:rsidRPr="00745BAC" w:rsidRDefault="005B7F31" w:rsidP="00454E00"/>
        </w:tc>
        <w:tc>
          <w:tcPr>
            <w:tcW w:w="1898" w:type="dxa"/>
            <w:shd w:val="clear" w:color="auto" w:fill="auto"/>
          </w:tcPr>
          <w:p w:rsidR="005B7F31" w:rsidRPr="00745BAC" w:rsidRDefault="005B7F31" w:rsidP="00393BA4"/>
        </w:tc>
      </w:tr>
    </w:tbl>
    <w:p w:rsidR="00443F82" w:rsidRPr="00DF015F" w:rsidRDefault="00443F82" w:rsidP="00D26C34">
      <w:pPr>
        <w:rPr>
          <w:b/>
        </w:rPr>
      </w:pPr>
    </w:p>
    <w:sectPr w:rsidR="00443F82" w:rsidRPr="00DF015F" w:rsidSect="00CC5D2C">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32" w:rsidRDefault="00962532" w:rsidP="001D0582">
      <w:pPr>
        <w:spacing w:after="0" w:line="240" w:lineRule="auto"/>
      </w:pPr>
      <w:r>
        <w:separator/>
      </w:r>
    </w:p>
  </w:endnote>
  <w:endnote w:type="continuationSeparator" w:id="0">
    <w:p w:rsidR="00962532" w:rsidRDefault="00962532"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A7" w:rsidRDefault="00C53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620"/>
      <w:docPartObj>
        <w:docPartGallery w:val="Page Numbers (Bottom of Page)"/>
        <w:docPartUnique/>
      </w:docPartObj>
    </w:sdtPr>
    <w:sdtEndPr/>
    <w:sdtContent>
      <w:p w:rsidR="009D56FF" w:rsidRDefault="0026730F">
        <w:pPr>
          <w:pStyle w:val="Footer"/>
          <w:jc w:val="center"/>
        </w:pPr>
        <w:r>
          <w:fldChar w:fldCharType="begin"/>
        </w:r>
        <w:r>
          <w:instrText xml:space="preserve"> PAGE   \* MERGEFORMAT </w:instrText>
        </w:r>
        <w:r>
          <w:fldChar w:fldCharType="separate"/>
        </w:r>
        <w:r w:rsidR="003759E6">
          <w:rPr>
            <w:noProof/>
          </w:rPr>
          <w:t>1</w:t>
        </w:r>
        <w:r>
          <w:rPr>
            <w:noProof/>
          </w:rPr>
          <w:fldChar w:fldCharType="end"/>
        </w:r>
      </w:p>
    </w:sdtContent>
  </w:sdt>
  <w:p w:rsidR="009D56FF" w:rsidRDefault="009D56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A7" w:rsidRDefault="00C5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32" w:rsidRDefault="00962532" w:rsidP="001D0582">
      <w:pPr>
        <w:spacing w:after="0" w:line="240" w:lineRule="auto"/>
      </w:pPr>
      <w:r>
        <w:separator/>
      </w:r>
    </w:p>
  </w:footnote>
  <w:footnote w:type="continuationSeparator" w:id="0">
    <w:p w:rsidR="00962532" w:rsidRDefault="00962532"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A7" w:rsidRDefault="00C53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90663"/>
      <w:docPartObj>
        <w:docPartGallery w:val="Watermarks"/>
        <w:docPartUnique/>
      </w:docPartObj>
    </w:sdtPr>
    <w:sdtContent>
      <w:p w:rsidR="00C53BA7" w:rsidRDefault="00C53BA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A7" w:rsidRDefault="00C53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026E2"/>
    <w:rsid w:val="00006D10"/>
    <w:rsid w:val="00020283"/>
    <w:rsid w:val="00031DE3"/>
    <w:rsid w:val="00031DE6"/>
    <w:rsid w:val="00061235"/>
    <w:rsid w:val="00062431"/>
    <w:rsid w:val="000624FA"/>
    <w:rsid w:val="000676B4"/>
    <w:rsid w:val="0008129C"/>
    <w:rsid w:val="000871E7"/>
    <w:rsid w:val="00094D7E"/>
    <w:rsid w:val="00096DCB"/>
    <w:rsid w:val="000A7E2C"/>
    <w:rsid w:val="000B4C89"/>
    <w:rsid w:val="000B732E"/>
    <w:rsid w:val="000E6197"/>
    <w:rsid w:val="000F4EEA"/>
    <w:rsid w:val="00104544"/>
    <w:rsid w:val="00106D8C"/>
    <w:rsid w:val="0011025C"/>
    <w:rsid w:val="00111B2B"/>
    <w:rsid w:val="00112C6A"/>
    <w:rsid w:val="00115F2B"/>
    <w:rsid w:val="001262F3"/>
    <w:rsid w:val="001300A7"/>
    <w:rsid w:val="00130227"/>
    <w:rsid w:val="00130B92"/>
    <w:rsid w:val="001325F9"/>
    <w:rsid w:val="00141109"/>
    <w:rsid w:val="00146945"/>
    <w:rsid w:val="00150D2E"/>
    <w:rsid w:val="00156EA5"/>
    <w:rsid w:val="00164913"/>
    <w:rsid w:val="00182CF3"/>
    <w:rsid w:val="001A1975"/>
    <w:rsid w:val="001B142B"/>
    <w:rsid w:val="001B4C9F"/>
    <w:rsid w:val="001B7F2E"/>
    <w:rsid w:val="001C0F9A"/>
    <w:rsid w:val="001C1D02"/>
    <w:rsid w:val="001C48C5"/>
    <w:rsid w:val="001D0582"/>
    <w:rsid w:val="001D1598"/>
    <w:rsid w:val="001D4B86"/>
    <w:rsid w:val="001D78C0"/>
    <w:rsid w:val="001E7873"/>
    <w:rsid w:val="001F00E7"/>
    <w:rsid w:val="00200B68"/>
    <w:rsid w:val="002147E0"/>
    <w:rsid w:val="00231434"/>
    <w:rsid w:val="0024044A"/>
    <w:rsid w:val="00252D55"/>
    <w:rsid w:val="002615C8"/>
    <w:rsid w:val="00261D00"/>
    <w:rsid w:val="00261DD6"/>
    <w:rsid w:val="0026730F"/>
    <w:rsid w:val="0027373A"/>
    <w:rsid w:val="002742D2"/>
    <w:rsid w:val="00274D16"/>
    <w:rsid w:val="00285E0B"/>
    <w:rsid w:val="00293C7B"/>
    <w:rsid w:val="0029660B"/>
    <w:rsid w:val="002A5157"/>
    <w:rsid w:val="002B04EC"/>
    <w:rsid w:val="002B184E"/>
    <w:rsid w:val="002C4971"/>
    <w:rsid w:val="002D03A5"/>
    <w:rsid w:val="002D7698"/>
    <w:rsid w:val="00311C62"/>
    <w:rsid w:val="00315121"/>
    <w:rsid w:val="00323A19"/>
    <w:rsid w:val="0033294D"/>
    <w:rsid w:val="00343371"/>
    <w:rsid w:val="00346CD5"/>
    <w:rsid w:val="00347FF5"/>
    <w:rsid w:val="003561E6"/>
    <w:rsid w:val="003651B3"/>
    <w:rsid w:val="00372765"/>
    <w:rsid w:val="003759E6"/>
    <w:rsid w:val="003805C2"/>
    <w:rsid w:val="00387E78"/>
    <w:rsid w:val="003900EE"/>
    <w:rsid w:val="00391561"/>
    <w:rsid w:val="00393BA4"/>
    <w:rsid w:val="00395DB1"/>
    <w:rsid w:val="003A12E5"/>
    <w:rsid w:val="003B0473"/>
    <w:rsid w:val="003C2892"/>
    <w:rsid w:val="003C4E1E"/>
    <w:rsid w:val="003C5FDA"/>
    <w:rsid w:val="003D3F42"/>
    <w:rsid w:val="003F0357"/>
    <w:rsid w:val="003F5CB0"/>
    <w:rsid w:val="004000CA"/>
    <w:rsid w:val="0041384B"/>
    <w:rsid w:val="00422A58"/>
    <w:rsid w:val="004241B5"/>
    <w:rsid w:val="0042628B"/>
    <w:rsid w:val="00427AC7"/>
    <w:rsid w:val="00427CA9"/>
    <w:rsid w:val="0043172B"/>
    <w:rsid w:val="00432F07"/>
    <w:rsid w:val="00441094"/>
    <w:rsid w:val="00443F82"/>
    <w:rsid w:val="00453E3F"/>
    <w:rsid w:val="00454E00"/>
    <w:rsid w:val="004558CD"/>
    <w:rsid w:val="004564C0"/>
    <w:rsid w:val="00486834"/>
    <w:rsid w:val="00487A05"/>
    <w:rsid w:val="0049191F"/>
    <w:rsid w:val="00492A6C"/>
    <w:rsid w:val="0049766D"/>
    <w:rsid w:val="004A19A8"/>
    <w:rsid w:val="004A58E8"/>
    <w:rsid w:val="004B0BAA"/>
    <w:rsid w:val="004C57A0"/>
    <w:rsid w:val="004C7313"/>
    <w:rsid w:val="004D1D2D"/>
    <w:rsid w:val="004D577A"/>
    <w:rsid w:val="004F0D75"/>
    <w:rsid w:val="004F549D"/>
    <w:rsid w:val="00521852"/>
    <w:rsid w:val="005233B2"/>
    <w:rsid w:val="00532876"/>
    <w:rsid w:val="00565E65"/>
    <w:rsid w:val="005755F2"/>
    <w:rsid w:val="00576D19"/>
    <w:rsid w:val="005866D1"/>
    <w:rsid w:val="00596291"/>
    <w:rsid w:val="005A39BC"/>
    <w:rsid w:val="005A7FF7"/>
    <w:rsid w:val="005B0792"/>
    <w:rsid w:val="005B7F31"/>
    <w:rsid w:val="005D1AB8"/>
    <w:rsid w:val="005D1DB6"/>
    <w:rsid w:val="005D68EF"/>
    <w:rsid w:val="005F3904"/>
    <w:rsid w:val="005F4F00"/>
    <w:rsid w:val="00604DDE"/>
    <w:rsid w:val="00614883"/>
    <w:rsid w:val="0061520B"/>
    <w:rsid w:val="006202F2"/>
    <w:rsid w:val="00632AE4"/>
    <w:rsid w:val="00633F20"/>
    <w:rsid w:val="00641D7C"/>
    <w:rsid w:val="00644EA6"/>
    <w:rsid w:val="0064548E"/>
    <w:rsid w:val="00647CA0"/>
    <w:rsid w:val="00656864"/>
    <w:rsid w:val="00663CCF"/>
    <w:rsid w:val="00665893"/>
    <w:rsid w:val="006668AE"/>
    <w:rsid w:val="0068214F"/>
    <w:rsid w:val="00692887"/>
    <w:rsid w:val="00695733"/>
    <w:rsid w:val="00696E2D"/>
    <w:rsid w:val="006A0F46"/>
    <w:rsid w:val="006D38B0"/>
    <w:rsid w:val="006D52CE"/>
    <w:rsid w:val="006D6D36"/>
    <w:rsid w:val="006E2643"/>
    <w:rsid w:val="006F33CE"/>
    <w:rsid w:val="007029C8"/>
    <w:rsid w:val="00707E57"/>
    <w:rsid w:val="0071764F"/>
    <w:rsid w:val="00734603"/>
    <w:rsid w:val="00735129"/>
    <w:rsid w:val="00736BBC"/>
    <w:rsid w:val="00737FBB"/>
    <w:rsid w:val="00741614"/>
    <w:rsid w:val="0074200A"/>
    <w:rsid w:val="00745BAC"/>
    <w:rsid w:val="00750F98"/>
    <w:rsid w:val="007541FB"/>
    <w:rsid w:val="0075752D"/>
    <w:rsid w:val="007634E0"/>
    <w:rsid w:val="007652BA"/>
    <w:rsid w:val="007849CE"/>
    <w:rsid w:val="00786C96"/>
    <w:rsid w:val="0078744A"/>
    <w:rsid w:val="00791545"/>
    <w:rsid w:val="007925A7"/>
    <w:rsid w:val="007961DB"/>
    <w:rsid w:val="00796AB2"/>
    <w:rsid w:val="007B323F"/>
    <w:rsid w:val="007C47C8"/>
    <w:rsid w:val="007D3984"/>
    <w:rsid w:val="007F0D66"/>
    <w:rsid w:val="007F6D5D"/>
    <w:rsid w:val="00824CED"/>
    <w:rsid w:val="008319F8"/>
    <w:rsid w:val="00831B42"/>
    <w:rsid w:val="008328DA"/>
    <w:rsid w:val="0083542E"/>
    <w:rsid w:val="00836724"/>
    <w:rsid w:val="00842D44"/>
    <w:rsid w:val="00843F80"/>
    <w:rsid w:val="00863010"/>
    <w:rsid w:val="008669A9"/>
    <w:rsid w:val="00871A17"/>
    <w:rsid w:val="00884433"/>
    <w:rsid w:val="0089337E"/>
    <w:rsid w:val="008B2794"/>
    <w:rsid w:val="008B438C"/>
    <w:rsid w:val="008C704F"/>
    <w:rsid w:val="008D2124"/>
    <w:rsid w:val="008D33AE"/>
    <w:rsid w:val="008D7427"/>
    <w:rsid w:val="008E7E63"/>
    <w:rsid w:val="008F4007"/>
    <w:rsid w:val="008F621A"/>
    <w:rsid w:val="008F7807"/>
    <w:rsid w:val="00911690"/>
    <w:rsid w:val="00915066"/>
    <w:rsid w:val="009420AC"/>
    <w:rsid w:val="00962532"/>
    <w:rsid w:val="00976E41"/>
    <w:rsid w:val="00992028"/>
    <w:rsid w:val="0099709D"/>
    <w:rsid w:val="009A5873"/>
    <w:rsid w:val="009C5ABD"/>
    <w:rsid w:val="009D0E1B"/>
    <w:rsid w:val="009D3F0E"/>
    <w:rsid w:val="009D4A4C"/>
    <w:rsid w:val="009D4DD9"/>
    <w:rsid w:val="009D56FF"/>
    <w:rsid w:val="009D65BB"/>
    <w:rsid w:val="009E49FB"/>
    <w:rsid w:val="009E732B"/>
    <w:rsid w:val="00A01750"/>
    <w:rsid w:val="00A041DA"/>
    <w:rsid w:val="00A05E24"/>
    <w:rsid w:val="00A2502B"/>
    <w:rsid w:val="00A3083F"/>
    <w:rsid w:val="00A31FFE"/>
    <w:rsid w:val="00A41B69"/>
    <w:rsid w:val="00A52DBB"/>
    <w:rsid w:val="00A5743A"/>
    <w:rsid w:val="00A74FDB"/>
    <w:rsid w:val="00A75210"/>
    <w:rsid w:val="00A91826"/>
    <w:rsid w:val="00A9440C"/>
    <w:rsid w:val="00AA3FD7"/>
    <w:rsid w:val="00AA45A1"/>
    <w:rsid w:val="00AA49A4"/>
    <w:rsid w:val="00AA5681"/>
    <w:rsid w:val="00AA6047"/>
    <w:rsid w:val="00AB362D"/>
    <w:rsid w:val="00AB413A"/>
    <w:rsid w:val="00AB73A7"/>
    <w:rsid w:val="00AC2608"/>
    <w:rsid w:val="00AD494F"/>
    <w:rsid w:val="00AD719D"/>
    <w:rsid w:val="00AD71FE"/>
    <w:rsid w:val="00AE13BF"/>
    <w:rsid w:val="00AF569A"/>
    <w:rsid w:val="00B008EA"/>
    <w:rsid w:val="00B05D9F"/>
    <w:rsid w:val="00B1531B"/>
    <w:rsid w:val="00B17CEA"/>
    <w:rsid w:val="00B26D32"/>
    <w:rsid w:val="00B3068A"/>
    <w:rsid w:val="00B342EE"/>
    <w:rsid w:val="00B47710"/>
    <w:rsid w:val="00B51336"/>
    <w:rsid w:val="00B51AC8"/>
    <w:rsid w:val="00B55164"/>
    <w:rsid w:val="00B77576"/>
    <w:rsid w:val="00B809BC"/>
    <w:rsid w:val="00B8529C"/>
    <w:rsid w:val="00B8788B"/>
    <w:rsid w:val="00B94C69"/>
    <w:rsid w:val="00BA3231"/>
    <w:rsid w:val="00BA7E8E"/>
    <w:rsid w:val="00BB652C"/>
    <w:rsid w:val="00BC7803"/>
    <w:rsid w:val="00BD315C"/>
    <w:rsid w:val="00BE4B68"/>
    <w:rsid w:val="00BE5D7D"/>
    <w:rsid w:val="00BF07DA"/>
    <w:rsid w:val="00BF31E9"/>
    <w:rsid w:val="00BF546C"/>
    <w:rsid w:val="00C01161"/>
    <w:rsid w:val="00C039B7"/>
    <w:rsid w:val="00C166F9"/>
    <w:rsid w:val="00C42029"/>
    <w:rsid w:val="00C4590A"/>
    <w:rsid w:val="00C51436"/>
    <w:rsid w:val="00C53BA7"/>
    <w:rsid w:val="00C57954"/>
    <w:rsid w:val="00C66676"/>
    <w:rsid w:val="00C70A53"/>
    <w:rsid w:val="00C70D27"/>
    <w:rsid w:val="00C778CC"/>
    <w:rsid w:val="00C90A7B"/>
    <w:rsid w:val="00C94895"/>
    <w:rsid w:val="00C95BD2"/>
    <w:rsid w:val="00C97E4B"/>
    <w:rsid w:val="00CA27E0"/>
    <w:rsid w:val="00CA3430"/>
    <w:rsid w:val="00CA5390"/>
    <w:rsid w:val="00CA5CA8"/>
    <w:rsid w:val="00CB193D"/>
    <w:rsid w:val="00CC036D"/>
    <w:rsid w:val="00CC5D2C"/>
    <w:rsid w:val="00CD3142"/>
    <w:rsid w:val="00CD42B4"/>
    <w:rsid w:val="00CD466D"/>
    <w:rsid w:val="00CE335C"/>
    <w:rsid w:val="00CE394E"/>
    <w:rsid w:val="00CF109C"/>
    <w:rsid w:val="00CF1FBA"/>
    <w:rsid w:val="00CF7190"/>
    <w:rsid w:val="00D03209"/>
    <w:rsid w:val="00D06ACE"/>
    <w:rsid w:val="00D103B4"/>
    <w:rsid w:val="00D113AE"/>
    <w:rsid w:val="00D22FFF"/>
    <w:rsid w:val="00D26C34"/>
    <w:rsid w:val="00D3313F"/>
    <w:rsid w:val="00D34035"/>
    <w:rsid w:val="00D36270"/>
    <w:rsid w:val="00D413A4"/>
    <w:rsid w:val="00D46BA6"/>
    <w:rsid w:val="00D54F8B"/>
    <w:rsid w:val="00D5513D"/>
    <w:rsid w:val="00D55EE3"/>
    <w:rsid w:val="00D60CC5"/>
    <w:rsid w:val="00D630CF"/>
    <w:rsid w:val="00D85945"/>
    <w:rsid w:val="00D871E0"/>
    <w:rsid w:val="00D90E15"/>
    <w:rsid w:val="00D9188B"/>
    <w:rsid w:val="00D91A32"/>
    <w:rsid w:val="00D91E19"/>
    <w:rsid w:val="00D94421"/>
    <w:rsid w:val="00D96F1E"/>
    <w:rsid w:val="00DA1229"/>
    <w:rsid w:val="00DB1DA3"/>
    <w:rsid w:val="00DC2DDD"/>
    <w:rsid w:val="00DC5278"/>
    <w:rsid w:val="00DC71AE"/>
    <w:rsid w:val="00DD3C36"/>
    <w:rsid w:val="00DD4308"/>
    <w:rsid w:val="00DD6361"/>
    <w:rsid w:val="00DD775D"/>
    <w:rsid w:val="00DF015F"/>
    <w:rsid w:val="00DF2FAC"/>
    <w:rsid w:val="00E07EF4"/>
    <w:rsid w:val="00E128D7"/>
    <w:rsid w:val="00E21A76"/>
    <w:rsid w:val="00E23302"/>
    <w:rsid w:val="00E45720"/>
    <w:rsid w:val="00E61F28"/>
    <w:rsid w:val="00E805A7"/>
    <w:rsid w:val="00E86720"/>
    <w:rsid w:val="00E9367E"/>
    <w:rsid w:val="00E93FA9"/>
    <w:rsid w:val="00E97F02"/>
    <w:rsid w:val="00EA1956"/>
    <w:rsid w:val="00EB1CF0"/>
    <w:rsid w:val="00EC25DE"/>
    <w:rsid w:val="00ED12D0"/>
    <w:rsid w:val="00ED2FEC"/>
    <w:rsid w:val="00ED5C0C"/>
    <w:rsid w:val="00EF1965"/>
    <w:rsid w:val="00EF49D5"/>
    <w:rsid w:val="00EF7114"/>
    <w:rsid w:val="00F04DBC"/>
    <w:rsid w:val="00F04F04"/>
    <w:rsid w:val="00F106D2"/>
    <w:rsid w:val="00F10803"/>
    <w:rsid w:val="00F34FD1"/>
    <w:rsid w:val="00F37E24"/>
    <w:rsid w:val="00F454FF"/>
    <w:rsid w:val="00F4695A"/>
    <w:rsid w:val="00F513B0"/>
    <w:rsid w:val="00F6254F"/>
    <w:rsid w:val="00F637B5"/>
    <w:rsid w:val="00F76478"/>
    <w:rsid w:val="00F814DA"/>
    <w:rsid w:val="00F87CBC"/>
    <w:rsid w:val="00FA2BF4"/>
    <w:rsid w:val="00FA3F4C"/>
    <w:rsid w:val="00FA5FAC"/>
    <w:rsid w:val="00FB113B"/>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2276">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E2D31-1A9B-4DCC-8D29-1905E602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Lesley Clay</cp:lastModifiedBy>
  <cp:revision>4</cp:revision>
  <dcterms:created xsi:type="dcterms:W3CDTF">2017-11-02T16:54:00Z</dcterms:created>
  <dcterms:modified xsi:type="dcterms:W3CDTF">2017-11-02T17:09:00Z</dcterms:modified>
</cp:coreProperties>
</file>