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5F" w:rsidRDefault="00DF015F" w:rsidP="00DC2DDD">
      <w:pPr>
        <w:jc w:val="center"/>
        <w:rPr>
          <w:b/>
          <w:u w:val="single"/>
        </w:rPr>
      </w:pPr>
      <w:bookmarkStart w:id="0" w:name="_GoBack"/>
      <w:bookmarkEnd w:id="0"/>
      <w:r w:rsidRPr="00DF015F">
        <w:rPr>
          <w:b/>
          <w:u w:val="single"/>
        </w:rPr>
        <w:t xml:space="preserve">KENT </w:t>
      </w:r>
      <w:r w:rsidR="00636C91">
        <w:rPr>
          <w:b/>
          <w:u w:val="single"/>
        </w:rPr>
        <w:t>PRIVATE SECTOR HOUSING</w:t>
      </w:r>
      <w:r w:rsidRPr="00DF015F">
        <w:rPr>
          <w:b/>
          <w:u w:val="single"/>
        </w:rPr>
        <w:t xml:space="preserve"> SUB GROUP MEETING</w:t>
      </w:r>
      <w:r w:rsidR="00DC2DDD" w:rsidRPr="00DF015F">
        <w:rPr>
          <w:b/>
          <w:u w:val="single"/>
        </w:rPr>
        <w:t xml:space="preserve"> </w:t>
      </w:r>
    </w:p>
    <w:p w:rsidR="00DD4308" w:rsidRPr="00DF015F" w:rsidRDefault="00636C91" w:rsidP="00DC2DDD">
      <w:pPr>
        <w:jc w:val="center"/>
        <w:rPr>
          <w:b/>
          <w:u w:val="single"/>
        </w:rPr>
      </w:pPr>
      <w:r>
        <w:rPr>
          <w:b/>
          <w:u w:val="single"/>
        </w:rPr>
        <w:t>4 SEPTEMBER</w:t>
      </w:r>
      <w:r w:rsidR="00DD4308">
        <w:rPr>
          <w:b/>
          <w:u w:val="single"/>
        </w:rPr>
        <w:t xml:space="preserve"> 2017</w:t>
      </w:r>
    </w:p>
    <w:p w:rsidR="00DC2DDD" w:rsidRPr="00DF015F" w:rsidRDefault="00DC2DDD" w:rsidP="00DC2DDD">
      <w:pPr>
        <w:jc w:val="center"/>
        <w:rPr>
          <w:b/>
          <w:u w:val="single"/>
        </w:rPr>
      </w:pPr>
      <w:r w:rsidRPr="00DF015F">
        <w:rPr>
          <w:b/>
          <w:u w:val="single"/>
        </w:rPr>
        <w:t xml:space="preserve">Held at </w:t>
      </w:r>
      <w:r w:rsidR="00636C91">
        <w:rPr>
          <w:b/>
          <w:u w:val="single"/>
        </w:rPr>
        <w:t>TONBRIDGE &amp; MALLING BC OFFICES, KINGS HILL</w:t>
      </w:r>
    </w:p>
    <w:p w:rsidR="00636C91" w:rsidRPr="00636C91" w:rsidRDefault="00DF015F" w:rsidP="00DF015F">
      <w:r w:rsidRPr="00DF015F">
        <w:rPr>
          <w:b/>
        </w:rPr>
        <w:t xml:space="preserve">Present: </w:t>
      </w:r>
      <w:r w:rsidR="00636C91" w:rsidRPr="00636C91">
        <w:t>Linda Hibbs (Chair), T</w:t>
      </w:r>
      <w:r w:rsidR="00812BD7">
        <w:t>onbridge</w:t>
      </w:r>
      <w:r w:rsidR="00636C91" w:rsidRPr="00636C91">
        <w:t xml:space="preserve"> &amp; M</w:t>
      </w:r>
      <w:r w:rsidR="00812BD7">
        <w:t>alling</w:t>
      </w:r>
      <w:r w:rsidR="00636C91" w:rsidRPr="00636C91">
        <w:t xml:space="preserve"> BC;</w:t>
      </w:r>
      <w:r w:rsidR="00636C91">
        <w:t xml:space="preserve"> </w:t>
      </w:r>
      <w:r w:rsidR="00812BD7">
        <w:t xml:space="preserve">Claire Pickering, Tonbridge Wells BC; Dipna Pattni, Gravesham BC; </w:t>
      </w:r>
      <w:r w:rsidR="00636C91">
        <w:t>Sholeh S</w:t>
      </w:r>
      <w:r w:rsidR="00636C91" w:rsidRPr="00636C91">
        <w:t>oleimanifar</w:t>
      </w:r>
      <w:r w:rsidR="00636C91">
        <w:t>, KCC;</w:t>
      </w:r>
      <w:r w:rsidR="00844279">
        <w:t xml:space="preserve"> </w:t>
      </w:r>
      <w:r w:rsidR="0020200B">
        <w:t xml:space="preserve"> </w:t>
      </w:r>
      <w:r w:rsidR="00812BD7">
        <w:t xml:space="preserve">Nigel Bucklow, Maidstone BC; Robin Kennedy, Dover DC; James Cox, Sevenoaks DC; </w:t>
      </w:r>
      <w:r w:rsidR="00555748">
        <w:t xml:space="preserve">David Dale, Swale BC; </w:t>
      </w:r>
      <w:r w:rsidR="00812BD7">
        <w:t>Mark Goldhawk, Canterbury CC; Jane Miller, KCC;  Donna Crozier, Family Mosaic; Kerry Petts, Shepway DC;  Richard Hopkins, Thanet DC; Richard Stanford-Beale, KFRS; Karen Hardy, KFRS; Hazel Skinner, Tonbridge &amp; Malling BC; Lynn Wilders, Gravesham BC; Marion Money, National Landlords Association; Jill Pells, Kent Housing Group.</w:t>
      </w:r>
    </w:p>
    <w:p w:rsidR="00DF015F" w:rsidRPr="002D03A5" w:rsidRDefault="00DF015F" w:rsidP="00DF015F">
      <w:r>
        <w:rPr>
          <w:b/>
        </w:rPr>
        <w:t>Apologies:</w:t>
      </w:r>
      <w:r w:rsidR="00DB1DA3">
        <w:rPr>
          <w:b/>
        </w:rPr>
        <w:t xml:space="preserve"> </w:t>
      </w:r>
      <w:r w:rsidR="002D03A5" w:rsidRPr="002D03A5">
        <w:t>Sarah Robson, Shepway DC</w:t>
      </w:r>
      <w:r w:rsidR="00636C91">
        <w:t xml:space="preserve"> (KHG Mentor)</w:t>
      </w:r>
      <w:r w:rsidR="002D03A5" w:rsidRPr="002D03A5">
        <w:t xml:space="preserve">; </w:t>
      </w:r>
      <w:r w:rsidR="00636C91">
        <w:t xml:space="preserve">Mel Anthony, KCC; </w:t>
      </w:r>
      <w:r w:rsidR="00B342EE">
        <w:t xml:space="preserve"> </w:t>
      </w:r>
      <w:r w:rsidR="00137962">
        <w:t xml:space="preserve"> Amanda Martin, Dover DC;</w:t>
      </w:r>
      <w:r w:rsidR="0020200B">
        <w:t xml:space="preserve"> Lesley Clay, Kent JPPB (Housing);</w:t>
      </w:r>
      <w:r w:rsidR="00555748">
        <w:t xml:space="preserve">                          </w:t>
      </w:r>
      <w:r w:rsidR="0020200B">
        <w:t xml:space="preserve"> Rachel Evans, Dartford; Janice Greenwood, TW BC; Tim Lovell, Canterbury CC</w:t>
      </w:r>
      <w:r w:rsidR="00AA5EFA">
        <w:t>; Samantha Simmons, KCC</w:t>
      </w:r>
    </w:p>
    <w:p w:rsidR="00641D7C" w:rsidRPr="00641D7C" w:rsidRDefault="00641D7C" w:rsidP="00641D7C">
      <w:pPr>
        <w:rPr>
          <w:rFonts w:cs="Arial"/>
        </w:rPr>
      </w:pPr>
    </w:p>
    <w:tbl>
      <w:tblPr>
        <w:tblStyle w:val="TableGrid"/>
        <w:tblW w:w="14095" w:type="dxa"/>
        <w:tblInd w:w="-743" w:type="dxa"/>
        <w:tblLook w:val="04A0" w:firstRow="1" w:lastRow="0" w:firstColumn="1" w:lastColumn="0" w:noHBand="0" w:noVBand="1"/>
      </w:tblPr>
      <w:tblGrid>
        <w:gridCol w:w="2127"/>
        <w:gridCol w:w="5947"/>
        <w:gridCol w:w="1708"/>
        <w:gridCol w:w="1134"/>
        <w:gridCol w:w="3179"/>
      </w:tblGrid>
      <w:tr w:rsidR="00432F07" w:rsidRPr="00745BAC" w:rsidTr="006B43FB">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5947"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708" w:type="dxa"/>
            <w:shd w:val="clear" w:color="auto" w:fill="DBE5F1" w:themeFill="accent1" w:themeFillTint="33"/>
          </w:tcPr>
          <w:p w:rsidR="00432F07" w:rsidRPr="00745BAC" w:rsidRDefault="00432F07" w:rsidP="002B184E">
            <w:pPr>
              <w:jc w:val="center"/>
              <w:rPr>
                <w:b/>
              </w:rPr>
            </w:pPr>
            <w:r w:rsidRPr="00745BAC">
              <w:rPr>
                <w:b/>
              </w:rPr>
              <w:t>Timescale</w:t>
            </w:r>
          </w:p>
        </w:tc>
        <w:tc>
          <w:tcPr>
            <w:tcW w:w="1134" w:type="dxa"/>
            <w:shd w:val="clear" w:color="auto" w:fill="DBE5F1" w:themeFill="accent1" w:themeFillTint="33"/>
          </w:tcPr>
          <w:p w:rsidR="00432F07" w:rsidRPr="00745BAC" w:rsidRDefault="00432F07" w:rsidP="002B184E">
            <w:pPr>
              <w:jc w:val="center"/>
              <w:rPr>
                <w:b/>
              </w:rPr>
            </w:pPr>
            <w:r w:rsidRPr="00745BAC">
              <w:rPr>
                <w:b/>
              </w:rPr>
              <w:t>Lead person</w:t>
            </w:r>
          </w:p>
        </w:tc>
        <w:tc>
          <w:tcPr>
            <w:tcW w:w="3179" w:type="dxa"/>
            <w:shd w:val="clear" w:color="auto" w:fill="DBE5F1" w:themeFill="accent1" w:themeFillTint="33"/>
          </w:tcPr>
          <w:p w:rsidR="00432F07" w:rsidRPr="00745BAC" w:rsidRDefault="00164913" w:rsidP="002B184E">
            <w:pPr>
              <w:jc w:val="center"/>
              <w:rPr>
                <w:b/>
              </w:rPr>
            </w:pPr>
            <w:r w:rsidRPr="00745BAC">
              <w:rPr>
                <w:b/>
              </w:rPr>
              <w:t>Action/Decision</w:t>
            </w:r>
          </w:p>
        </w:tc>
      </w:tr>
      <w:tr w:rsidR="00DF015F" w:rsidRPr="00745BAC" w:rsidTr="006B43FB">
        <w:tc>
          <w:tcPr>
            <w:tcW w:w="2127" w:type="dxa"/>
          </w:tcPr>
          <w:p w:rsidR="00DF015F" w:rsidRDefault="00636C91" w:rsidP="00DD4308">
            <w:pPr>
              <w:rPr>
                <w:b/>
              </w:rPr>
            </w:pPr>
            <w:r>
              <w:rPr>
                <w:b/>
              </w:rPr>
              <w:t xml:space="preserve">Action Log from meeting </w:t>
            </w:r>
            <w:r w:rsidR="00DD4308">
              <w:rPr>
                <w:b/>
              </w:rPr>
              <w:t>6 March 2017</w:t>
            </w:r>
          </w:p>
        </w:tc>
        <w:tc>
          <w:tcPr>
            <w:tcW w:w="5947" w:type="dxa"/>
            <w:shd w:val="clear" w:color="auto" w:fill="auto"/>
          </w:tcPr>
          <w:p w:rsidR="00164913" w:rsidRDefault="0020200B" w:rsidP="0020200B">
            <w:r>
              <w:t>RE presentation at Dartford not circulated.</w:t>
            </w:r>
          </w:p>
          <w:p w:rsidR="0020200B" w:rsidRDefault="0020200B" w:rsidP="0020200B"/>
          <w:p w:rsidR="0020200B" w:rsidRDefault="006B43FB" w:rsidP="0020200B">
            <w:r>
              <w:t>No update on Hospital Discharge Protocol available from JPPB.</w:t>
            </w:r>
          </w:p>
          <w:p w:rsidR="0020200B" w:rsidRDefault="0020200B" w:rsidP="0020200B"/>
          <w:p w:rsidR="0020200B" w:rsidRDefault="0020200B" w:rsidP="0020200B">
            <w:r>
              <w:t xml:space="preserve">EPC data. Now have access to this </w:t>
            </w:r>
            <w:r w:rsidR="006B43FB">
              <w:t xml:space="preserve">so </w:t>
            </w:r>
            <w:r>
              <w:t xml:space="preserve">do not have to go via KCC. </w:t>
            </w:r>
          </w:p>
          <w:p w:rsidR="0020200B" w:rsidRDefault="0020200B" w:rsidP="0020200B">
            <w:r>
              <w:t>DP putting in a bid using this information.</w:t>
            </w:r>
          </w:p>
          <w:p w:rsidR="0020200B" w:rsidRDefault="0020200B" w:rsidP="0020200B"/>
          <w:p w:rsidR="0020200B" w:rsidRDefault="00E35ED3" w:rsidP="0020200B">
            <w:r>
              <w:t>Invite KCC to meeting regarding standards of Accommodation for Care Leavers.</w:t>
            </w:r>
          </w:p>
          <w:p w:rsidR="00E35ED3" w:rsidRDefault="00E35ED3" w:rsidP="0020200B"/>
          <w:p w:rsidR="00E35ED3" w:rsidRDefault="00E35ED3" w:rsidP="0020200B">
            <w:r>
              <w:t>RK – DDC struggling to spend DFG monies. Last year under spent by about £500,000. Other authorities are also finding difficulty with this.</w:t>
            </w:r>
          </w:p>
          <w:p w:rsidR="00C50ACA" w:rsidRDefault="00E35ED3" w:rsidP="0020200B">
            <w:r>
              <w:t xml:space="preserve">LH – T &amp; M have had a promotion related to those that have assistance with refuse bins and have been overwhelmed with </w:t>
            </w:r>
            <w:r w:rsidR="009607A3">
              <w:lastRenderedPageBreak/>
              <w:t>enquiries</w:t>
            </w:r>
            <w:r>
              <w:t xml:space="preserve">.  </w:t>
            </w:r>
            <w:r w:rsidR="006B43FB">
              <w:t>In addition they</w:t>
            </w:r>
            <w:r w:rsidR="00C50ACA">
              <w:t xml:space="preserve"> have Council Tax on board to target specific groups, including children.</w:t>
            </w:r>
            <w:r w:rsidR="00AB6EDF">
              <w:t xml:space="preserve"> Also advertising on Council Tax bills. Have also had some activity via hospital discharge.</w:t>
            </w:r>
            <w:r w:rsidR="00612C88">
              <w:t xml:space="preserve"> Discussion about co funding </w:t>
            </w:r>
            <w:r w:rsidR="006B43FB">
              <w:t xml:space="preserve">a </w:t>
            </w:r>
            <w:r w:rsidR="00612C88">
              <w:t xml:space="preserve">similar post </w:t>
            </w:r>
            <w:r w:rsidR="006B43FB">
              <w:t>to</w:t>
            </w:r>
            <w:r w:rsidR="00612C88">
              <w:t xml:space="preserve"> that at Pembury at William Harvey as ABC is not able to do this.</w:t>
            </w:r>
          </w:p>
          <w:p w:rsidR="00591702" w:rsidRDefault="00591702" w:rsidP="0020200B"/>
          <w:p w:rsidR="00E35ED3" w:rsidRDefault="006B43FB" w:rsidP="0020200B">
            <w:r>
              <w:t>RK – Dover has</w:t>
            </w:r>
            <w:r w:rsidR="00E35ED3">
              <w:t xml:space="preserve"> had discussions with building control to flag u</w:t>
            </w:r>
            <w:r>
              <w:t>p</w:t>
            </w:r>
            <w:r w:rsidR="00E35ED3">
              <w:t xml:space="preserve"> where assistance is available.</w:t>
            </w:r>
            <w:r w:rsidR="00C50ACA">
              <w:t xml:space="preserve"> KFRS could raise awareness and promote if they have the appropriate information.</w:t>
            </w:r>
            <w:r w:rsidR="00BD1008">
              <w:t xml:space="preserve"> Also advertising in local press and producing a video for social media.</w:t>
            </w:r>
          </w:p>
          <w:p w:rsidR="00AB6EDF" w:rsidRDefault="00AB6EDF" w:rsidP="0020200B"/>
          <w:p w:rsidR="00AB6EDF" w:rsidRDefault="00AB6EDF" w:rsidP="00AB6EDF">
            <w:r>
              <w:t>TDC are advertising in an information sheet with details of how to apply.</w:t>
            </w:r>
          </w:p>
        </w:tc>
        <w:tc>
          <w:tcPr>
            <w:tcW w:w="1708" w:type="dxa"/>
            <w:shd w:val="clear" w:color="auto" w:fill="auto"/>
          </w:tcPr>
          <w:p w:rsidR="00D90E15" w:rsidRDefault="00D90E15" w:rsidP="00454E00"/>
        </w:tc>
        <w:tc>
          <w:tcPr>
            <w:tcW w:w="1134" w:type="dxa"/>
            <w:shd w:val="clear" w:color="auto" w:fill="auto"/>
          </w:tcPr>
          <w:p w:rsidR="00D90E15" w:rsidRDefault="0020200B" w:rsidP="00454E00">
            <w:r>
              <w:t>RE</w:t>
            </w:r>
          </w:p>
          <w:p w:rsidR="0020200B" w:rsidRDefault="0020200B" w:rsidP="00454E00"/>
          <w:p w:rsidR="0020200B" w:rsidRDefault="0020200B" w:rsidP="00454E00"/>
          <w:p w:rsidR="0020200B" w:rsidRDefault="0020200B" w:rsidP="00454E00">
            <w:r>
              <w:t>LH</w:t>
            </w:r>
          </w:p>
          <w:p w:rsidR="00E35ED3" w:rsidRDefault="00E35ED3" w:rsidP="00454E00"/>
          <w:p w:rsidR="00E35ED3" w:rsidRDefault="00E35ED3" w:rsidP="00454E00"/>
          <w:p w:rsidR="00E35ED3" w:rsidRDefault="00E35ED3" w:rsidP="00454E00"/>
          <w:p w:rsidR="00E35ED3" w:rsidRDefault="00E35ED3" w:rsidP="00454E00">
            <w:r>
              <w:t>JP</w:t>
            </w:r>
          </w:p>
        </w:tc>
        <w:tc>
          <w:tcPr>
            <w:tcW w:w="3179" w:type="dxa"/>
            <w:shd w:val="clear" w:color="auto" w:fill="auto"/>
          </w:tcPr>
          <w:p w:rsidR="00164913" w:rsidRDefault="006B43FB" w:rsidP="00911690">
            <w:r>
              <w:t>JP has emailed RE to chase</w:t>
            </w:r>
          </w:p>
          <w:p w:rsidR="0020200B" w:rsidRDefault="0020200B" w:rsidP="00911690"/>
          <w:p w:rsidR="0020200B" w:rsidRDefault="0020200B" w:rsidP="00911690"/>
          <w:p w:rsidR="0020200B" w:rsidRDefault="0020200B" w:rsidP="0020200B">
            <w:r>
              <w:t>LH and DP to liaise</w:t>
            </w:r>
          </w:p>
          <w:p w:rsidR="00E35ED3" w:rsidRDefault="00E35ED3" w:rsidP="0020200B"/>
          <w:p w:rsidR="00E35ED3" w:rsidRDefault="00E35ED3" w:rsidP="0020200B"/>
          <w:p w:rsidR="00E35ED3" w:rsidRDefault="00E35ED3" w:rsidP="0020200B"/>
          <w:p w:rsidR="00E35ED3" w:rsidRDefault="00E35ED3" w:rsidP="0020200B">
            <w:r>
              <w:t>For next Agenda</w:t>
            </w:r>
          </w:p>
        </w:tc>
      </w:tr>
      <w:tr w:rsidR="00432F07" w:rsidRPr="00745BAC" w:rsidTr="006B43FB">
        <w:tc>
          <w:tcPr>
            <w:tcW w:w="2127" w:type="dxa"/>
          </w:tcPr>
          <w:p w:rsidR="00432F07" w:rsidRPr="00DD4308" w:rsidRDefault="00636C91" w:rsidP="002B184E">
            <w:pPr>
              <w:rPr>
                <w:b/>
              </w:rPr>
            </w:pPr>
            <w:r>
              <w:rPr>
                <w:b/>
              </w:rPr>
              <w:t>Action Plan</w:t>
            </w:r>
          </w:p>
        </w:tc>
        <w:tc>
          <w:tcPr>
            <w:tcW w:w="5947" w:type="dxa"/>
            <w:shd w:val="clear" w:color="auto" w:fill="auto"/>
          </w:tcPr>
          <w:p w:rsidR="00432F07" w:rsidRDefault="00924CBF" w:rsidP="006202F2">
            <w:r>
              <w:t>LH to liaise with DP re EPC.</w:t>
            </w:r>
          </w:p>
          <w:p w:rsidR="006B43FB" w:rsidRDefault="006B43FB" w:rsidP="006202F2"/>
          <w:p w:rsidR="008609F3" w:rsidRDefault="00924CBF" w:rsidP="006202F2">
            <w:r>
              <w:t>KFRS experience of some HAs</w:t>
            </w:r>
            <w:r w:rsidR="00D15DB8">
              <w:t xml:space="preserve"> </w:t>
            </w:r>
            <w:r>
              <w:t>(</w:t>
            </w:r>
            <w:r w:rsidR="00D15DB8">
              <w:t xml:space="preserve">in particular </w:t>
            </w:r>
            <w:r>
              <w:t>T &amp; CHG) removing smoke alarms and then advising tenant to get KFRS to refit.</w:t>
            </w:r>
            <w:r w:rsidR="00D15DB8">
              <w:t xml:space="preserve"> DDC has had issues with some HAs not fitting alarms but threatened with action to get them to comply.</w:t>
            </w:r>
          </w:p>
          <w:p w:rsidR="008609F3" w:rsidRDefault="008609F3" w:rsidP="006202F2"/>
          <w:p w:rsidR="00B827BA" w:rsidRDefault="006B43FB" w:rsidP="006202F2">
            <w:r>
              <w:t xml:space="preserve">Decided that Action Plan is very out of date so a small team comprising </w:t>
            </w:r>
            <w:r w:rsidR="00B827BA">
              <w:t xml:space="preserve">LH, LC, MM, RK and KP </w:t>
            </w:r>
            <w:r>
              <w:t>will</w:t>
            </w:r>
            <w:r w:rsidR="00B827BA">
              <w:t xml:space="preserve"> work on </w:t>
            </w:r>
            <w:r>
              <w:t>this</w:t>
            </w:r>
            <w:r w:rsidR="00B827BA">
              <w:t xml:space="preserve"> at a separate meeting.</w:t>
            </w:r>
          </w:p>
          <w:p w:rsidR="006B43FB" w:rsidRPr="00745BAC" w:rsidRDefault="006B43FB" w:rsidP="006202F2"/>
        </w:tc>
        <w:tc>
          <w:tcPr>
            <w:tcW w:w="1708" w:type="dxa"/>
            <w:shd w:val="clear" w:color="auto" w:fill="auto"/>
          </w:tcPr>
          <w:p w:rsidR="00AA3FD7" w:rsidRDefault="00AA3FD7" w:rsidP="00454E00"/>
          <w:p w:rsidR="00B827BA" w:rsidRDefault="00B827BA" w:rsidP="00454E00"/>
          <w:p w:rsidR="00B827BA" w:rsidRDefault="00B827BA" w:rsidP="00454E00"/>
          <w:p w:rsidR="00B827BA" w:rsidRDefault="00B827BA" w:rsidP="00454E00"/>
          <w:p w:rsidR="00B827BA" w:rsidRDefault="00B827BA" w:rsidP="00454E00"/>
          <w:p w:rsidR="00B827BA" w:rsidRDefault="00B827BA" w:rsidP="00454E00"/>
          <w:p w:rsidR="00B827BA" w:rsidRDefault="00B827BA" w:rsidP="00454E00"/>
          <w:p w:rsidR="00B827BA" w:rsidRPr="00745BAC" w:rsidRDefault="00B827BA" w:rsidP="00454E00">
            <w:r>
              <w:t>By December meeting</w:t>
            </w:r>
          </w:p>
        </w:tc>
        <w:tc>
          <w:tcPr>
            <w:tcW w:w="1134" w:type="dxa"/>
            <w:shd w:val="clear" w:color="auto" w:fill="auto"/>
          </w:tcPr>
          <w:p w:rsidR="00CA5390" w:rsidRDefault="006B43FB" w:rsidP="00454E00">
            <w:r>
              <w:t>LH/DP</w:t>
            </w:r>
          </w:p>
          <w:p w:rsidR="00B827BA" w:rsidRDefault="00B827BA" w:rsidP="00454E00"/>
          <w:p w:rsidR="00B827BA" w:rsidRDefault="00B827BA" w:rsidP="00454E00"/>
          <w:p w:rsidR="00B827BA" w:rsidRDefault="00B827BA" w:rsidP="00454E00"/>
          <w:p w:rsidR="00B827BA" w:rsidRDefault="00B827BA" w:rsidP="00454E00"/>
          <w:p w:rsidR="00B827BA" w:rsidRDefault="00B827BA" w:rsidP="00454E00"/>
          <w:p w:rsidR="00B827BA" w:rsidRDefault="00B827BA" w:rsidP="00454E00"/>
          <w:p w:rsidR="00B827BA" w:rsidRPr="00745BAC" w:rsidRDefault="00B827BA" w:rsidP="00454E00">
            <w:r>
              <w:t>JP</w:t>
            </w:r>
          </w:p>
        </w:tc>
        <w:tc>
          <w:tcPr>
            <w:tcW w:w="3179" w:type="dxa"/>
            <w:shd w:val="clear" w:color="auto" w:fill="auto"/>
          </w:tcPr>
          <w:p w:rsidR="00665893" w:rsidRDefault="00665893" w:rsidP="00911690"/>
          <w:p w:rsidR="00B827BA" w:rsidRDefault="00B827BA" w:rsidP="00911690"/>
          <w:p w:rsidR="00B827BA" w:rsidRDefault="00B827BA" w:rsidP="00911690"/>
          <w:p w:rsidR="00B827BA" w:rsidRDefault="00B827BA" w:rsidP="00911690"/>
          <w:p w:rsidR="00B827BA" w:rsidRDefault="00B827BA" w:rsidP="00911690"/>
          <w:p w:rsidR="00B827BA" w:rsidRDefault="00B827BA" w:rsidP="00911690"/>
          <w:p w:rsidR="00B827BA" w:rsidRDefault="00B827BA" w:rsidP="00911690"/>
          <w:p w:rsidR="00B827BA" w:rsidRPr="00745BAC" w:rsidRDefault="00B827BA" w:rsidP="00911690">
            <w:r>
              <w:t>JP to arrange a meeting.</w:t>
            </w:r>
          </w:p>
        </w:tc>
      </w:tr>
      <w:tr w:rsidR="00432F07" w:rsidRPr="00745BAC" w:rsidTr="006B43FB">
        <w:tc>
          <w:tcPr>
            <w:tcW w:w="2127" w:type="dxa"/>
          </w:tcPr>
          <w:p w:rsidR="00432F07" w:rsidRPr="00DD4308" w:rsidRDefault="00636C91" w:rsidP="009E49FB">
            <w:pPr>
              <w:rPr>
                <w:b/>
              </w:rPr>
            </w:pPr>
            <w:r>
              <w:rPr>
                <w:b/>
              </w:rPr>
              <w:t>Sustainability and Transformation of NHS – Housing and ageing missing links</w:t>
            </w:r>
          </w:p>
        </w:tc>
        <w:tc>
          <w:tcPr>
            <w:tcW w:w="5947" w:type="dxa"/>
            <w:shd w:val="clear" w:color="auto" w:fill="auto"/>
          </w:tcPr>
          <w:p w:rsidR="001B142B" w:rsidRDefault="008609F3" w:rsidP="008609F3">
            <w:r>
              <w:t>LH ask</w:t>
            </w:r>
            <w:r w:rsidR="006B43FB">
              <w:t>ed if everyone is aware of the Sustainability and T</w:t>
            </w:r>
            <w:r>
              <w:t>ransformation of NHS paper</w:t>
            </w:r>
            <w:r w:rsidR="00F26FE1">
              <w:t xml:space="preserve"> published in July 2017.</w:t>
            </w:r>
            <w:r>
              <w:t xml:space="preserve"> Report by Care and Repair England on the importance of housing</w:t>
            </w:r>
            <w:r w:rsidR="006B43FB">
              <w:t xml:space="preserve"> related to health</w:t>
            </w:r>
            <w:r>
              <w:t>. Found that in the case of Kent it was sadly lacking. JME has not had any involvement in this as it is an NHS document. Requirement for Housing to be involved in STPs but needs to be embraced and taken forward.</w:t>
            </w:r>
            <w:r w:rsidR="00A90E4A">
              <w:t xml:space="preserve"> CCG leads for West Kent and Thanet contacted to encourage involvement with </w:t>
            </w:r>
            <w:r w:rsidR="00A90E4A">
              <w:lastRenderedPageBreak/>
              <w:t>housing.</w:t>
            </w:r>
          </w:p>
          <w:p w:rsidR="00F26FE1" w:rsidRDefault="00F26FE1" w:rsidP="008609F3"/>
          <w:p w:rsidR="00C75F3D" w:rsidRDefault="00C75F3D" w:rsidP="008609F3">
            <w:r>
              <w:t>KH remarked that it is very clinically driven document so social care and housing are not mentioned much.</w:t>
            </w:r>
          </w:p>
          <w:p w:rsidR="00DF7005" w:rsidRDefault="00DF7005" w:rsidP="008609F3"/>
          <w:p w:rsidR="00DF7005" w:rsidRDefault="00DF7005" w:rsidP="008609F3">
            <w:r>
              <w:t>LH suggested that members speak to their health leads –</w:t>
            </w:r>
            <w:r w:rsidR="00D90459">
              <w:t xml:space="preserve"> link to this report is here:</w:t>
            </w:r>
          </w:p>
          <w:p w:rsidR="00D90459" w:rsidRPr="00745BAC" w:rsidRDefault="003F6C6A" w:rsidP="008609F3">
            <w:hyperlink r:id="rId8" w:history="1">
              <w:r w:rsidR="00D90459">
                <w:rPr>
                  <w:rStyle w:val="Hyperlink"/>
                  <w:sz w:val="24"/>
                  <w:szCs w:val="24"/>
                  <w:lang w:val="en-US"/>
                </w:rPr>
                <w:t>survey</w:t>
              </w:r>
            </w:hyperlink>
          </w:p>
        </w:tc>
        <w:tc>
          <w:tcPr>
            <w:tcW w:w="1708" w:type="dxa"/>
            <w:shd w:val="clear" w:color="auto" w:fill="auto"/>
          </w:tcPr>
          <w:p w:rsidR="007B323F" w:rsidRPr="00745BAC" w:rsidRDefault="007B323F" w:rsidP="008669A9"/>
        </w:tc>
        <w:tc>
          <w:tcPr>
            <w:tcW w:w="1134" w:type="dxa"/>
            <w:shd w:val="clear" w:color="auto" w:fill="auto"/>
          </w:tcPr>
          <w:p w:rsidR="007B323F" w:rsidRDefault="007B323F"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Default="00DF7005" w:rsidP="008669A9">
            <w:pPr>
              <w:jc w:val="both"/>
            </w:pPr>
          </w:p>
          <w:p w:rsidR="00DF7005" w:rsidRPr="00745BAC" w:rsidRDefault="00DF7005" w:rsidP="008669A9">
            <w:pPr>
              <w:jc w:val="both"/>
            </w:pPr>
          </w:p>
        </w:tc>
        <w:tc>
          <w:tcPr>
            <w:tcW w:w="3179" w:type="dxa"/>
            <w:shd w:val="clear" w:color="auto" w:fill="auto"/>
          </w:tcPr>
          <w:p w:rsidR="007B323F" w:rsidRDefault="007B323F" w:rsidP="00311C62"/>
          <w:p w:rsidR="00DF7005" w:rsidRDefault="00DF7005" w:rsidP="00311C62"/>
          <w:p w:rsidR="00DF7005" w:rsidRDefault="00DF7005" w:rsidP="00311C62"/>
          <w:p w:rsidR="00DF7005" w:rsidRDefault="00DF7005" w:rsidP="00311C62"/>
          <w:p w:rsidR="00DF7005" w:rsidRDefault="00DF7005" w:rsidP="00311C62"/>
          <w:p w:rsidR="00DF7005" w:rsidRDefault="00DF7005" w:rsidP="00311C62"/>
          <w:p w:rsidR="00DF7005" w:rsidRDefault="00DF7005" w:rsidP="00311C62"/>
          <w:p w:rsidR="00DF7005" w:rsidRDefault="00DF7005" w:rsidP="00311C62"/>
          <w:p w:rsidR="00DF7005" w:rsidRDefault="00DF7005" w:rsidP="00311C62"/>
          <w:p w:rsidR="00DF7005" w:rsidRDefault="00DF7005" w:rsidP="00311C62"/>
          <w:p w:rsidR="00DF7005" w:rsidRDefault="00DF7005" w:rsidP="00311C62"/>
          <w:p w:rsidR="00DF7005" w:rsidRDefault="00DF7005" w:rsidP="00311C62"/>
          <w:p w:rsidR="00DF7005" w:rsidRDefault="00DF7005" w:rsidP="00311C62"/>
          <w:p w:rsidR="00DF7005" w:rsidRPr="00745BAC" w:rsidRDefault="00DF7005" w:rsidP="00311C62"/>
        </w:tc>
      </w:tr>
      <w:tr w:rsidR="00CE335C" w:rsidRPr="00745BAC" w:rsidTr="006B43FB">
        <w:tc>
          <w:tcPr>
            <w:tcW w:w="2127" w:type="dxa"/>
          </w:tcPr>
          <w:p w:rsidR="00CE335C" w:rsidRDefault="00636C91" w:rsidP="009E49FB">
            <w:pPr>
              <w:rPr>
                <w:b/>
              </w:rPr>
            </w:pPr>
            <w:r>
              <w:rPr>
                <w:b/>
              </w:rPr>
              <w:lastRenderedPageBreak/>
              <w:t>DFG Update</w:t>
            </w:r>
          </w:p>
        </w:tc>
        <w:tc>
          <w:tcPr>
            <w:tcW w:w="5947" w:type="dxa"/>
            <w:shd w:val="clear" w:color="auto" w:fill="auto"/>
          </w:tcPr>
          <w:p w:rsidR="00CE335C" w:rsidRDefault="00636C91" w:rsidP="004E0A35">
            <w:r>
              <w:t>Jane Miller Everest</w:t>
            </w:r>
            <w:r w:rsidR="004E0A35">
              <w:t xml:space="preserve"> updated on progress with the DFG project. Now at </w:t>
            </w:r>
            <w:r w:rsidR="003276FF">
              <w:t xml:space="preserve">a </w:t>
            </w:r>
            <w:r w:rsidR="004E0A35">
              <w:t>stage where there needs to be a higher level strategic buy in – taken to Leaders</w:t>
            </w:r>
            <w:r w:rsidR="003276FF">
              <w:t>’</w:t>
            </w:r>
            <w:r w:rsidR="004E0A35">
              <w:t xml:space="preserve"> Group and took CCG lead for W Kent to speak. Useful discussion highlighting projects. Leaders want to have a pilot project in E Kent, Thanet, Dover, Canterbury, Shepway and Ashford. </w:t>
            </w:r>
            <w:r w:rsidR="003276FF">
              <w:t>JME a</w:t>
            </w:r>
            <w:r w:rsidR="00326BBE">
              <w:t>dvised that Rebecca Smith is moving on to other projects so will no longer be involved and that Lesley Clay of JPPB would be taking this forward. JP advised that this would be news to LC as this has not been agreed by the Board. There will be a m</w:t>
            </w:r>
            <w:r w:rsidR="004E0A35">
              <w:t xml:space="preserve">eeting on 29 September </w:t>
            </w:r>
            <w:r w:rsidR="00326BBE">
              <w:t>to agree</w:t>
            </w:r>
            <w:r w:rsidR="004E0A35">
              <w:t xml:space="preserve"> new project leads. Sarah Robson </w:t>
            </w:r>
            <w:r w:rsidR="003276FF">
              <w:t xml:space="preserve">(new KHG Chair) </w:t>
            </w:r>
            <w:r w:rsidR="004E0A35">
              <w:t>has taken over the lead role for this group</w:t>
            </w:r>
            <w:r w:rsidR="0030786A">
              <w:t xml:space="preserve"> from Satnam Kaur and Tracey Kerly, Madeline Homer and Anne Tidmarsh</w:t>
            </w:r>
            <w:r w:rsidR="00326BBE">
              <w:t xml:space="preserve"> will also be involved</w:t>
            </w:r>
            <w:r w:rsidR="0030786A">
              <w:t>.</w:t>
            </w:r>
            <w:r w:rsidR="00326BBE">
              <w:t xml:space="preserve"> </w:t>
            </w:r>
            <w:r w:rsidR="00F62345">
              <w:t xml:space="preserve"> Implementation date is now unlikely to be April 2018 – maybe April 2019. Will need to revise ToR and timeline.</w:t>
            </w:r>
          </w:p>
          <w:p w:rsidR="0096199B" w:rsidRDefault="0096199B" w:rsidP="004E0A35"/>
          <w:p w:rsidR="00D233F3" w:rsidRDefault="00D233F3" w:rsidP="00DA3806">
            <w:r>
              <w:t>LH raised top slicing proposal which she felt was handled appallingly. JME and Anne Tidmarsh were unaware of what was being done on this.</w:t>
            </w:r>
            <w:r w:rsidR="0096199B">
              <w:t xml:space="preserve"> JME confirmed that their concerns were raised </w:t>
            </w:r>
            <w:r w:rsidR="00DA3806">
              <w:t>about</w:t>
            </w:r>
            <w:r w:rsidR="0096199B">
              <w:t xml:space="preserve"> this but decision was taken and done without consultation. KCC did not make the final suggestion. This is thought to have been from a Senior Finance Officer from one of the </w:t>
            </w:r>
            <w:r w:rsidR="003276FF">
              <w:t>LA</w:t>
            </w:r>
            <w:r w:rsidR="0096199B">
              <w:t>s.</w:t>
            </w:r>
          </w:p>
          <w:p w:rsidR="00DC7DB2" w:rsidRDefault="00DC7DB2" w:rsidP="00DA3806"/>
          <w:p w:rsidR="00B226FD" w:rsidRDefault="00B226FD" w:rsidP="00B226FD">
            <w:r>
              <w:t xml:space="preserve">LH wanted clarification that there will be no further call on LAs to fund further. JME confirmed that this is the case. </w:t>
            </w:r>
          </w:p>
          <w:p w:rsidR="00DC7DB2" w:rsidRDefault="00DC7DB2" w:rsidP="00B226FD"/>
          <w:p w:rsidR="00DC7DB2" w:rsidRDefault="00DC7DB2" w:rsidP="00B226FD">
            <w:r>
              <w:t>LH asked what will happen next year, but JME has not been a party to discussions on this.</w:t>
            </w:r>
          </w:p>
          <w:p w:rsidR="00DC7DB2" w:rsidRDefault="00DC7DB2" w:rsidP="00B226FD"/>
          <w:p w:rsidR="00DC7DB2" w:rsidRDefault="003276FF" w:rsidP="00B226FD">
            <w:r>
              <w:t xml:space="preserve">SS – advised that </w:t>
            </w:r>
            <w:r w:rsidR="00DC7DB2">
              <w:t>Home Improvement Agency Contracts (Family Mosaic and Swale BC</w:t>
            </w:r>
            <w:r>
              <w:t>) will be ending in September 2017. There is every</w:t>
            </w:r>
            <w:r w:rsidR="00DC7DB2">
              <w:t xml:space="preserve"> intention of extending these contracts until the transition</w:t>
            </w:r>
            <w:r>
              <w:t xml:space="preserve"> up to a </w:t>
            </w:r>
            <w:r w:rsidR="00DC7DB2">
              <w:t>current</w:t>
            </w:r>
            <w:r>
              <w:t xml:space="preserve"> maximum of</w:t>
            </w:r>
            <w:r w:rsidR="00DC7DB2">
              <w:t xml:space="preserve"> 18 months.</w:t>
            </w:r>
          </w:p>
          <w:p w:rsidR="00DC7DB2" w:rsidRDefault="00DC7DB2" w:rsidP="00B226FD"/>
          <w:p w:rsidR="00DC7DB2" w:rsidRDefault="00173AC3" w:rsidP="00B226FD">
            <w:r>
              <w:t xml:space="preserve">New </w:t>
            </w:r>
            <w:r w:rsidR="00DC7DB2">
              <w:t>Older Persons Offer</w:t>
            </w:r>
            <w:r>
              <w:t xml:space="preserve"> (approx £4M) bringing all the older persons services including dementia together under a new Strategic partner</w:t>
            </w:r>
            <w:r w:rsidR="00DC7DB2">
              <w:t xml:space="preserve"> – final engagement on this on 11 September and tender will be tail end of September. Contracts </w:t>
            </w:r>
            <w:r w:rsidR="005B5718">
              <w:t xml:space="preserve">to commence </w:t>
            </w:r>
            <w:r w:rsidR="00DC7DB2">
              <w:t>from 1 July 2018.</w:t>
            </w:r>
            <w:r w:rsidR="005B5718">
              <w:t xml:space="preserve"> KH asked if postural stability is involved and it was confirmed by DC that it is.</w:t>
            </w:r>
          </w:p>
          <w:p w:rsidR="00DC7DB2" w:rsidRPr="00745BAC" w:rsidRDefault="00DC7DB2" w:rsidP="00B226FD"/>
        </w:tc>
        <w:tc>
          <w:tcPr>
            <w:tcW w:w="1708" w:type="dxa"/>
            <w:shd w:val="clear" w:color="auto" w:fill="auto"/>
          </w:tcPr>
          <w:p w:rsidR="00AC2608" w:rsidRPr="00745BAC" w:rsidRDefault="00AC2608" w:rsidP="00454E00"/>
        </w:tc>
        <w:tc>
          <w:tcPr>
            <w:tcW w:w="1134" w:type="dxa"/>
            <w:shd w:val="clear" w:color="auto" w:fill="auto"/>
          </w:tcPr>
          <w:p w:rsidR="00CE335C" w:rsidRPr="00745BAC" w:rsidRDefault="00CE335C" w:rsidP="00454E00"/>
        </w:tc>
        <w:tc>
          <w:tcPr>
            <w:tcW w:w="3179" w:type="dxa"/>
            <w:shd w:val="clear" w:color="auto" w:fill="auto"/>
          </w:tcPr>
          <w:p w:rsidR="00AC2608" w:rsidRPr="00745BAC" w:rsidRDefault="00AC2608" w:rsidP="00AC2608">
            <w:pPr>
              <w:jc w:val="both"/>
            </w:pPr>
          </w:p>
        </w:tc>
      </w:tr>
      <w:tr w:rsidR="007925A7" w:rsidRPr="00745BAC" w:rsidTr="006B43FB">
        <w:tc>
          <w:tcPr>
            <w:tcW w:w="2127" w:type="dxa"/>
          </w:tcPr>
          <w:p w:rsidR="007925A7" w:rsidRDefault="00636C91" w:rsidP="009E49FB">
            <w:pPr>
              <w:rPr>
                <w:b/>
              </w:rPr>
            </w:pPr>
            <w:r>
              <w:rPr>
                <w:b/>
              </w:rPr>
              <w:t>Kent Housing Group Update</w:t>
            </w:r>
          </w:p>
        </w:tc>
        <w:tc>
          <w:tcPr>
            <w:tcW w:w="5947" w:type="dxa"/>
            <w:shd w:val="clear" w:color="auto" w:fill="auto"/>
          </w:tcPr>
          <w:p w:rsidR="007925A7" w:rsidRPr="00745BAC" w:rsidRDefault="00636C91" w:rsidP="003276FF">
            <w:r>
              <w:t>Linda Hibbs</w:t>
            </w:r>
            <w:r w:rsidR="005B5718">
              <w:t xml:space="preserve"> – </w:t>
            </w:r>
            <w:r w:rsidR="003276FF">
              <w:t>KHG met</w:t>
            </w:r>
            <w:r w:rsidR="005B5718">
              <w:t xml:space="preserve"> in May but not much for Private Sector. Satnam Kaur has now left and Sarah Robson is now the KHG Chair. Kent Housing Strategy being refreshed. All the papers for this are available on KHG website.</w:t>
            </w:r>
          </w:p>
        </w:tc>
        <w:tc>
          <w:tcPr>
            <w:tcW w:w="1708" w:type="dxa"/>
            <w:shd w:val="clear" w:color="auto" w:fill="auto"/>
          </w:tcPr>
          <w:p w:rsidR="007F0D66" w:rsidRPr="00745BAC" w:rsidRDefault="007F0D66" w:rsidP="00454E00"/>
        </w:tc>
        <w:tc>
          <w:tcPr>
            <w:tcW w:w="1134" w:type="dxa"/>
            <w:shd w:val="clear" w:color="auto" w:fill="auto"/>
          </w:tcPr>
          <w:p w:rsidR="007F0D66" w:rsidRPr="00745BAC" w:rsidRDefault="007F0D66" w:rsidP="00454E00"/>
        </w:tc>
        <w:tc>
          <w:tcPr>
            <w:tcW w:w="3179" w:type="dxa"/>
            <w:shd w:val="clear" w:color="auto" w:fill="auto"/>
          </w:tcPr>
          <w:p w:rsidR="007F0D66" w:rsidRPr="00745BAC" w:rsidRDefault="007F0D66" w:rsidP="00454E00"/>
        </w:tc>
      </w:tr>
      <w:tr w:rsidR="00432F07" w:rsidRPr="00745BAC" w:rsidTr="006B43FB">
        <w:tc>
          <w:tcPr>
            <w:tcW w:w="2127" w:type="dxa"/>
          </w:tcPr>
          <w:p w:rsidR="00432F07" w:rsidRPr="00DD4308" w:rsidRDefault="00636C91" w:rsidP="009E49FB">
            <w:pPr>
              <w:rPr>
                <w:b/>
              </w:rPr>
            </w:pPr>
            <w:r>
              <w:rPr>
                <w:b/>
              </w:rPr>
              <w:t>KEEP Update</w:t>
            </w:r>
          </w:p>
        </w:tc>
        <w:tc>
          <w:tcPr>
            <w:tcW w:w="5947" w:type="dxa"/>
            <w:shd w:val="clear" w:color="auto" w:fill="auto"/>
          </w:tcPr>
          <w:p w:rsidR="00370ADB" w:rsidRDefault="005B5718" w:rsidP="002C07DA">
            <w:r>
              <w:t xml:space="preserve">DP updated. Emerging priorities – KEEP to lead on the domestic sector and delivery of the Kent Fuel poverty plan. </w:t>
            </w:r>
          </w:p>
          <w:p w:rsidR="00370ADB" w:rsidRDefault="00370ADB" w:rsidP="002C07DA"/>
          <w:p w:rsidR="005B5718" w:rsidRDefault="003276FF" w:rsidP="002C07DA">
            <w:r>
              <w:t>There is an opportunity to</w:t>
            </w:r>
            <w:r w:rsidR="002C07DA">
              <w:t xml:space="preserve"> bid</w:t>
            </w:r>
            <w:r w:rsidR="005B5718">
              <w:t xml:space="preserve"> for </w:t>
            </w:r>
            <w:r>
              <w:t xml:space="preserve">projects under the following headings - </w:t>
            </w:r>
            <w:r w:rsidR="005B5718">
              <w:t xml:space="preserve">Urban Homes and Communities, Rural Homes and Communities and </w:t>
            </w:r>
            <w:r w:rsidR="005B3B2C">
              <w:t>I</w:t>
            </w:r>
            <w:r w:rsidR="005B5718">
              <w:t>Link energy efficiency and health. KEEP have drafted bids for all</w:t>
            </w:r>
            <w:r w:rsidR="002C07DA">
              <w:t xml:space="preserve"> </w:t>
            </w:r>
            <w:r w:rsidR="005B5718">
              <w:t>3 categories. Working with SGN and NEA.</w:t>
            </w:r>
          </w:p>
          <w:p w:rsidR="00922065" w:rsidRDefault="003276FF" w:rsidP="002C07DA">
            <w:r>
              <w:t>Also w</w:t>
            </w:r>
            <w:r w:rsidR="00922065">
              <w:t>orking with Dr Abraham George and Essex University on one of the bids</w:t>
            </w:r>
            <w:r>
              <w:t xml:space="preserve"> and</w:t>
            </w:r>
            <w:r w:rsidR="003E5198">
              <w:t xml:space="preserve"> hoping to partner up with KFRS and </w:t>
            </w:r>
            <w:r>
              <w:t xml:space="preserve">possibly working </w:t>
            </w:r>
            <w:r w:rsidR="003E5198">
              <w:t>with Arun Homes.</w:t>
            </w:r>
          </w:p>
          <w:p w:rsidR="003E5198" w:rsidRDefault="003E5198" w:rsidP="002C07DA"/>
          <w:p w:rsidR="003E5198" w:rsidRDefault="003E5198" w:rsidP="002C07DA">
            <w:r>
              <w:t xml:space="preserve">Trying to get </w:t>
            </w:r>
            <w:r w:rsidR="00BF433E">
              <w:t xml:space="preserve">housing and health </w:t>
            </w:r>
            <w:r>
              <w:t>data sharing agreed for analysis.</w:t>
            </w:r>
            <w:r w:rsidR="00C514EB">
              <w:t xml:space="preserve"> Looking at MOUs to achieve this.</w:t>
            </w:r>
          </w:p>
          <w:p w:rsidR="003E5198" w:rsidRDefault="003E5198" w:rsidP="002C07DA"/>
          <w:p w:rsidR="003E5198" w:rsidRDefault="003E5198" w:rsidP="002C07DA">
            <w:r>
              <w:t>DP to let LH have document for circulation to Group.</w:t>
            </w:r>
          </w:p>
          <w:p w:rsidR="003E5198" w:rsidRDefault="003E5198" w:rsidP="002C07DA"/>
          <w:p w:rsidR="003E5198" w:rsidRDefault="003E5198" w:rsidP="002C07DA">
            <w:r>
              <w:t>LH asked who would hold money if successful</w:t>
            </w:r>
            <w:r w:rsidR="003276FF">
              <w:t xml:space="preserve">  and DP advised that this</w:t>
            </w:r>
            <w:r w:rsidR="00BC3DE4">
              <w:t xml:space="preserve"> will</w:t>
            </w:r>
            <w:r>
              <w:t xml:space="preserve"> probably be Gravesham BC.</w:t>
            </w:r>
          </w:p>
          <w:p w:rsidR="003E5198" w:rsidRDefault="003E5198" w:rsidP="002C07DA"/>
          <w:p w:rsidR="003E5198" w:rsidRDefault="003E5198" w:rsidP="002C07DA">
            <w:r>
              <w:t>Some districts involved in EU Triple A project.</w:t>
            </w:r>
          </w:p>
          <w:p w:rsidR="002C07DA" w:rsidRPr="00745BAC" w:rsidRDefault="002C07DA" w:rsidP="002C07DA"/>
        </w:tc>
        <w:tc>
          <w:tcPr>
            <w:tcW w:w="1708" w:type="dxa"/>
            <w:shd w:val="clear" w:color="auto" w:fill="auto"/>
          </w:tcPr>
          <w:p w:rsidR="00A52DBB" w:rsidRPr="00745BAC" w:rsidRDefault="00A52DBB" w:rsidP="00454E00"/>
        </w:tc>
        <w:tc>
          <w:tcPr>
            <w:tcW w:w="1134" w:type="dxa"/>
            <w:shd w:val="clear" w:color="auto" w:fill="auto"/>
          </w:tcPr>
          <w:p w:rsidR="00692887" w:rsidRDefault="00692887"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p w:rsidR="003276FF" w:rsidRDefault="003276FF" w:rsidP="00454E00">
            <w:r>
              <w:t>DP</w:t>
            </w:r>
          </w:p>
          <w:p w:rsidR="003276FF" w:rsidRPr="00745BAC" w:rsidRDefault="003276FF" w:rsidP="00454E00"/>
        </w:tc>
        <w:tc>
          <w:tcPr>
            <w:tcW w:w="3179" w:type="dxa"/>
            <w:shd w:val="clear" w:color="auto" w:fill="auto"/>
          </w:tcPr>
          <w:p w:rsidR="00432F07" w:rsidRDefault="00432F07"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Default="003276FF" w:rsidP="00692887"/>
          <w:p w:rsidR="003276FF" w:rsidRPr="00745BAC" w:rsidRDefault="003276FF" w:rsidP="00692887">
            <w:r>
              <w:t>DP to forward information to LH</w:t>
            </w:r>
          </w:p>
        </w:tc>
      </w:tr>
      <w:tr w:rsidR="00432F07" w:rsidRPr="00745BAC" w:rsidTr="006B43FB">
        <w:tc>
          <w:tcPr>
            <w:tcW w:w="2127" w:type="dxa"/>
          </w:tcPr>
          <w:p w:rsidR="00432F07" w:rsidRPr="00DD4308" w:rsidRDefault="00636C91" w:rsidP="009E49FB">
            <w:pPr>
              <w:rPr>
                <w:b/>
              </w:rPr>
            </w:pPr>
            <w:r>
              <w:rPr>
                <w:b/>
              </w:rPr>
              <w:t>Kent Joint Policy and Planning Board Update</w:t>
            </w:r>
          </w:p>
        </w:tc>
        <w:tc>
          <w:tcPr>
            <w:tcW w:w="5947" w:type="dxa"/>
            <w:shd w:val="clear" w:color="auto" w:fill="auto"/>
          </w:tcPr>
          <w:p w:rsidR="00E61F28" w:rsidRPr="00745BAC" w:rsidRDefault="00636C91" w:rsidP="00115F2B">
            <w:r>
              <w:t xml:space="preserve">LC was unable to attend the meeting and instead referred colleagues to the minutes of the last meeting at </w:t>
            </w:r>
            <w:hyperlink r:id="rId9" w:history="1">
              <w:r w:rsidRPr="00315A46">
                <w:rPr>
                  <w:rStyle w:val="Hyperlink"/>
                  <w:sz w:val="18"/>
                  <w:szCs w:val="18"/>
                </w:rPr>
                <w:t>JPPB Action Log 6th July</w:t>
              </w:r>
            </w:hyperlink>
          </w:p>
        </w:tc>
        <w:tc>
          <w:tcPr>
            <w:tcW w:w="1708" w:type="dxa"/>
            <w:shd w:val="clear" w:color="auto" w:fill="auto"/>
          </w:tcPr>
          <w:p w:rsidR="005D1DB6" w:rsidRPr="00745BAC" w:rsidRDefault="005D1DB6" w:rsidP="00454E00"/>
        </w:tc>
        <w:tc>
          <w:tcPr>
            <w:tcW w:w="1134" w:type="dxa"/>
            <w:shd w:val="clear" w:color="auto" w:fill="auto"/>
          </w:tcPr>
          <w:p w:rsidR="005D1DB6" w:rsidRPr="00745BAC" w:rsidRDefault="00BC3DE4" w:rsidP="00454E00">
            <w:r>
              <w:t>All</w:t>
            </w:r>
          </w:p>
        </w:tc>
        <w:tc>
          <w:tcPr>
            <w:tcW w:w="3179" w:type="dxa"/>
            <w:shd w:val="clear" w:color="auto" w:fill="auto"/>
          </w:tcPr>
          <w:p w:rsidR="007F6D5D" w:rsidRPr="00745BAC" w:rsidRDefault="00BC3DE4" w:rsidP="007F6D5D">
            <w:r>
              <w:t>Meeting Action log on website</w:t>
            </w:r>
          </w:p>
        </w:tc>
      </w:tr>
      <w:tr w:rsidR="00432F07" w:rsidRPr="00745BAC" w:rsidTr="006B43FB">
        <w:tc>
          <w:tcPr>
            <w:tcW w:w="2127" w:type="dxa"/>
          </w:tcPr>
          <w:p w:rsidR="00432F07" w:rsidRPr="00DD4308" w:rsidRDefault="00DD4308" w:rsidP="009E49FB">
            <w:pPr>
              <w:rPr>
                <w:b/>
              </w:rPr>
            </w:pPr>
            <w:r>
              <w:rPr>
                <w:b/>
              </w:rPr>
              <w:t>AOB</w:t>
            </w:r>
          </w:p>
        </w:tc>
        <w:tc>
          <w:tcPr>
            <w:tcW w:w="5947" w:type="dxa"/>
            <w:shd w:val="clear" w:color="auto" w:fill="auto"/>
          </w:tcPr>
          <w:p w:rsidR="00BC3DE4" w:rsidRDefault="00BC3DE4" w:rsidP="007634E0">
            <w:r>
              <w:t>RH asked if colleagues were making a bid to the Controlling Migration fund. £</w:t>
            </w:r>
            <w:r w:rsidR="00B35EBA">
              <w:t>100M</w:t>
            </w:r>
            <w:r>
              <w:t xml:space="preserve"> available</w:t>
            </w:r>
            <w:r w:rsidR="00B35EBA">
              <w:t xml:space="preserve"> over 4 years aimed at helping migrant communities integrate – bids can be made at any time for any amount. One of</w:t>
            </w:r>
            <w:r>
              <w:t xml:space="preserve"> the options is rogue landlords.</w:t>
            </w:r>
            <w:r w:rsidR="00B35EBA">
              <w:t xml:space="preserve"> TDC </w:t>
            </w:r>
            <w:r>
              <w:t xml:space="preserve">has been </w:t>
            </w:r>
            <w:r w:rsidR="00B35EBA">
              <w:t xml:space="preserve">successful </w:t>
            </w:r>
            <w:r>
              <w:t>in obtaining funding and has</w:t>
            </w:r>
            <w:r w:rsidR="00B35EBA">
              <w:t xml:space="preserve"> had contact from other areas asking how they did this. Got half a million</w:t>
            </w:r>
            <w:r>
              <w:t xml:space="preserve"> pounds</w:t>
            </w:r>
            <w:r w:rsidR="00B35EBA">
              <w:t xml:space="preserve"> to fund a team to address rogue landlords. </w:t>
            </w:r>
          </w:p>
          <w:p w:rsidR="00BC3DE4" w:rsidRDefault="00BC3DE4" w:rsidP="007634E0"/>
          <w:p w:rsidR="00AD494F" w:rsidRDefault="00B35EBA" w:rsidP="007634E0">
            <w:r>
              <w:t>DDC also did a bid to help them set up a selective licensing scheme, but not successful as</w:t>
            </w:r>
            <w:r w:rsidR="00BC3DE4">
              <w:t xml:space="preserve"> apparently </w:t>
            </w:r>
            <w:r>
              <w:t xml:space="preserve"> this should be funded by fees. TDC did not get their element related to selective licensing</w:t>
            </w:r>
            <w:r w:rsidR="00BC3DE4">
              <w:t xml:space="preserve"> either</w:t>
            </w:r>
            <w:r>
              <w:t>.</w:t>
            </w:r>
          </w:p>
          <w:p w:rsidR="00BC3DE4" w:rsidRDefault="00BC3DE4" w:rsidP="007634E0"/>
          <w:p w:rsidR="00B35EBA" w:rsidRDefault="00B35EBA" w:rsidP="007634E0">
            <w:r>
              <w:t>R</w:t>
            </w:r>
            <w:r w:rsidR="00BC3DE4">
              <w:t>H  advised that funding will go towards a team to inspect all HMOs, Your home Y</w:t>
            </w:r>
            <w:r>
              <w:t>our health targeted interve</w:t>
            </w:r>
            <w:r w:rsidR="00BC3DE4">
              <w:t>ntions and English classes. Noted that there is sco</w:t>
            </w:r>
            <w:r>
              <w:t>pe for other applications in Kent.</w:t>
            </w:r>
          </w:p>
          <w:p w:rsidR="00B35EBA" w:rsidRDefault="00B35EBA" w:rsidP="007634E0"/>
          <w:p w:rsidR="00B35EBA" w:rsidRDefault="00B35EBA" w:rsidP="00A704DA">
            <w:r>
              <w:t>J</w:t>
            </w:r>
            <w:r w:rsidR="00BC3DE4">
              <w:t>ME advised of a</w:t>
            </w:r>
            <w:r>
              <w:t xml:space="preserve"> large event on at Detling – Rise </w:t>
            </w:r>
            <w:r w:rsidR="00A704DA">
              <w:t>4</w:t>
            </w:r>
            <w:r>
              <w:t xml:space="preserve"> Disability. Free event</w:t>
            </w:r>
            <w:r w:rsidR="00BC3DE4">
              <w:t xml:space="preserve"> with </w:t>
            </w:r>
            <w:r>
              <w:t>about 100 exhibitors. JME to send a flyer about this – open all day from 10 am.</w:t>
            </w:r>
            <w:r w:rsidR="005C6BF3">
              <w:t xml:space="preserve"> Free training events including a handling course.</w:t>
            </w:r>
            <w:r w:rsidR="00A25385">
              <w:t xml:space="preserve"> Also running the OT Theatre from al</w:t>
            </w:r>
            <w:r w:rsidR="003C0E48">
              <w:t>l</w:t>
            </w:r>
            <w:r w:rsidR="00A25385">
              <w:t xml:space="preserve"> disciplines in Kent and delivering a rolling professional development programme from 10 am until 4 pm, half hour sessions.</w:t>
            </w:r>
          </w:p>
          <w:p w:rsidR="0086786F" w:rsidRDefault="0086786F" w:rsidP="00A704DA"/>
          <w:p w:rsidR="0086786F" w:rsidRPr="001C48C5" w:rsidRDefault="0086786F" w:rsidP="009607A3">
            <w:r>
              <w:t xml:space="preserve">KFRS and PSH working groups to raise awareness of each </w:t>
            </w:r>
            <w:r w:rsidR="00BC3DE4">
              <w:t>other’s</w:t>
            </w:r>
            <w:r>
              <w:t xml:space="preserve"> work – 8 September Dover and 1</w:t>
            </w:r>
            <w:r w:rsidR="009607A3">
              <w:t>9</w:t>
            </w:r>
            <w:r>
              <w:t xml:space="preserve"> September at T &amp; M.</w:t>
            </w:r>
          </w:p>
        </w:tc>
        <w:tc>
          <w:tcPr>
            <w:tcW w:w="1708" w:type="dxa"/>
            <w:shd w:val="clear" w:color="auto" w:fill="auto"/>
          </w:tcPr>
          <w:p w:rsidR="00A75210" w:rsidRPr="00745BAC" w:rsidRDefault="00A75210" w:rsidP="00454E00"/>
        </w:tc>
        <w:tc>
          <w:tcPr>
            <w:tcW w:w="1134" w:type="dxa"/>
            <w:shd w:val="clear" w:color="auto" w:fill="auto"/>
          </w:tcPr>
          <w:p w:rsidR="007634E0" w:rsidRDefault="007634E0"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r>
              <w:t>JME/All to note</w:t>
            </w:r>
          </w:p>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p w:rsidR="00BC3DE4" w:rsidRDefault="00BC3DE4" w:rsidP="00454E00">
            <w:r>
              <w:t>All to note</w:t>
            </w:r>
          </w:p>
          <w:p w:rsidR="00BC3DE4" w:rsidRDefault="00BC3DE4" w:rsidP="00454E00"/>
          <w:p w:rsidR="00BC3DE4" w:rsidRPr="00745BAC" w:rsidRDefault="00BC3DE4" w:rsidP="00454E00"/>
        </w:tc>
        <w:tc>
          <w:tcPr>
            <w:tcW w:w="3179" w:type="dxa"/>
            <w:shd w:val="clear" w:color="auto" w:fill="auto"/>
          </w:tcPr>
          <w:p w:rsidR="007634E0" w:rsidRPr="00745BAC" w:rsidRDefault="007634E0" w:rsidP="00B55164"/>
        </w:tc>
      </w:tr>
      <w:tr w:rsidR="00432F07" w:rsidRPr="00745BAC" w:rsidTr="006B43FB">
        <w:tc>
          <w:tcPr>
            <w:tcW w:w="2127" w:type="dxa"/>
          </w:tcPr>
          <w:p w:rsidR="00432F07" w:rsidRDefault="00DD4308" w:rsidP="009E49FB">
            <w:pPr>
              <w:rPr>
                <w:b/>
              </w:rPr>
            </w:pPr>
            <w:r>
              <w:rPr>
                <w:b/>
              </w:rPr>
              <w:t>Next Meeting</w:t>
            </w:r>
          </w:p>
        </w:tc>
        <w:tc>
          <w:tcPr>
            <w:tcW w:w="5947" w:type="dxa"/>
            <w:shd w:val="clear" w:color="auto" w:fill="auto"/>
          </w:tcPr>
          <w:p w:rsidR="00871A17" w:rsidRPr="00A704DA" w:rsidRDefault="00A704DA" w:rsidP="00C4590A">
            <w:pPr>
              <w:rPr>
                <w:b/>
              </w:rPr>
            </w:pPr>
            <w:r w:rsidRPr="00A704DA">
              <w:rPr>
                <w:b/>
              </w:rPr>
              <w:t>Monday 4 December 2017</w:t>
            </w:r>
            <w:r w:rsidR="00BC3DE4">
              <w:rPr>
                <w:b/>
              </w:rPr>
              <w:t>, 9.30 am, T &amp; M Offices</w:t>
            </w:r>
          </w:p>
        </w:tc>
        <w:tc>
          <w:tcPr>
            <w:tcW w:w="1708" w:type="dxa"/>
            <w:shd w:val="clear" w:color="auto" w:fill="auto"/>
          </w:tcPr>
          <w:p w:rsidR="00C166F9" w:rsidRPr="00745BAC" w:rsidRDefault="00C166F9" w:rsidP="00454E00"/>
        </w:tc>
        <w:tc>
          <w:tcPr>
            <w:tcW w:w="1134" w:type="dxa"/>
            <w:shd w:val="clear" w:color="auto" w:fill="auto"/>
          </w:tcPr>
          <w:p w:rsidR="00871A17" w:rsidRPr="00745BAC" w:rsidRDefault="00871A17" w:rsidP="00454E00"/>
        </w:tc>
        <w:tc>
          <w:tcPr>
            <w:tcW w:w="3179" w:type="dxa"/>
            <w:shd w:val="clear" w:color="auto" w:fill="auto"/>
          </w:tcPr>
          <w:p w:rsidR="000F4EEA" w:rsidRPr="00745BAC" w:rsidRDefault="000F4EEA" w:rsidP="00393BA4"/>
        </w:tc>
      </w:tr>
    </w:tbl>
    <w:p w:rsidR="00443F82" w:rsidRPr="00DF015F" w:rsidRDefault="00443F82" w:rsidP="00636C91">
      <w:pPr>
        <w:rPr>
          <w:b/>
        </w:rPr>
      </w:pPr>
    </w:p>
    <w:sectPr w:rsidR="00443F82" w:rsidRPr="00DF015F" w:rsidSect="00CC5D2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89" w:rsidRDefault="00DF6989" w:rsidP="001D0582">
      <w:pPr>
        <w:spacing w:after="0" w:line="240" w:lineRule="auto"/>
      </w:pPr>
      <w:r>
        <w:separator/>
      </w:r>
    </w:p>
  </w:endnote>
  <w:endnote w:type="continuationSeparator" w:id="0">
    <w:p w:rsidR="00DF6989" w:rsidRDefault="00DF698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555748" w:rsidRDefault="003F6C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5748" w:rsidRDefault="0055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89" w:rsidRDefault="00DF6989" w:rsidP="001D0582">
      <w:pPr>
        <w:spacing w:after="0" w:line="240" w:lineRule="auto"/>
      </w:pPr>
      <w:r>
        <w:separator/>
      </w:r>
    </w:p>
  </w:footnote>
  <w:footnote w:type="continuationSeparator" w:id="0">
    <w:p w:rsidR="00DF6989" w:rsidRDefault="00DF6989"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31DE3"/>
    <w:rsid w:val="00031DE6"/>
    <w:rsid w:val="00061235"/>
    <w:rsid w:val="000624FA"/>
    <w:rsid w:val="00066388"/>
    <w:rsid w:val="00066B2B"/>
    <w:rsid w:val="000871E7"/>
    <w:rsid w:val="00094D7E"/>
    <w:rsid w:val="000B4C89"/>
    <w:rsid w:val="000E6197"/>
    <w:rsid w:val="000F4EEA"/>
    <w:rsid w:val="00104544"/>
    <w:rsid w:val="00106D8C"/>
    <w:rsid w:val="0011025C"/>
    <w:rsid w:val="00111B2B"/>
    <w:rsid w:val="00112C6A"/>
    <w:rsid w:val="00115F2B"/>
    <w:rsid w:val="001262F3"/>
    <w:rsid w:val="00130227"/>
    <w:rsid w:val="00130B92"/>
    <w:rsid w:val="00137962"/>
    <w:rsid w:val="00141109"/>
    <w:rsid w:val="00146945"/>
    <w:rsid w:val="00150D2E"/>
    <w:rsid w:val="00156EA5"/>
    <w:rsid w:val="00164913"/>
    <w:rsid w:val="00173AC3"/>
    <w:rsid w:val="00182CF3"/>
    <w:rsid w:val="001A1975"/>
    <w:rsid w:val="001B142B"/>
    <w:rsid w:val="001B7F2E"/>
    <w:rsid w:val="001C1D02"/>
    <w:rsid w:val="001C48C5"/>
    <w:rsid w:val="001D0582"/>
    <w:rsid w:val="001D78C0"/>
    <w:rsid w:val="001F00E7"/>
    <w:rsid w:val="00200B68"/>
    <w:rsid w:val="0020200B"/>
    <w:rsid w:val="00211DD6"/>
    <w:rsid w:val="002147E0"/>
    <w:rsid w:val="00231434"/>
    <w:rsid w:val="00236435"/>
    <w:rsid w:val="00252D55"/>
    <w:rsid w:val="002615C8"/>
    <w:rsid w:val="0027373A"/>
    <w:rsid w:val="00274D16"/>
    <w:rsid w:val="0027516E"/>
    <w:rsid w:val="00285E0B"/>
    <w:rsid w:val="00293C7B"/>
    <w:rsid w:val="0029660B"/>
    <w:rsid w:val="002B04EC"/>
    <w:rsid w:val="002B184E"/>
    <w:rsid w:val="002C07DA"/>
    <w:rsid w:val="002C4971"/>
    <w:rsid w:val="002D03A5"/>
    <w:rsid w:val="002D7698"/>
    <w:rsid w:val="0030786A"/>
    <w:rsid w:val="00311C62"/>
    <w:rsid w:val="00315121"/>
    <w:rsid w:val="00323A19"/>
    <w:rsid w:val="00326BBE"/>
    <w:rsid w:val="003276FF"/>
    <w:rsid w:val="0033294D"/>
    <w:rsid w:val="003651B3"/>
    <w:rsid w:val="00370ADB"/>
    <w:rsid w:val="003805C2"/>
    <w:rsid w:val="003900EE"/>
    <w:rsid w:val="00391561"/>
    <w:rsid w:val="00393BA4"/>
    <w:rsid w:val="00395DB1"/>
    <w:rsid w:val="003A12E5"/>
    <w:rsid w:val="003B0473"/>
    <w:rsid w:val="003C0E48"/>
    <w:rsid w:val="003C4E1E"/>
    <w:rsid w:val="003C5FDA"/>
    <w:rsid w:val="003E5198"/>
    <w:rsid w:val="003F5CB0"/>
    <w:rsid w:val="003F6C6A"/>
    <w:rsid w:val="004241B5"/>
    <w:rsid w:val="0042628B"/>
    <w:rsid w:val="00427AC7"/>
    <w:rsid w:val="00427CA9"/>
    <w:rsid w:val="0043172B"/>
    <w:rsid w:val="00432F07"/>
    <w:rsid w:val="00443F82"/>
    <w:rsid w:val="00454E00"/>
    <w:rsid w:val="004558CD"/>
    <w:rsid w:val="00473052"/>
    <w:rsid w:val="00486834"/>
    <w:rsid w:val="00487A05"/>
    <w:rsid w:val="0049191F"/>
    <w:rsid w:val="004A19A8"/>
    <w:rsid w:val="004C57A0"/>
    <w:rsid w:val="004C7313"/>
    <w:rsid w:val="004D1D2D"/>
    <w:rsid w:val="004D577A"/>
    <w:rsid w:val="004E0A35"/>
    <w:rsid w:val="004F2D4C"/>
    <w:rsid w:val="005233B2"/>
    <w:rsid w:val="00555748"/>
    <w:rsid w:val="00565E65"/>
    <w:rsid w:val="005755F2"/>
    <w:rsid w:val="00576D19"/>
    <w:rsid w:val="005866D1"/>
    <w:rsid w:val="00591702"/>
    <w:rsid w:val="00596291"/>
    <w:rsid w:val="005A7FF7"/>
    <w:rsid w:val="005B0792"/>
    <w:rsid w:val="005B3B2C"/>
    <w:rsid w:val="005B5718"/>
    <w:rsid w:val="005C6BF3"/>
    <w:rsid w:val="005D1AB8"/>
    <w:rsid w:val="005D1DB6"/>
    <w:rsid w:val="005D68EF"/>
    <w:rsid w:val="005F3904"/>
    <w:rsid w:val="005F4F00"/>
    <w:rsid w:val="00612C88"/>
    <w:rsid w:val="0061520B"/>
    <w:rsid w:val="006202F2"/>
    <w:rsid w:val="00633F20"/>
    <w:rsid w:val="00636C91"/>
    <w:rsid w:val="00641D7C"/>
    <w:rsid w:val="00644EA6"/>
    <w:rsid w:val="0064548E"/>
    <w:rsid w:val="00647CA0"/>
    <w:rsid w:val="00665893"/>
    <w:rsid w:val="00692887"/>
    <w:rsid w:val="00695733"/>
    <w:rsid w:val="00696E2D"/>
    <w:rsid w:val="006A0F46"/>
    <w:rsid w:val="006B43FB"/>
    <w:rsid w:val="006D52CE"/>
    <w:rsid w:val="006D6D36"/>
    <w:rsid w:val="006F33CE"/>
    <w:rsid w:val="007029C8"/>
    <w:rsid w:val="00707E57"/>
    <w:rsid w:val="0071764F"/>
    <w:rsid w:val="00734603"/>
    <w:rsid w:val="00735129"/>
    <w:rsid w:val="00736BBC"/>
    <w:rsid w:val="00737FBB"/>
    <w:rsid w:val="00745BAC"/>
    <w:rsid w:val="007541FB"/>
    <w:rsid w:val="0075752D"/>
    <w:rsid w:val="007634E0"/>
    <w:rsid w:val="007652BA"/>
    <w:rsid w:val="007849CE"/>
    <w:rsid w:val="00786C96"/>
    <w:rsid w:val="00791545"/>
    <w:rsid w:val="007925A7"/>
    <w:rsid w:val="00796AB2"/>
    <w:rsid w:val="007B323F"/>
    <w:rsid w:val="007C47C8"/>
    <w:rsid w:val="007D3984"/>
    <w:rsid w:val="007F0D66"/>
    <w:rsid w:val="007F6D5D"/>
    <w:rsid w:val="00812BD7"/>
    <w:rsid w:val="008319F8"/>
    <w:rsid w:val="00831B42"/>
    <w:rsid w:val="008328DA"/>
    <w:rsid w:val="0083542E"/>
    <w:rsid w:val="00836724"/>
    <w:rsid w:val="00843F80"/>
    <w:rsid w:val="00844279"/>
    <w:rsid w:val="00846E27"/>
    <w:rsid w:val="008609F3"/>
    <w:rsid w:val="00863010"/>
    <w:rsid w:val="008669A9"/>
    <w:rsid w:val="0086786F"/>
    <w:rsid w:val="00871A17"/>
    <w:rsid w:val="0089337E"/>
    <w:rsid w:val="008A1F41"/>
    <w:rsid w:val="008B2794"/>
    <w:rsid w:val="008B438C"/>
    <w:rsid w:val="008C704F"/>
    <w:rsid w:val="008D2124"/>
    <w:rsid w:val="008D33AE"/>
    <w:rsid w:val="008D7427"/>
    <w:rsid w:val="008E7E63"/>
    <w:rsid w:val="008F621A"/>
    <w:rsid w:val="008F7807"/>
    <w:rsid w:val="0090134F"/>
    <w:rsid w:val="00911690"/>
    <w:rsid w:val="00915066"/>
    <w:rsid w:val="00922065"/>
    <w:rsid w:val="00924CBF"/>
    <w:rsid w:val="009420AC"/>
    <w:rsid w:val="009607A3"/>
    <w:rsid w:val="0096199B"/>
    <w:rsid w:val="00976E41"/>
    <w:rsid w:val="009843EC"/>
    <w:rsid w:val="00992028"/>
    <w:rsid w:val="009C5ABD"/>
    <w:rsid w:val="009D3F0E"/>
    <w:rsid w:val="009D4A4C"/>
    <w:rsid w:val="009D65BB"/>
    <w:rsid w:val="009E187B"/>
    <w:rsid w:val="009E49FB"/>
    <w:rsid w:val="009E732B"/>
    <w:rsid w:val="00A05E24"/>
    <w:rsid w:val="00A2502B"/>
    <w:rsid w:val="00A25385"/>
    <w:rsid w:val="00A3083F"/>
    <w:rsid w:val="00A31FFE"/>
    <w:rsid w:val="00A41B69"/>
    <w:rsid w:val="00A52DBB"/>
    <w:rsid w:val="00A5743A"/>
    <w:rsid w:val="00A704DA"/>
    <w:rsid w:val="00A74FDB"/>
    <w:rsid w:val="00A75210"/>
    <w:rsid w:val="00A81EDD"/>
    <w:rsid w:val="00A90E4A"/>
    <w:rsid w:val="00A91826"/>
    <w:rsid w:val="00A9440C"/>
    <w:rsid w:val="00AA3FD7"/>
    <w:rsid w:val="00AA45A1"/>
    <w:rsid w:val="00AA49A4"/>
    <w:rsid w:val="00AA5EFA"/>
    <w:rsid w:val="00AB362D"/>
    <w:rsid w:val="00AB413A"/>
    <w:rsid w:val="00AB6EDF"/>
    <w:rsid w:val="00AB73A7"/>
    <w:rsid w:val="00AC2608"/>
    <w:rsid w:val="00AD494F"/>
    <w:rsid w:val="00AD719D"/>
    <w:rsid w:val="00AD71FE"/>
    <w:rsid w:val="00AE6235"/>
    <w:rsid w:val="00B07A29"/>
    <w:rsid w:val="00B17CEA"/>
    <w:rsid w:val="00B226FD"/>
    <w:rsid w:val="00B26D32"/>
    <w:rsid w:val="00B342EE"/>
    <w:rsid w:val="00B35EBA"/>
    <w:rsid w:val="00B51AC8"/>
    <w:rsid w:val="00B55164"/>
    <w:rsid w:val="00B77576"/>
    <w:rsid w:val="00B827BA"/>
    <w:rsid w:val="00B8529C"/>
    <w:rsid w:val="00B8788B"/>
    <w:rsid w:val="00B94C69"/>
    <w:rsid w:val="00BA3F81"/>
    <w:rsid w:val="00BC3DE4"/>
    <w:rsid w:val="00BC7803"/>
    <w:rsid w:val="00BD1008"/>
    <w:rsid w:val="00BE3AAB"/>
    <w:rsid w:val="00BE5D7D"/>
    <w:rsid w:val="00BF07DA"/>
    <w:rsid w:val="00BF31E9"/>
    <w:rsid w:val="00BF433E"/>
    <w:rsid w:val="00BF546C"/>
    <w:rsid w:val="00C039B7"/>
    <w:rsid w:val="00C166F9"/>
    <w:rsid w:val="00C42029"/>
    <w:rsid w:val="00C4590A"/>
    <w:rsid w:val="00C50ACA"/>
    <w:rsid w:val="00C514EB"/>
    <w:rsid w:val="00C70D27"/>
    <w:rsid w:val="00C75F3D"/>
    <w:rsid w:val="00C94895"/>
    <w:rsid w:val="00C97E4B"/>
    <w:rsid w:val="00CA27E0"/>
    <w:rsid w:val="00CA5390"/>
    <w:rsid w:val="00CA5CA8"/>
    <w:rsid w:val="00CB193D"/>
    <w:rsid w:val="00CC5D2C"/>
    <w:rsid w:val="00CD3142"/>
    <w:rsid w:val="00CD42B4"/>
    <w:rsid w:val="00CE335C"/>
    <w:rsid w:val="00CE394E"/>
    <w:rsid w:val="00CF109C"/>
    <w:rsid w:val="00D03209"/>
    <w:rsid w:val="00D06ACE"/>
    <w:rsid w:val="00D15DB8"/>
    <w:rsid w:val="00D22FFF"/>
    <w:rsid w:val="00D233F3"/>
    <w:rsid w:val="00D3313F"/>
    <w:rsid w:val="00D34035"/>
    <w:rsid w:val="00D5513D"/>
    <w:rsid w:val="00D55EE3"/>
    <w:rsid w:val="00D60CC5"/>
    <w:rsid w:val="00D630CF"/>
    <w:rsid w:val="00D871E0"/>
    <w:rsid w:val="00D90459"/>
    <w:rsid w:val="00D90E15"/>
    <w:rsid w:val="00D91A32"/>
    <w:rsid w:val="00D91E19"/>
    <w:rsid w:val="00D94421"/>
    <w:rsid w:val="00DA1229"/>
    <w:rsid w:val="00DA3806"/>
    <w:rsid w:val="00DB1DA3"/>
    <w:rsid w:val="00DC2DDD"/>
    <w:rsid w:val="00DC7DB2"/>
    <w:rsid w:val="00DD3C36"/>
    <w:rsid w:val="00DD4308"/>
    <w:rsid w:val="00DD775D"/>
    <w:rsid w:val="00DF015F"/>
    <w:rsid w:val="00DF2FAC"/>
    <w:rsid w:val="00DF6989"/>
    <w:rsid w:val="00DF7005"/>
    <w:rsid w:val="00E128D7"/>
    <w:rsid w:val="00E35ED3"/>
    <w:rsid w:val="00E45720"/>
    <w:rsid w:val="00E61F28"/>
    <w:rsid w:val="00E805A7"/>
    <w:rsid w:val="00E82097"/>
    <w:rsid w:val="00E86720"/>
    <w:rsid w:val="00E9367E"/>
    <w:rsid w:val="00E97F02"/>
    <w:rsid w:val="00EA1956"/>
    <w:rsid w:val="00EB1CF0"/>
    <w:rsid w:val="00ED12D0"/>
    <w:rsid w:val="00ED2FEC"/>
    <w:rsid w:val="00ED5C0C"/>
    <w:rsid w:val="00EF1965"/>
    <w:rsid w:val="00F106D2"/>
    <w:rsid w:val="00F26FE1"/>
    <w:rsid w:val="00F37E24"/>
    <w:rsid w:val="00F4092B"/>
    <w:rsid w:val="00F4695A"/>
    <w:rsid w:val="00F513B0"/>
    <w:rsid w:val="00F62345"/>
    <w:rsid w:val="00F6254F"/>
    <w:rsid w:val="00F76478"/>
    <w:rsid w:val="00F87CBC"/>
    <w:rsid w:val="00FA2BF4"/>
    <w:rsid w:val="00FA5FAC"/>
    <w:rsid w:val="00FB113B"/>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2AA10-6539-4F7E-8C13-A9C7F93B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0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andrepair-england.org.uk/wp-content/uploads/2017/07/Integration-Briefing-4-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housinggroup.org.uk/events/jppb-meetin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48B6F-A659-4D1C-99EB-6F60F576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41CF8B10.dotm</Template>
  <TotalTime>1</TotalTime>
  <Pages>6</Pages>
  <Words>1287</Words>
  <Characters>7338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2017-09-12T09:26:00Z</dcterms:created>
  <dcterms:modified xsi:type="dcterms:W3CDTF">2017-09-12T09:26:00Z</dcterms:modified>
</cp:coreProperties>
</file>