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A" w:rsidRDefault="004D675A" w:rsidP="004D675A">
      <w:pPr>
        <w:jc w:val="center"/>
        <w:rPr>
          <w:b/>
          <w:u w:val="single"/>
        </w:rPr>
      </w:pPr>
      <w:r>
        <w:rPr>
          <w:b/>
          <w:u w:val="single"/>
        </w:rPr>
        <w:t>EVENTS PLANNING MEETING</w:t>
      </w:r>
    </w:p>
    <w:p w:rsidR="00536171" w:rsidRDefault="00536171" w:rsidP="004D675A">
      <w:pPr>
        <w:jc w:val="center"/>
        <w:rPr>
          <w:b/>
          <w:u w:val="single"/>
        </w:rPr>
      </w:pPr>
    </w:p>
    <w:p w:rsidR="004D675A" w:rsidRDefault="00755A1C" w:rsidP="004D675A">
      <w:pPr>
        <w:jc w:val="center"/>
        <w:rPr>
          <w:b/>
          <w:u w:val="single"/>
        </w:rPr>
      </w:pPr>
      <w:r>
        <w:rPr>
          <w:b/>
          <w:u w:val="single"/>
        </w:rPr>
        <w:t xml:space="preserve">5 December 2016 </w:t>
      </w:r>
      <w:r w:rsidR="009C0253">
        <w:rPr>
          <w:b/>
          <w:u w:val="single"/>
        </w:rPr>
        <w:t xml:space="preserve"> – </w:t>
      </w:r>
      <w:r>
        <w:rPr>
          <w:b/>
          <w:u w:val="single"/>
        </w:rPr>
        <w:t>teleconference</w:t>
      </w:r>
    </w:p>
    <w:p w:rsidR="00CA4785" w:rsidRDefault="00CA4785" w:rsidP="004D675A">
      <w:pPr>
        <w:jc w:val="center"/>
        <w:rPr>
          <w:b/>
          <w:u w:val="single"/>
        </w:rPr>
      </w:pPr>
    </w:p>
    <w:p w:rsidR="004D675A" w:rsidRDefault="004D675A" w:rsidP="004D675A">
      <w:r>
        <w:rPr>
          <w:b/>
        </w:rPr>
        <w:t xml:space="preserve">Present: </w:t>
      </w:r>
      <w:r>
        <w:t>Eileen Martin,</w:t>
      </w:r>
      <w:r w:rsidR="00D8171D">
        <w:t xml:space="preserve"> </w:t>
      </w:r>
      <w:r w:rsidR="00755A1C">
        <w:t>AmicusHorizon, Chair;</w:t>
      </w:r>
      <w:r>
        <w:t xml:space="preserve"> </w:t>
      </w:r>
      <w:r w:rsidR="00B043B0">
        <w:t xml:space="preserve">Brian Horton, Horton Strategic; </w:t>
      </w:r>
      <w:r w:rsidR="00755A1C">
        <w:t>Satnam Kaur, Vice Chair; Rebecca Smith, KHG; Lesley Clay, JPPB; Rebecca Smith, KHG; Amber Christou, Swale BC.</w:t>
      </w:r>
    </w:p>
    <w:p w:rsidR="004D675A" w:rsidRDefault="004D675A" w:rsidP="004D675A">
      <w:pPr>
        <w:rPr>
          <w:b/>
        </w:rPr>
      </w:pPr>
    </w:p>
    <w:p w:rsidR="00CE546A" w:rsidRDefault="004D675A" w:rsidP="004D675A">
      <w:r>
        <w:rPr>
          <w:b/>
        </w:rPr>
        <w:t xml:space="preserve">Apologies: </w:t>
      </w:r>
      <w:r w:rsidR="00755A1C">
        <w:t xml:space="preserve">Sarah Robson, Shepway DC; Jill Pells, KHG; Diane Beeching, Golding Homes; </w:t>
      </w:r>
    </w:p>
    <w:p w:rsidR="00AC0C54" w:rsidRPr="00AC0C54" w:rsidRDefault="00AC0C54" w:rsidP="004D6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616"/>
        <w:gridCol w:w="4657"/>
        <w:gridCol w:w="1193"/>
      </w:tblGrid>
      <w:tr w:rsidR="004D675A" w:rsidTr="009D48F0">
        <w:tc>
          <w:tcPr>
            <w:tcW w:w="550"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2616"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4657" w:type="dxa"/>
            <w:tcBorders>
              <w:top w:val="single" w:sz="4" w:space="0" w:color="auto"/>
              <w:left w:val="single" w:sz="4" w:space="0" w:color="auto"/>
              <w:bottom w:val="single" w:sz="4" w:space="0" w:color="auto"/>
              <w:right w:val="single" w:sz="4" w:space="0" w:color="auto"/>
            </w:tcBorders>
          </w:tcPr>
          <w:p w:rsidR="004D675A" w:rsidRDefault="004D675A">
            <w:pPr>
              <w:rPr>
                <w:b/>
              </w:rPr>
            </w:pPr>
          </w:p>
        </w:tc>
        <w:tc>
          <w:tcPr>
            <w:tcW w:w="1193" w:type="dxa"/>
            <w:tcBorders>
              <w:top w:val="single" w:sz="4" w:space="0" w:color="auto"/>
              <w:left w:val="single" w:sz="4" w:space="0" w:color="auto"/>
              <w:bottom w:val="single" w:sz="4" w:space="0" w:color="auto"/>
              <w:right w:val="single" w:sz="4" w:space="0" w:color="auto"/>
            </w:tcBorders>
            <w:hideMark/>
          </w:tcPr>
          <w:p w:rsidR="004D675A" w:rsidRDefault="004D675A">
            <w:pPr>
              <w:rPr>
                <w:b/>
              </w:rPr>
            </w:pPr>
            <w:r>
              <w:rPr>
                <w:b/>
              </w:rPr>
              <w:t>Action</w:t>
            </w:r>
          </w:p>
        </w:tc>
      </w:tr>
      <w:tr w:rsidR="004D675A" w:rsidTr="009D48F0">
        <w:tc>
          <w:tcPr>
            <w:tcW w:w="550" w:type="dxa"/>
            <w:tcBorders>
              <w:top w:val="single" w:sz="4" w:space="0" w:color="auto"/>
              <w:left w:val="single" w:sz="4" w:space="0" w:color="auto"/>
              <w:bottom w:val="single" w:sz="4" w:space="0" w:color="auto"/>
              <w:right w:val="single" w:sz="4" w:space="0" w:color="auto"/>
            </w:tcBorders>
            <w:hideMark/>
          </w:tcPr>
          <w:p w:rsidR="004D675A" w:rsidRDefault="004D675A">
            <w:pPr>
              <w:rPr>
                <w:b/>
              </w:rPr>
            </w:pPr>
            <w:r>
              <w:rPr>
                <w:b/>
              </w:rPr>
              <w:t>1.</w:t>
            </w:r>
          </w:p>
        </w:tc>
        <w:tc>
          <w:tcPr>
            <w:tcW w:w="2616" w:type="dxa"/>
            <w:tcBorders>
              <w:top w:val="single" w:sz="4" w:space="0" w:color="auto"/>
              <w:left w:val="single" w:sz="4" w:space="0" w:color="auto"/>
              <w:bottom w:val="single" w:sz="4" w:space="0" w:color="auto"/>
              <w:right w:val="single" w:sz="4" w:space="0" w:color="auto"/>
            </w:tcBorders>
            <w:hideMark/>
          </w:tcPr>
          <w:p w:rsidR="004D675A" w:rsidRDefault="00EA2D29" w:rsidP="00755A1C">
            <w:pPr>
              <w:rPr>
                <w:b/>
              </w:rPr>
            </w:pPr>
            <w:r>
              <w:rPr>
                <w:b/>
              </w:rPr>
              <w:t xml:space="preserve">Notes of Meeting held on </w:t>
            </w:r>
            <w:r w:rsidR="00755A1C">
              <w:rPr>
                <w:b/>
              </w:rPr>
              <w:t>4 October 2016</w:t>
            </w:r>
          </w:p>
        </w:tc>
        <w:tc>
          <w:tcPr>
            <w:tcW w:w="4657" w:type="dxa"/>
            <w:tcBorders>
              <w:top w:val="single" w:sz="4" w:space="0" w:color="auto"/>
              <w:left w:val="single" w:sz="4" w:space="0" w:color="auto"/>
              <w:bottom w:val="single" w:sz="4" w:space="0" w:color="auto"/>
              <w:right w:val="single" w:sz="4" w:space="0" w:color="auto"/>
            </w:tcBorders>
          </w:tcPr>
          <w:p w:rsidR="002A6AF0" w:rsidRDefault="00EA2D29" w:rsidP="00876863">
            <w:r>
              <w:t xml:space="preserve">Notes of the meeting </w:t>
            </w:r>
            <w:r w:rsidR="00755A1C">
              <w:t>hadn’t been circulated but EM ran through them as part of the meeting</w:t>
            </w:r>
            <w:r w:rsidR="00A40BD6">
              <w:t>.</w:t>
            </w:r>
            <w:r w:rsidR="00BE6332">
              <w:t xml:space="preserve"> </w:t>
            </w:r>
          </w:p>
          <w:p w:rsidR="00337F3B" w:rsidRDefault="00337F3B" w:rsidP="009C0253"/>
        </w:tc>
        <w:tc>
          <w:tcPr>
            <w:tcW w:w="1193" w:type="dxa"/>
            <w:tcBorders>
              <w:top w:val="single" w:sz="4" w:space="0" w:color="auto"/>
              <w:left w:val="single" w:sz="4" w:space="0" w:color="auto"/>
              <w:bottom w:val="single" w:sz="4" w:space="0" w:color="auto"/>
              <w:right w:val="single" w:sz="4" w:space="0" w:color="auto"/>
            </w:tcBorders>
          </w:tcPr>
          <w:p w:rsidR="00203F58" w:rsidRDefault="00203F58">
            <w:pPr>
              <w:rPr>
                <w:b/>
              </w:rPr>
            </w:pPr>
          </w:p>
        </w:tc>
      </w:tr>
      <w:tr w:rsidR="00A40BD6" w:rsidTr="009D48F0">
        <w:tc>
          <w:tcPr>
            <w:tcW w:w="550" w:type="dxa"/>
            <w:tcBorders>
              <w:top w:val="single" w:sz="4" w:space="0" w:color="auto"/>
              <w:left w:val="single" w:sz="4" w:space="0" w:color="auto"/>
              <w:bottom w:val="single" w:sz="4" w:space="0" w:color="auto"/>
              <w:right w:val="single" w:sz="4" w:space="0" w:color="auto"/>
            </w:tcBorders>
          </w:tcPr>
          <w:p w:rsidR="00A40BD6" w:rsidRDefault="00A40BD6">
            <w:pPr>
              <w:rPr>
                <w:b/>
              </w:rPr>
            </w:pPr>
            <w:r>
              <w:rPr>
                <w:b/>
              </w:rPr>
              <w:t>2.</w:t>
            </w:r>
          </w:p>
        </w:tc>
        <w:tc>
          <w:tcPr>
            <w:tcW w:w="2616" w:type="dxa"/>
            <w:tcBorders>
              <w:top w:val="single" w:sz="4" w:space="0" w:color="auto"/>
              <w:left w:val="single" w:sz="4" w:space="0" w:color="auto"/>
              <w:bottom w:val="single" w:sz="4" w:space="0" w:color="auto"/>
              <w:right w:val="single" w:sz="4" w:space="0" w:color="auto"/>
            </w:tcBorders>
          </w:tcPr>
          <w:p w:rsidR="00A40BD6" w:rsidRDefault="00A40BD6" w:rsidP="00A40BD6">
            <w:pPr>
              <w:rPr>
                <w:b/>
              </w:rPr>
            </w:pPr>
            <w:r>
              <w:rPr>
                <w:b/>
              </w:rPr>
              <w:t>Excellence Awards</w:t>
            </w:r>
          </w:p>
        </w:tc>
        <w:tc>
          <w:tcPr>
            <w:tcW w:w="4657" w:type="dxa"/>
            <w:tcBorders>
              <w:top w:val="single" w:sz="4" w:space="0" w:color="auto"/>
              <w:left w:val="single" w:sz="4" w:space="0" w:color="auto"/>
              <w:bottom w:val="single" w:sz="4" w:space="0" w:color="auto"/>
              <w:right w:val="single" w:sz="4" w:space="0" w:color="auto"/>
            </w:tcBorders>
          </w:tcPr>
          <w:p w:rsidR="00A40BD6" w:rsidRDefault="00A40BD6" w:rsidP="00C622B6">
            <w:r>
              <w:t>Confirmed nominations by date in June/July – date to be fixed. Assessment date to be end of July/beg Aug. Awards Ceremony to be held early September. Dates to be confirmed and finalised at next meeting.</w:t>
            </w:r>
          </w:p>
          <w:p w:rsidR="00A40BD6" w:rsidRDefault="00A40BD6" w:rsidP="00C622B6"/>
          <w:p w:rsidR="00A40BD6" w:rsidRDefault="00A40BD6" w:rsidP="00C622B6">
            <w:r>
              <w:t>Venues still be selected possibly Hilton or Kent Event Centre.</w:t>
            </w:r>
          </w:p>
        </w:tc>
        <w:tc>
          <w:tcPr>
            <w:tcW w:w="1193" w:type="dxa"/>
            <w:tcBorders>
              <w:top w:val="single" w:sz="4" w:space="0" w:color="auto"/>
              <w:left w:val="single" w:sz="4" w:space="0" w:color="auto"/>
              <w:bottom w:val="single" w:sz="4" w:space="0" w:color="auto"/>
              <w:right w:val="single" w:sz="4" w:space="0" w:color="auto"/>
            </w:tcBorders>
          </w:tcPr>
          <w:p w:rsidR="00A40BD6" w:rsidRPr="00A40BD6" w:rsidRDefault="00A40BD6">
            <w:pPr>
              <w:rPr>
                <w:b/>
              </w:rPr>
            </w:pPr>
          </w:p>
          <w:p w:rsidR="00A40BD6" w:rsidRPr="00A40BD6" w:rsidRDefault="00A40BD6">
            <w:pPr>
              <w:rPr>
                <w:b/>
              </w:rPr>
            </w:pPr>
          </w:p>
          <w:p w:rsidR="00A40BD6" w:rsidRPr="00A40BD6" w:rsidRDefault="00A40BD6">
            <w:pPr>
              <w:rPr>
                <w:b/>
              </w:rPr>
            </w:pPr>
          </w:p>
          <w:p w:rsidR="00A40BD6" w:rsidRPr="00A40BD6" w:rsidRDefault="00A40BD6">
            <w:pPr>
              <w:rPr>
                <w:b/>
              </w:rPr>
            </w:pPr>
          </w:p>
          <w:p w:rsidR="00A40BD6" w:rsidRPr="00A40BD6" w:rsidRDefault="00A40BD6">
            <w:pPr>
              <w:rPr>
                <w:b/>
              </w:rPr>
            </w:pPr>
            <w:r w:rsidRPr="00A40BD6">
              <w:rPr>
                <w:b/>
              </w:rPr>
              <w:t>ALL</w:t>
            </w:r>
          </w:p>
          <w:p w:rsidR="00A40BD6" w:rsidRPr="00A40BD6" w:rsidRDefault="00A40BD6">
            <w:pPr>
              <w:rPr>
                <w:b/>
              </w:rPr>
            </w:pPr>
          </w:p>
        </w:tc>
      </w:tr>
      <w:tr w:rsidR="004D675A" w:rsidTr="009D48F0">
        <w:tc>
          <w:tcPr>
            <w:tcW w:w="550" w:type="dxa"/>
            <w:tcBorders>
              <w:top w:val="single" w:sz="4" w:space="0" w:color="auto"/>
              <w:left w:val="single" w:sz="4" w:space="0" w:color="auto"/>
              <w:bottom w:val="single" w:sz="4" w:space="0" w:color="auto"/>
              <w:right w:val="single" w:sz="4" w:space="0" w:color="auto"/>
            </w:tcBorders>
            <w:hideMark/>
          </w:tcPr>
          <w:p w:rsidR="004D675A" w:rsidRDefault="00073F41">
            <w:pPr>
              <w:rPr>
                <w:b/>
              </w:rPr>
            </w:pPr>
            <w:r>
              <w:rPr>
                <w:b/>
              </w:rPr>
              <w:t>3</w:t>
            </w:r>
            <w:r w:rsidR="00AC0C54">
              <w:rPr>
                <w:b/>
              </w:rPr>
              <w:t>.</w:t>
            </w:r>
          </w:p>
        </w:tc>
        <w:tc>
          <w:tcPr>
            <w:tcW w:w="2616" w:type="dxa"/>
            <w:tcBorders>
              <w:top w:val="single" w:sz="4" w:space="0" w:color="auto"/>
              <w:left w:val="single" w:sz="4" w:space="0" w:color="auto"/>
              <w:bottom w:val="single" w:sz="4" w:space="0" w:color="auto"/>
              <w:right w:val="single" w:sz="4" w:space="0" w:color="auto"/>
            </w:tcBorders>
            <w:hideMark/>
          </w:tcPr>
          <w:p w:rsidR="004D675A" w:rsidRDefault="00EA2D29" w:rsidP="00A40BD6">
            <w:pPr>
              <w:rPr>
                <w:b/>
              </w:rPr>
            </w:pPr>
            <w:r>
              <w:rPr>
                <w:b/>
              </w:rPr>
              <w:t xml:space="preserve">KHG Seminar – </w:t>
            </w:r>
          </w:p>
        </w:tc>
        <w:tc>
          <w:tcPr>
            <w:tcW w:w="4657" w:type="dxa"/>
            <w:tcBorders>
              <w:top w:val="single" w:sz="4" w:space="0" w:color="auto"/>
              <w:left w:val="single" w:sz="4" w:space="0" w:color="auto"/>
              <w:bottom w:val="single" w:sz="4" w:space="0" w:color="auto"/>
              <w:right w:val="single" w:sz="4" w:space="0" w:color="auto"/>
            </w:tcBorders>
          </w:tcPr>
          <w:p w:rsidR="00BE6332" w:rsidRDefault="00A40BD6" w:rsidP="00C622B6">
            <w:r>
              <w:t>BH confirmed letter to Gavin Barwell to be sent through – he will make contact via David Godfrey re best route for delivery.</w:t>
            </w:r>
          </w:p>
          <w:p w:rsidR="00BE6332" w:rsidRDefault="00BE6332" w:rsidP="00C622B6"/>
          <w:p w:rsidR="00BE6332" w:rsidRDefault="00A40BD6" w:rsidP="00C622B6">
            <w:r>
              <w:t>EM ran through proposal for the seminar re ‘Housing and Health – Accelerated and Integrated’</w:t>
            </w:r>
          </w:p>
          <w:p w:rsidR="00A40BD6" w:rsidRDefault="00A40BD6" w:rsidP="00C622B6"/>
          <w:p w:rsidR="00E6063D" w:rsidRDefault="00A40BD6" w:rsidP="00595891">
            <w:r>
              <w:t xml:space="preserve">AC and EM had met with Andy Scott Clark, Director Public Health (Kent). </w:t>
            </w:r>
          </w:p>
          <w:p w:rsidR="00E6063D" w:rsidRDefault="00B02ADF" w:rsidP="00595891">
            <w:r>
              <w:lastRenderedPageBreak/>
              <w:t>NHS has</w:t>
            </w:r>
            <w:r w:rsidR="00E6063D">
              <w:t xml:space="preserve"> to publish Sustainability and Transformation Plans – this was a great opportunity for us to influence the plan to ensure housing is an integrated element. It was agreed that Andy would ensure that housing was fully incorporated into his Annual Report (due to be published (Feb/Mar 2017). This will help us to influence the STP agenda.</w:t>
            </w:r>
          </w:p>
          <w:p w:rsidR="00E6063D" w:rsidRDefault="00E6063D" w:rsidP="00595891"/>
          <w:p w:rsidR="00E6063D" w:rsidRDefault="00E6063D" w:rsidP="00595891">
            <w:r>
              <w:t>Workshop proposals include:</w:t>
            </w:r>
          </w:p>
          <w:p w:rsidR="00976116" w:rsidRDefault="00E6063D" w:rsidP="00976116">
            <w:pPr>
              <w:pStyle w:val="ListParagraph"/>
              <w:numPr>
                <w:ilvl w:val="0"/>
                <w:numId w:val="1"/>
              </w:numPr>
            </w:pPr>
            <w:r>
              <w:t>DFG’s – Districts and Health working together</w:t>
            </w:r>
          </w:p>
          <w:p w:rsidR="00E6063D" w:rsidRDefault="00E6063D" w:rsidP="00976116">
            <w:pPr>
              <w:pStyle w:val="ListParagraph"/>
              <w:numPr>
                <w:ilvl w:val="0"/>
                <w:numId w:val="1"/>
              </w:numPr>
            </w:pPr>
            <w:r>
              <w:t>Homeless Reduction Act influence</w:t>
            </w:r>
            <w:r w:rsidR="00976116">
              <w:t xml:space="preserve"> (Andy Gale – to lead? AC to make contact)</w:t>
            </w:r>
          </w:p>
          <w:p w:rsidR="00E6063D" w:rsidRDefault="00E6063D" w:rsidP="00E6063D">
            <w:pPr>
              <w:pStyle w:val="ListParagraph"/>
              <w:numPr>
                <w:ilvl w:val="0"/>
                <w:numId w:val="1"/>
              </w:numPr>
            </w:pPr>
            <w:r>
              <w:t>Delayed Transfer of care</w:t>
            </w:r>
          </w:p>
          <w:p w:rsidR="00E6063D" w:rsidRDefault="00E6063D" w:rsidP="00E6063D">
            <w:pPr>
              <w:pStyle w:val="ListParagraph"/>
              <w:numPr>
                <w:ilvl w:val="0"/>
                <w:numId w:val="1"/>
              </w:numPr>
            </w:pPr>
            <w:r>
              <w:t>Accommodation Strategy – Health and accommodation needs</w:t>
            </w:r>
          </w:p>
          <w:p w:rsidR="00E6063D" w:rsidRDefault="00E6063D" w:rsidP="00E6063D">
            <w:pPr>
              <w:pStyle w:val="ListParagraph"/>
              <w:numPr>
                <w:ilvl w:val="0"/>
                <w:numId w:val="1"/>
              </w:numPr>
            </w:pPr>
            <w:r>
              <w:t>Integrated Pioneer project – Esther model</w:t>
            </w:r>
          </w:p>
          <w:p w:rsidR="00976116" w:rsidRDefault="00976116" w:rsidP="00E6063D">
            <w:pPr>
              <w:pStyle w:val="ListParagraph"/>
              <w:numPr>
                <w:ilvl w:val="0"/>
                <w:numId w:val="1"/>
              </w:numPr>
            </w:pPr>
            <w:r>
              <w:t>Development – RP and LA challenges – broadening the approach to delivery</w:t>
            </w:r>
          </w:p>
          <w:p w:rsidR="00976116" w:rsidRDefault="00976116" w:rsidP="00E6063D">
            <w:pPr>
              <w:pStyle w:val="ListParagraph"/>
              <w:numPr>
                <w:ilvl w:val="0"/>
                <w:numId w:val="1"/>
              </w:numPr>
            </w:pPr>
            <w:r>
              <w:t>Sales vs Affordable broadening of tenure</w:t>
            </w:r>
          </w:p>
          <w:p w:rsidR="00976116" w:rsidRDefault="00976116" w:rsidP="00E6063D">
            <w:pPr>
              <w:pStyle w:val="ListParagraph"/>
              <w:numPr>
                <w:ilvl w:val="0"/>
                <w:numId w:val="1"/>
              </w:numPr>
            </w:pPr>
            <w:r>
              <w:t>Affordability</w:t>
            </w:r>
          </w:p>
          <w:p w:rsidR="006E2ADB" w:rsidRDefault="006E2ADB" w:rsidP="00E6063D">
            <w:pPr>
              <w:pStyle w:val="ListParagraph"/>
              <w:numPr>
                <w:ilvl w:val="0"/>
                <w:numId w:val="1"/>
              </w:numPr>
            </w:pPr>
            <w:r>
              <w:t>Public Health/KCHT – link with front line servi</w:t>
            </w:r>
            <w:r w:rsidR="00DB7223">
              <w:t>c</w:t>
            </w:r>
            <w:r>
              <w:t>es</w:t>
            </w:r>
          </w:p>
          <w:p w:rsidR="00DB7223" w:rsidRDefault="00DB7223" w:rsidP="00E6063D">
            <w:pPr>
              <w:pStyle w:val="ListParagraph"/>
              <w:numPr>
                <w:ilvl w:val="0"/>
                <w:numId w:val="1"/>
              </w:numPr>
            </w:pPr>
            <w:r>
              <w:lastRenderedPageBreak/>
              <w:t>Mental Health</w:t>
            </w:r>
          </w:p>
          <w:p w:rsidR="00DB7223" w:rsidRDefault="00DB7223" w:rsidP="00E6063D">
            <w:pPr>
              <w:pStyle w:val="ListParagraph"/>
              <w:numPr>
                <w:ilvl w:val="0"/>
                <w:numId w:val="1"/>
              </w:numPr>
            </w:pPr>
            <w:r>
              <w:t>Young Persons (possible separate seminar) Jo Beck – Young Person’s Homelessness Adviser -  St Basil’s as speaker and Karen Sharp Head of Public Health Commissioning</w:t>
            </w:r>
          </w:p>
          <w:p w:rsidR="00976116" w:rsidRDefault="00976116" w:rsidP="00976116">
            <w:pPr>
              <w:pStyle w:val="ListParagraph"/>
            </w:pPr>
          </w:p>
          <w:p w:rsidR="00976116" w:rsidRDefault="00E6063D" w:rsidP="00E6063D">
            <w:r>
              <w:t xml:space="preserve">An invitation is to be sent to David Buck, Senior Fellow Heath and Inequalities at the Kings Fund to be a guest speaker (this will encourage health colleagues to attend). </w:t>
            </w:r>
            <w:r w:rsidR="00976116">
              <w:t>Amber to check if ASC has seen the email with the letter</w:t>
            </w:r>
          </w:p>
          <w:p w:rsidR="00976116" w:rsidRDefault="00976116" w:rsidP="00E6063D"/>
          <w:p w:rsidR="00E6063D" w:rsidRDefault="00E6063D" w:rsidP="00E6063D">
            <w:r>
              <w:t>Also agreed Cllr Roger Gough who is Chair of the Kent Health and Well Being Board should also be invited to speak.</w:t>
            </w:r>
            <w:r w:rsidR="00976116">
              <w:t xml:space="preserve"> Ne</w:t>
            </w:r>
            <w:r w:rsidR="00B02ADF">
              <w:t>ed</w:t>
            </w:r>
            <w:r w:rsidR="00976116">
              <w:t xml:space="preserve"> to agree who makes the contact add to agenda next time</w:t>
            </w:r>
          </w:p>
          <w:p w:rsidR="00E6063D" w:rsidRDefault="00E6063D" w:rsidP="00E6063D"/>
          <w:p w:rsidR="00595891" w:rsidRDefault="00A40BD6" w:rsidP="00976116">
            <w:r>
              <w:t xml:space="preserve"> </w:t>
            </w:r>
            <w:r w:rsidR="00976116">
              <w:t>No discussion on this point but we need to consider whether we would offer a free place to each CCG to encourage attendance. Discussion point for next meeting</w:t>
            </w:r>
            <w:r w:rsidR="00595891">
              <w:t>.</w:t>
            </w:r>
          </w:p>
        </w:tc>
        <w:tc>
          <w:tcPr>
            <w:tcW w:w="1193" w:type="dxa"/>
            <w:tcBorders>
              <w:top w:val="single" w:sz="4" w:space="0" w:color="auto"/>
              <w:left w:val="single" w:sz="4" w:space="0" w:color="auto"/>
              <w:bottom w:val="single" w:sz="4" w:space="0" w:color="auto"/>
              <w:right w:val="single" w:sz="4" w:space="0" w:color="auto"/>
            </w:tcBorders>
          </w:tcPr>
          <w:p w:rsidR="00C622B6" w:rsidRDefault="00A40BD6">
            <w:pPr>
              <w:rPr>
                <w:b/>
              </w:rPr>
            </w:pPr>
            <w:r w:rsidRPr="00A40BD6">
              <w:rPr>
                <w:b/>
              </w:rPr>
              <w:lastRenderedPageBreak/>
              <w:t>EM/BJ</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t>AC</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t>EM/AC</w:t>
            </w: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p>
          <w:p w:rsidR="00976116" w:rsidRDefault="00976116">
            <w:pPr>
              <w:rPr>
                <w:b/>
              </w:rPr>
            </w:pPr>
            <w:r>
              <w:rPr>
                <w:b/>
              </w:rPr>
              <w:t>EM</w:t>
            </w:r>
          </w:p>
          <w:p w:rsidR="00976116" w:rsidRDefault="00976116">
            <w:pPr>
              <w:rPr>
                <w:b/>
              </w:rPr>
            </w:pPr>
          </w:p>
          <w:p w:rsidR="00976116" w:rsidRPr="00A40BD6" w:rsidRDefault="00976116">
            <w:pPr>
              <w:rPr>
                <w:b/>
              </w:rPr>
            </w:pPr>
          </w:p>
        </w:tc>
      </w:tr>
      <w:tr w:rsidR="009C0253" w:rsidTr="009D48F0">
        <w:tc>
          <w:tcPr>
            <w:tcW w:w="550" w:type="dxa"/>
            <w:tcBorders>
              <w:top w:val="single" w:sz="4" w:space="0" w:color="auto"/>
              <w:left w:val="single" w:sz="4" w:space="0" w:color="auto"/>
              <w:bottom w:val="single" w:sz="4" w:space="0" w:color="auto"/>
              <w:right w:val="single" w:sz="4" w:space="0" w:color="auto"/>
            </w:tcBorders>
            <w:hideMark/>
          </w:tcPr>
          <w:p w:rsidR="009C0253" w:rsidRDefault="006E2ADB" w:rsidP="00CE546A">
            <w:pPr>
              <w:rPr>
                <w:b/>
              </w:rPr>
            </w:pPr>
            <w:r>
              <w:rPr>
                <w:b/>
              </w:rPr>
              <w:lastRenderedPageBreak/>
              <w:t>4</w:t>
            </w:r>
            <w:r w:rsidR="009C0253">
              <w:rPr>
                <w:b/>
              </w:rPr>
              <w:t>.</w:t>
            </w:r>
          </w:p>
        </w:tc>
        <w:tc>
          <w:tcPr>
            <w:tcW w:w="2616" w:type="dxa"/>
            <w:tcBorders>
              <w:top w:val="single" w:sz="4" w:space="0" w:color="auto"/>
              <w:left w:val="single" w:sz="4" w:space="0" w:color="auto"/>
              <w:bottom w:val="single" w:sz="4" w:space="0" w:color="auto"/>
              <w:right w:val="single" w:sz="4" w:space="0" w:color="auto"/>
            </w:tcBorders>
            <w:hideMark/>
          </w:tcPr>
          <w:p w:rsidR="009C0253" w:rsidRDefault="006E2ADB">
            <w:pPr>
              <w:rPr>
                <w:b/>
              </w:rPr>
            </w:pPr>
            <w:r>
              <w:rPr>
                <w:b/>
              </w:rPr>
              <w:t>Planning protocol/affordability workshop/Custom Build event/VRTB event/Dementia Awards</w:t>
            </w:r>
          </w:p>
        </w:tc>
        <w:tc>
          <w:tcPr>
            <w:tcW w:w="4657" w:type="dxa"/>
            <w:tcBorders>
              <w:top w:val="single" w:sz="4" w:space="0" w:color="auto"/>
              <w:left w:val="single" w:sz="4" w:space="0" w:color="auto"/>
              <w:bottom w:val="single" w:sz="4" w:space="0" w:color="auto"/>
              <w:right w:val="single" w:sz="4" w:space="0" w:color="auto"/>
            </w:tcBorders>
          </w:tcPr>
          <w:p w:rsidR="00F7131D" w:rsidRDefault="006E2ADB" w:rsidP="00BE6332">
            <w:r>
              <w:t>All went well. Need a follow up to VRTB. RS to contact Steve Nunn to progress</w:t>
            </w:r>
          </w:p>
          <w:p w:rsidR="00BE6332" w:rsidRDefault="00BE6332" w:rsidP="00BE6332"/>
        </w:tc>
        <w:tc>
          <w:tcPr>
            <w:tcW w:w="1193" w:type="dxa"/>
            <w:tcBorders>
              <w:top w:val="single" w:sz="4" w:space="0" w:color="auto"/>
              <w:left w:val="single" w:sz="4" w:space="0" w:color="auto"/>
              <w:bottom w:val="single" w:sz="4" w:space="0" w:color="auto"/>
              <w:right w:val="single" w:sz="4" w:space="0" w:color="auto"/>
            </w:tcBorders>
          </w:tcPr>
          <w:p w:rsidR="009C0253" w:rsidRPr="006E2ADB" w:rsidRDefault="006E2ADB">
            <w:pPr>
              <w:jc w:val="both"/>
              <w:rPr>
                <w:b/>
              </w:rPr>
            </w:pPr>
            <w:r>
              <w:rPr>
                <w:b/>
              </w:rPr>
              <w:t>RS</w:t>
            </w:r>
          </w:p>
        </w:tc>
      </w:tr>
      <w:tr w:rsidR="009C0253" w:rsidTr="009D48F0">
        <w:tc>
          <w:tcPr>
            <w:tcW w:w="550" w:type="dxa"/>
            <w:tcBorders>
              <w:top w:val="single" w:sz="4" w:space="0" w:color="auto"/>
              <w:left w:val="single" w:sz="4" w:space="0" w:color="auto"/>
              <w:bottom w:val="single" w:sz="4" w:space="0" w:color="auto"/>
              <w:right w:val="single" w:sz="4" w:space="0" w:color="auto"/>
            </w:tcBorders>
            <w:hideMark/>
          </w:tcPr>
          <w:p w:rsidR="009C0253" w:rsidRDefault="006E2ADB" w:rsidP="00CE546A">
            <w:pPr>
              <w:rPr>
                <w:b/>
              </w:rPr>
            </w:pPr>
            <w:r>
              <w:rPr>
                <w:b/>
              </w:rPr>
              <w:t>5</w:t>
            </w:r>
            <w:r w:rsidR="009C0253">
              <w:rPr>
                <w:b/>
              </w:rPr>
              <w:t>.</w:t>
            </w:r>
          </w:p>
        </w:tc>
        <w:tc>
          <w:tcPr>
            <w:tcW w:w="2616" w:type="dxa"/>
            <w:tcBorders>
              <w:top w:val="single" w:sz="4" w:space="0" w:color="auto"/>
              <w:left w:val="single" w:sz="4" w:space="0" w:color="auto"/>
              <w:bottom w:val="single" w:sz="4" w:space="0" w:color="auto"/>
              <w:right w:val="single" w:sz="4" w:space="0" w:color="auto"/>
            </w:tcBorders>
            <w:hideMark/>
          </w:tcPr>
          <w:p w:rsidR="009C0253" w:rsidRDefault="006E2ADB">
            <w:pPr>
              <w:rPr>
                <w:b/>
              </w:rPr>
            </w:pPr>
            <w:r>
              <w:rPr>
                <w:b/>
              </w:rPr>
              <w:t>Other events</w:t>
            </w:r>
          </w:p>
        </w:tc>
        <w:tc>
          <w:tcPr>
            <w:tcW w:w="4657" w:type="dxa"/>
            <w:tcBorders>
              <w:top w:val="single" w:sz="4" w:space="0" w:color="auto"/>
              <w:left w:val="single" w:sz="4" w:space="0" w:color="auto"/>
              <w:bottom w:val="single" w:sz="4" w:space="0" w:color="auto"/>
              <w:right w:val="single" w:sz="4" w:space="0" w:color="auto"/>
            </w:tcBorders>
          </w:tcPr>
          <w:p w:rsidR="00F82BF0" w:rsidRDefault="006E2ADB" w:rsidP="00F82BF0">
            <w:r>
              <w:t>Nothing else at this stage</w:t>
            </w:r>
          </w:p>
        </w:tc>
        <w:tc>
          <w:tcPr>
            <w:tcW w:w="1193" w:type="dxa"/>
            <w:tcBorders>
              <w:top w:val="single" w:sz="4" w:space="0" w:color="auto"/>
              <w:left w:val="single" w:sz="4" w:space="0" w:color="auto"/>
              <w:bottom w:val="single" w:sz="4" w:space="0" w:color="auto"/>
              <w:right w:val="single" w:sz="4" w:space="0" w:color="auto"/>
            </w:tcBorders>
          </w:tcPr>
          <w:p w:rsidR="00F82BF0" w:rsidRPr="00BE6332" w:rsidRDefault="00F82BF0">
            <w:pPr>
              <w:jc w:val="both"/>
              <w:rPr>
                <w:b/>
              </w:rPr>
            </w:pPr>
          </w:p>
        </w:tc>
      </w:tr>
      <w:tr w:rsidR="006D2077" w:rsidTr="009D48F0">
        <w:tc>
          <w:tcPr>
            <w:tcW w:w="550" w:type="dxa"/>
            <w:tcBorders>
              <w:top w:val="single" w:sz="4" w:space="0" w:color="auto"/>
              <w:left w:val="single" w:sz="4" w:space="0" w:color="auto"/>
              <w:bottom w:val="single" w:sz="4" w:space="0" w:color="auto"/>
              <w:right w:val="single" w:sz="4" w:space="0" w:color="auto"/>
            </w:tcBorders>
            <w:hideMark/>
          </w:tcPr>
          <w:p w:rsidR="006D2077" w:rsidRDefault="006E2ADB" w:rsidP="000D6A5C">
            <w:pPr>
              <w:rPr>
                <w:b/>
              </w:rPr>
            </w:pPr>
            <w:r>
              <w:rPr>
                <w:b/>
              </w:rPr>
              <w:t>6</w:t>
            </w:r>
            <w:r w:rsidR="006D2077">
              <w:rPr>
                <w:b/>
              </w:rPr>
              <w:t>.</w:t>
            </w:r>
          </w:p>
        </w:tc>
        <w:tc>
          <w:tcPr>
            <w:tcW w:w="2616" w:type="dxa"/>
            <w:tcBorders>
              <w:top w:val="single" w:sz="4" w:space="0" w:color="auto"/>
              <w:left w:val="single" w:sz="4" w:space="0" w:color="auto"/>
              <w:bottom w:val="single" w:sz="4" w:space="0" w:color="auto"/>
              <w:right w:val="single" w:sz="4" w:space="0" w:color="auto"/>
            </w:tcBorders>
            <w:hideMark/>
          </w:tcPr>
          <w:p w:rsidR="006D2077" w:rsidRDefault="006D2077" w:rsidP="000D6A5C">
            <w:pPr>
              <w:rPr>
                <w:b/>
              </w:rPr>
            </w:pPr>
            <w:r>
              <w:rPr>
                <w:b/>
              </w:rPr>
              <w:t>AOB</w:t>
            </w:r>
          </w:p>
        </w:tc>
        <w:tc>
          <w:tcPr>
            <w:tcW w:w="4657" w:type="dxa"/>
            <w:tcBorders>
              <w:top w:val="single" w:sz="4" w:space="0" w:color="auto"/>
              <w:left w:val="single" w:sz="4" w:space="0" w:color="auto"/>
              <w:bottom w:val="single" w:sz="4" w:space="0" w:color="auto"/>
              <w:right w:val="single" w:sz="4" w:space="0" w:color="auto"/>
            </w:tcBorders>
          </w:tcPr>
          <w:p w:rsidR="00F05FAB" w:rsidRDefault="00073F41" w:rsidP="00483201">
            <w:r>
              <w:t>None</w:t>
            </w:r>
          </w:p>
        </w:tc>
        <w:tc>
          <w:tcPr>
            <w:tcW w:w="1193" w:type="dxa"/>
            <w:tcBorders>
              <w:top w:val="single" w:sz="4" w:space="0" w:color="auto"/>
              <w:left w:val="single" w:sz="4" w:space="0" w:color="auto"/>
              <w:bottom w:val="single" w:sz="4" w:space="0" w:color="auto"/>
              <w:right w:val="single" w:sz="4" w:space="0" w:color="auto"/>
            </w:tcBorders>
          </w:tcPr>
          <w:p w:rsidR="006D2077" w:rsidRDefault="006D2077">
            <w:pPr>
              <w:jc w:val="both"/>
              <w:rPr>
                <w:b/>
                <w:sz w:val="16"/>
                <w:szCs w:val="16"/>
              </w:rPr>
            </w:pPr>
          </w:p>
        </w:tc>
      </w:tr>
      <w:tr w:rsidR="006D2077" w:rsidTr="009D48F0">
        <w:tc>
          <w:tcPr>
            <w:tcW w:w="550" w:type="dxa"/>
            <w:tcBorders>
              <w:top w:val="single" w:sz="4" w:space="0" w:color="auto"/>
              <w:left w:val="single" w:sz="4" w:space="0" w:color="auto"/>
              <w:bottom w:val="single" w:sz="4" w:space="0" w:color="auto"/>
              <w:right w:val="single" w:sz="4" w:space="0" w:color="auto"/>
            </w:tcBorders>
            <w:hideMark/>
          </w:tcPr>
          <w:p w:rsidR="006D2077" w:rsidRDefault="00073F41" w:rsidP="000D6A5C">
            <w:pPr>
              <w:rPr>
                <w:b/>
              </w:rPr>
            </w:pPr>
            <w:r>
              <w:rPr>
                <w:b/>
              </w:rPr>
              <w:t>7</w:t>
            </w:r>
            <w:r w:rsidR="006D2077">
              <w:rPr>
                <w:b/>
              </w:rPr>
              <w:t>.</w:t>
            </w:r>
          </w:p>
        </w:tc>
        <w:tc>
          <w:tcPr>
            <w:tcW w:w="2616" w:type="dxa"/>
            <w:tcBorders>
              <w:top w:val="single" w:sz="4" w:space="0" w:color="auto"/>
              <w:left w:val="single" w:sz="4" w:space="0" w:color="auto"/>
              <w:bottom w:val="single" w:sz="4" w:space="0" w:color="auto"/>
              <w:right w:val="single" w:sz="4" w:space="0" w:color="auto"/>
            </w:tcBorders>
            <w:hideMark/>
          </w:tcPr>
          <w:p w:rsidR="006D2077" w:rsidRDefault="006D2077" w:rsidP="000D6A5C">
            <w:pPr>
              <w:rPr>
                <w:b/>
              </w:rPr>
            </w:pPr>
            <w:r>
              <w:rPr>
                <w:b/>
              </w:rPr>
              <w:t>Next Meeting</w:t>
            </w:r>
          </w:p>
        </w:tc>
        <w:tc>
          <w:tcPr>
            <w:tcW w:w="4657" w:type="dxa"/>
            <w:tcBorders>
              <w:top w:val="single" w:sz="4" w:space="0" w:color="auto"/>
              <w:left w:val="single" w:sz="4" w:space="0" w:color="auto"/>
              <w:bottom w:val="single" w:sz="4" w:space="0" w:color="auto"/>
              <w:right w:val="single" w:sz="4" w:space="0" w:color="auto"/>
            </w:tcBorders>
          </w:tcPr>
          <w:p w:rsidR="006D2077" w:rsidRPr="00C622B6" w:rsidRDefault="009D48F0" w:rsidP="000D6A5C">
            <w:pPr>
              <w:ind w:left="720" w:hanging="720"/>
            </w:pPr>
            <w:r w:rsidRPr="009D48F0">
              <w:rPr>
                <w:b/>
              </w:rPr>
              <w:t>17 January 1pm – 2.30pm</w:t>
            </w:r>
            <w:r>
              <w:rPr>
                <w:b/>
              </w:rPr>
              <w:t xml:space="preserve"> AmicusHorizon</w:t>
            </w:r>
            <w:r w:rsidRPr="009D48F0">
              <w:rPr>
                <w:b/>
              </w:rPr>
              <w:t xml:space="preserve"> Roman Square Office, Sittingbourne, Kent</w:t>
            </w:r>
            <w:r w:rsidR="006D2077">
              <w:t>.</w:t>
            </w:r>
          </w:p>
          <w:p w:rsidR="006D2077" w:rsidRPr="00A8175A" w:rsidRDefault="006D2077" w:rsidP="000D6A5C">
            <w:pPr>
              <w:rPr>
                <w:b/>
              </w:rPr>
            </w:pPr>
          </w:p>
        </w:tc>
        <w:tc>
          <w:tcPr>
            <w:tcW w:w="1193" w:type="dxa"/>
            <w:tcBorders>
              <w:top w:val="single" w:sz="4" w:space="0" w:color="auto"/>
              <w:left w:val="single" w:sz="4" w:space="0" w:color="auto"/>
              <w:bottom w:val="single" w:sz="4" w:space="0" w:color="auto"/>
              <w:right w:val="single" w:sz="4" w:space="0" w:color="auto"/>
            </w:tcBorders>
          </w:tcPr>
          <w:p w:rsidR="006D2077" w:rsidRDefault="006D2077">
            <w:pPr>
              <w:jc w:val="both"/>
              <w:rPr>
                <w:b/>
                <w:sz w:val="16"/>
                <w:szCs w:val="16"/>
              </w:rPr>
            </w:pPr>
          </w:p>
        </w:tc>
      </w:tr>
    </w:tbl>
    <w:p w:rsidR="009C0253" w:rsidRDefault="009C0253" w:rsidP="009C0253"/>
    <w:p w:rsidR="009C0253" w:rsidRDefault="009C0253" w:rsidP="00044A04">
      <w:pPr>
        <w:ind w:left="720" w:hanging="720"/>
      </w:pPr>
    </w:p>
    <w:sectPr w:rsidR="009C0253" w:rsidSect="00F532C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33" w:rsidRDefault="00691033" w:rsidP="00F05FAB">
      <w:r>
        <w:separator/>
      </w:r>
    </w:p>
  </w:endnote>
  <w:endnote w:type="continuationSeparator" w:id="0">
    <w:p w:rsidR="00691033" w:rsidRDefault="00691033" w:rsidP="00F05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550"/>
      <w:docPartObj>
        <w:docPartGallery w:val="Page Numbers (Bottom of Page)"/>
        <w:docPartUnique/>
      </w:docPartObj>
    </w:sdtPr>
    <w:sdtContent>
      <w:p w:rsidR="00F05FAB" w:rsidRDefault="00926C1F">
        <w:pPr>
          <w:pStyle w:val="Footer"/>
          <w:jc w:val="center"/>
        </w:pPr>
        <w:r>
          <w:fldChar w:fldCharType="begin"/>
        </w:r>
        <w:r w:rsidR="009D48F0">
          <w:instrText xml:space="preserve"> PAGE   \* MERGEFORMAT </w:instrText>
        </w:r>
        <w:r>
          <w:fldChar w:fldCharType="separate"/>
        </w:r>
        <w:r w:rsidR="00B02ADF">
          <w:rPr>
            <w:noProof/>
          </w:rPr>
          <w:t>3</w:t>
        </w:r>
        <w:r>
          <w:rPr>
            <w:noProof/>
          </w:rPr>
          <w:fldChar w:fldCharType="end"/>
        </w:r>
      </w:p>
    </w:sdtContent>
  </w:sdt>
  <w:p w:rsidR="00F05FAB" w:rsidRDefault="00F05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33" w:rsidRDefault="00691033" w:rsidP="00F05FAB">
      <w:r>
        <w:separator/>
      </w:r>
    </w:p>
  </w:footnote>
  <w:footnote w:type="continuationSeparator" w:id="0">
    <w:p w:rsidR="00691033" w:rsidRDefault="00691033" w:rsidP="00F05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2ED3"/>
    <w:multiLevelType w:val="hybridMultilevel"/>
    <w:tmpl w:val="1F46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675A"/>
    <w:rsid w:val="00021F71"/>
    <w:rsid w:val="00023A88"/>
    <w:rsid w:val="000304AA"/>
    <w:rsid w:val="000379FF"/>
    <w:rsid w:val="00044A04"/>
    <w:rsid w:val="0004528D"/>
    <w:rsid w:val="00046F8D"/>
    <w:rsid w:val="00054E08"/>
    <w:rsid w:val="00073F41"/>
    <w:rsid w:val="000849D3"/>
    <w:rsid w:val="000A0DEA"/>
    <w:rsid w:val="000A78FC"/>
    <w:rsid w:val="000B3890"/>
    <w:rsid w:val="000B4F31"/>
    <w:rsid w:val="000F60A5"/>
    <w:rsid w:val="00112710"/>
    <w:rsid w:val="00132184"/>
    <w:rsid w:val="00150C63"/>
    <w:rsid w:val="001679E6"/>
    <w:rsid w:val="00175565"/>
    <w:rsid w:val="001763C4"/>
    <w:rsid w:val="001B5D5B"/>
    <w:rsid w:val="001C1518"/>
    <w:rsid w:val="001E1294"/>
    <w:rsid w:val="001E45A6"/>
    <w:rsid w:val="001F2B24"/>
    <w:rsid w:val="00203F58"/>
    <w:rsid w:val="00216BEC"/>
    <w:rsid w:val="0023082D"/>
    <w:rsid w:val="0023351B"/>
    <w:rsid w:val="00256C96"/>
    <w:rsid w:val="00260D6B"/>
    <w:rsid w:val="002706BD"/>
    <w:rsid w:val="00271BB0"/>
    <w:rsid w:val="00275DFF"/>
    <w:rsid w:val="002A6AF0"/>
    <w:rsid w:val="002C479D"/>
    <w:rsid w:val="002D4DF5"/>
    <w:rsid w:val="002D7E80"/>
    <w:rsid w:val="002F3DD5"/>
    <w:rsid w:val="002F3EB9"/>
    <w:rsid w:val="002F5132"/>
    <w:rsid w:val="00317389"/>
    <w:rsid w:val="00331177"/>
    <w:rsid w:val="00337F3B"/>
    <w:rsid w:val="00346B81"/>
    <w:rsid w:val="003471C3"/>
    <w:rsid w:val="0037210C"/>
    <w:rsid w:val="00387F2A"/>
    <w:rsid w:val="003F1546"/>
    <w:rsid w:val="00405CD9"/>
    <w:rsid w:val="004066E9"/>
    <w:rsid w:val="00411A7D"/>
    <w:rsid w:val="00422420"/>
    <w:rsid w:val="004225F0"/>
    <w:rsid w:val="00434024"/>
    <w:rsid w:val="004351E2"/>
    <w:rsid w:val="004766C1"/>
    <w:rsid w:val="00480C28"/>
    <w:rsid w:val="00483201"/>
    <w:rsid w:val="00493C92"/>
    <w:rsid w:val="0049691A"/>
    <w:rsid w:val="004A508B"/>
    <w:rsid w:val="004A7151"/>
    <w:rsid w:val="004D675A"/>
    <w:rsid w:val="004E3396"/>
    <w:rsid w:val="00500952"/>
    <w:rsid w:val="005046ED"/>
    <w:rsid w:val="00536171"/>
    <w:rsid w:val="00547B10"/>
    <w:rsid w:val="00577196"/>
    <w:rsid w:val="00580F3B"/>
    <w:rsid w:val="00583C05"/>
    <w:rsid w:val="005875C5"/>
    <w:rsid w:val="005906E9"/>
    <w:rsid w:val="00595891"/>
    <w:rsid w:val="005C5530"/>
    <w:rsid w:val="00640A87"/>
    <w:rsid w:val="0064783D"/>
    <w:rsid w:val="00665ED4"/>
    <w:rsid w:val="00691033"/>
    <w:rsid w:val="006C7DE5"/>
    <w:rsid w:val="006D0152"/>
    <w:rsid w:val="006D2077"/>
    <w:rsid w:val="006D5025"/>
    <w:rsid w:val="006E09FF"/>
    <w:rsid w:val="006E1C0E"/>
    <w:rsid w:val="006E2ADB"/>
    <w:rsid w:val="006E3089"/>
    <w:rsid w:val="006E4A07"/>
    <w:rsid w:val="006F5B15"/>
    <w:rsid w:val="0070246A"/>
    <w:rsid w:val="00723BBF"/>
    <w:rsid w:val="00736086"/>
    <w:rsid w:val="00741193"/>
    <w:rsid w:val="00755A1C"/>
    <w:rsid w:val="00764DE5"/>
    <w:rsid w:val="00765051"/>
    <w:rsid w:val="00767673"/>
    <w:rsid w:val="007B123E"/>
    <w:rsid w:val="007E2FEE"/>
    <w:rsid w:val="007E3891"/>
    <w:rsid w:val="008441EC"/>
    <w:rsid w:val="00844481"/>
    <w:rsid w:val="00844645"/>
    <w:rsid w:val="00845256"/>
    <w:rsid w:val="00860387"/>
    <w:rsid w:val="008756E7"/>
    <w:rsid w:val="00876863"/>
    <w:rsid w:val="008B0CE2"/>
    <w:rsid w:val="008B1FF5"/>
    <w:rsid w:val="008B447C"/>
    <w:rsid w:val="008B5F08"/>
    <w:rsid w:val="008B7596"/>
    <w:rsid w:val="008C63C5"/>
    <w:rsid w:val="009061BF"/>
    <w:rsid w:val="00921F01"/>
    <w:rsid w:val="00926C1F"/>
    <w:rsid w:val="0094761B"/>
    <w:rsid w:val="00960BC6"/>
    <w:rsid w:val="00976116"/>
    <w:rsid w:val="009C0253"/>
    <w:rsid w:val="009D48F0"/>
    <w:rsid w:val="009E7F15"/>
    <w:rsid w:val="009F33F4"/>
    <w:rsid w:val="00A0692F"/>
    <w:rsid w:val="00A20F7C"/>
    <w:rsid w:val="00A21DB3"/>
    <w:rsid w:val="00A23F7A"/>
    <w:rsid w:val="00A40BD6"/>
    <w:rsid w:val="00A40F6B"/>
    <w:rsid w:val="00A620D5"/>
    <w:rsid w:val="00A73FB6"/>
    <w:rsid w:val="00A757C1"/>
    <w:rsid w:val="00A8175A"/>
    <w:rsid w:val="00AA1025"/>
    <w:rsid w:val="00AA7DE8"/>
    <w:rsid w:val="00AC0C54"/>
    <w:rsid w:val="00AF2496"/>
    <w:rsid w:val="00B02ADF"/>
    <w:rsid w:val="00B043B0"/>
    <w:rsid w:val="00B06E46"/>
    <w:rsid w:val="00B31383"/>
    <w:rsid w:val="00B45C00"/>
    <w:rsid w:val="00B51B18"/>
    <w:rsid w:val="00B54DC8"/>
    <w:rsid w:val="00B56456"/>
    <w:rsid w:val="00B74D7C"/>
    <w:rsid w:val="00BC0E7F"/>
    <w:rsid w:val="00BC7862"/>
    <w:rsid w:val="00BE6332"/>
    <w:rsid w:val="00C00B91"/>
    <w:rsid w:val="00C41EBD"/>
    <w:rsid w:val="00C47A0E"/>
    <w:rsid w:val="00C5368C"/>
    <w:rsid w:val="00C622B6"/>
    <w:rsid w:val="00C85D5A"/>
    <w:rsid w:val="00C87336"/>
    <w:rsid w:val="00CA1328"/>
    <w:rsid w:val="00CA4785"/>
    <w:rsid w:val="00CB08F1"/>
    <w:rsid w:val="00CB69C6"/>
    <w:rsid w:val="00CB6A1B"/>
    <w:rsid w:val="00CE546A"/>
    <w:rsid w:val="00D02CA8"/>
    <w:rsid w:val="00D2300B"/>
    <w:rsid w:val="00D26EA0"/>
    <w:rsid w:val="00D710EB"/>
    <w:rsid w:val="00D8171D"/>
    <w:rsid w:val="00D94C89"/>
    <w:rsid w:val="00DB645B"/>
    <w:rsid w:val="00DB7223"/>
    <w:rsid w:val="00E04946"/>
    <w:rsid w:val="00E07ED5"/>
    <w:rsid w:val="00E12D04"/>
    <w:rsid w:val="00E310DF"/>
    <w:rsid w:val="00E43926"/>
    <w:rsid w:val="00E6063D"/>
    <w:rsid w:val="00E72A26"/>
    <w:rsid w:val="00E821FD"/>
    <w:rsid w:val="00E84C3C"/>
    <w:rsid w:val="00EA2D29"/>
    <w:rsid w:val="00EA7315"/>
    <w:rsid w:val="00EC5577"/>
    <w:rsid w:val="00ED6F45"/>
    <w:rsid w:val="00EF538C"/>
    <w:rsid w:val="00F05FAB"/>
    <w:rsid w:val="00F331DA"/>
    <w:rsid w:val="00F532C8"/>
    <w:rsid w:val="00F57FAE"/>
    <w:rsid w:val="00F7131D"/>
    <w:rsid w:val="00F8041D"/>
    <w:rsid w:val="00F82BF0"/>
    <w:rsid w:val="00FC31DF"/>
    <w:rsid w:val="00FF0800"/>
    <w:rsid w:val="00FF3E2B"/>
    <w:rsid w:val="00FF7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D9"/>
    <w:rPr>
      <w:color w:val="0000FF" w:themeColor="hyperlink"/>
      <w:u w:val="single"/>
    </w:rPr>
  </w:style>
  <w:style w:type="paragraph" w:styleId="Header">
    <w:name w:val="header"/>
    <w:basedOn w:val="Normal"/>
    <w:link w:val="HeaderChar"/>
    <w:uiPriority w:val="99"/>
    <w:semiHidden/>
    <w:unhideWhenUsed/>
    <w:rsid w:val="00F05FAB"/>
    <w:pPr>
      <w:tabs>
        <w:tab w:val="center" w:pos="4513"/>
        <w:tab w:val="right" w:pos="9026"/>
      </w:tabs>
    </w:pPr>
  </w:style>
  <w:style w:type="character" w:customStyle="1" w:styleId="HeaderChar">
    <w:name w:val="Header Char"/>
    <w:basedOn w:val="DefaultParagraphFont"/>
    <w:link w:val="Header"/>
    <w:uiPriority w:val="99"/>
    <w:semiHidden/>
    <w:rsid w:val="00F05FA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05FAB"/>
    <w:pPr>
      <w:tabs>
        <w:tab w:val="center" w:pos="4513"/>
        <w:tab w:val="right" w:pos="9026"/>
      </w:tabs>
    </w:pPr>
  </w:style>
  <w:style w:type="character" w:customStyle="1" w:styleId="FooterChar">
    <w:name w:val="Footer Char"/>
    <w:basedOn w:val="DefaultParagraphFont"/>
    <w:link w:val="Footer"/>
    <w:uiPriority w:val="99"/>
    <w:rsid w:val="00F05FAB"/>
    <w:rPr>
      <w:rFonts w:ascii="Arial" w:eastAsia="Times New Roman" w:hAnsi="Arial" w:cs="Times New Roman"/>
      <w:sz w:val="24"/>
      <w:szCs w:val="24"/>
      <w:lang w:eastAsia="en-GB"/>
    </w:rPr>
  </w:style>
  <w:style w:type="paragraph" w:styleId="ListParagraph">
    <w:name w:val="List Paragraph"/>
    <w:basedOn w:val="Normal"/>
    <w:uiPriority w:val="34"/>
    <w:qFormat/>
    <w:rsid w:val="00E6063D"/>
    <w:pPr>
      <w:ind w:left="720"/>
      <w:contextualSpacing/>
    </w:pPr>
  </w:style>
</w:styles>
</file>

<file path=word/webSettings.xml><?xml version="1.0" encoding="utf-8"?>
<w:webSettings xmlns:r="http://schemas.openxmlformats.org/officeDocument/2006/relationships" xmlns:w="http://schemas.openxmlformats.org/wordprocessingml/2006/main">
  <w:divs>
    <w:div w:id="31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C0A0-39C0-4ED2-8E31-C6015699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jpells</cp:lastModifiedBy>
  <cp:revision>2</cp:revision>
  <dcterms:created xsi:type="dcterms:W3CDTF">2017-01-10T10:31:00Z</dcterms:created>
  <dcterms:modified xsi:type="dcterms:W3CDTF">2017-01-10T10:31:00Z</dcterms:modified>
</cp:coreProperties>
</file>