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E6" w:rsidRPr="00833882" w:rsidRDefault="00E12A27" w:rsidP="00833882">
      <w:pPr>
        <w:jc w:val="center"/>
        <w:rPr>
          <w:b/>
          <w:sz w:val="36"/>
          <w:szCs w:val="36"/>
        </w:rPr>
      </w:pPr>
      <w:bookmarkStart w:id="0" w:name="_GoBack"/>
      <w:bookmarkEnd w:id="0"/>
      <w:r w:rsidRPr="00833882">
        <w:rPr>
          <w:b/>
          <w:sz w:val="36"/>
          <w:szCs w:val="36"/>
        </w:rPr>
        <w:t>SYRIAN VULNERABLE PERSONS RELOCATION SCHEME</w:t>
      </w:r>
    </w:p>
    <w:p w:rsidR="00E12A27" w:rsidRDefault="00E12A27" w:rsidP="00833882">
      <w:pPr>
        <w:jc w:val="center"/>
        <w:rPr>
          <w:b/>
          <w:sz w:val="32"/>
          <w:szCs w:val="32"/>
        </w:rPr>
      </w:pPr>
      <w:r w:rsidRPr="00833882">
        <w:rPr>
          <w:b/>
          <w:sz w:val="32"/>
          <w:szCs w:val="32"/>
        </w:rPr>
        <w:t>Update for the Kent Housing Group – 20 January 2016</w:t>
      </w:r>
    </w:p>
    <w:p w:rsidR="00833882" w:rsidRPr="009317E4" w:rsidRDefault="00833882" w:rsidP="00833882">
      <w:pPr>
        <w:jc w:val="center"/>
        <w:rPr>
          <w:b/>
          <w:sz w:val="16"/>
          <w:szCs w:val="16"/>
        </w:rPr>
      </w:pPr>
    </w:p>
    <w:p w:rsidR="000B0613" w:rsidRDefault="00330F33" w:rsidP="000B0613">
      <w:pPr>
        <w:rPr>
          <w:rFonts w:ascii="Arial" w:hAnsi="Arial" w:cs="Arial"/>
          <w:color w:val="000000"/>
        </w:rPr>
      </w:pPr>
      <w:r>
        <w:rPr>
          <w:rFonts w:ascii="Arial" w:hAnsi="Arial" w:cs="Arial"/>
          <w:color w:val="000000"/>
        </w:rPr>
        <w:t xml:space="preserve">Discussions with individual districts are ongoing.  In addition to further Kent-wide meetings, separate meetings are being held with individual districts.  </w:t>
      </w:r>
      <w:r w:rsidR="000B0613" w:rsidRPr="004153C6">
        <w:rPr>
          <w:rFonts w:ascii="Arial" w:hAnsi="Arial" w:cs="Arial"/>
          <w:color w:val="000000"/>
        </w:rPr>
        <w:t xml:space="preserve">The latest position on indicative numbers is shown in the table below.  </w:t>
      </w:r>
    </w:p>
    <w:p w:rsidR="009317E4" w:rsidRPr="00330F33" w:rsidRDefault="009317E4" w:rsidP="000B0613">
      <w:pPr>
        <w:rPr>
          <w:rFonts w:ascii="Arial" w:hAnsi="Arial" w:cs="Arial"/>
          <w:color w:val="000000"/>
          <w:sz w:val="16"/>
          <w:szCs w:val="16"/>
        </w:rPr>
      </w:pPr>
    </w:p>
    <w:tbl>
      <w:tblPr>
        <w:tblStyle w:val="TableGrid"/>
        <w:tblW w:w="0" w:type="auto"/>
        <w:tblLook w:val="04A0" w:firstRow="1" w:lastRow="0" w:firstColumn="1" w:lastColumn="0" w:noHBand="0" w:noVBand="1"/>
      </w:tblPr>
      <w:tblGrid>
        <w:gridCol w:w="3209"/>
        <w:gridCol w:w="3209"/>
        <w:gridCol w:w="3210"/>
      </w:tblGrid>
      <w:tr w:rsidR="000B0613" w:rsidRPr="004153C6" w:rsidTr="004C3A1E">
        <w:tc>
          <w:tcPr>
            <w:tcW w:w="3209" w:type="dxa"/>
          </w:tcPr>
          <w:p w:rsidR="000B0613" w:rsidRPr="004153C6" w:rsidRDefault="000B0613" w:rsidP="004C3A1E">
            <w:pPr>
              <w:rPr>
                <w:rFonts w:ascii="Arial" w:hAnsi="Arial" w:cs="Arial"/>
                <w:b/>
                <w:color w:val="000000"/>
                <w:sz w:val="24"/>
                <w:szCs w:val="24"/>
              </w:rPr>
            </w:pPr>
            <w:r w:rsidRPr="004153C6">
              <w:rPr>
                <w:rFonts w:ascii="Arial" w:hAnsi="Arial" w:cs="Arial"/>
                <w:b/>
                <w:color w:val="000000"/>
                <w:sz w:val="24"/>
                <w:szCs w:val="24"/>
              </w:rPr>
              <w:t>District/Borough</w:t>
            </w:r>
          </w:p>
        </w:tc>
        <w:tc>
          <w:tcPr>
            <w:tcW w:w="3209" w:type="dxa"/>
          </w:tcPr>
          <w:p w:rsidR="000B0613" w:rsidRPr="004153C6" w:rsidRDefault="000B0613" w:rsidP="004C3A1E">
            <w:pPr>
              <w:rPr>
                <w:rFonts w:ascii="Arial" w:hAnsi="Arial" w:cs="Arial"/>
                <w:b/>
                <w:color w:val="000000"/>
                <w:sz w:val="24"/>
                <w:szCs w:val="24"/>
              </w:rPr>
            </w:pPr>
            <w:r w:rsidRPr="004153C6">
              <w:rPr>
                <w:rFonts w:ascii="Arial" w:hAnsi="Arial" w:cs="Arial"/>
                <w:b/>
                <w:color w:val="000000"/>
                <w:sz w:val="24"/>
                <w:szCs w:val="24"/>
              </w:rPr>
              <w:t>Number over the 5 years</w:t>
            </w:r>
          </w:p>
        </w:tc>
        <w:tc>
          <w:tcPr>
            <w:tcW w:w="3210" w:type="dxa"/>
          </w:tcPr>
          <w:p w:rsidR="000B0613" w:rsidRPr="004153C6" w:rsidRDefault="000B0613" w:rsidP="004C3A1E">
            <w:pPr>
              <w:rPr>
                <w:rFonts w:ascii="Arial" w:hAnsi="Arial" w:cs="Arial"/>
                <w:b/>
                <w:color w:val="000000"/>
                <w:sz w:val="24"/>
                <w:szCs w:val="24"/>
              </w:rPr>
            </w:pPr>
            <w:r w:rsidRPr="004153C6">
              <w:rPr>
                <w:rFonts w:ascii="Arial" w:hAnsi="Arial" w:cs="Arial"/>
                <w:b/>
                <w:color w:val="000000"/>
                <w:sz w:val="24"/>
                <w:szCs w:val="24"/>
              </w:rPr>
              <w:t>Number before Christmas</w:t>
            </w:r>
          </w:p>
        </w:tc>
      </w:tr>
      <w:tr w:rsidR="000B0613" w:rsidRPr="004153C6" w:rsidTr="004C3A1E">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ASHFORD</w:t>
            </w:r>
          </w:p>
        </w:tc>
        <w:tc>
          <w:tcPr>
            <w:tcW w:w="3209" w:type="dxa"/>
          </w:tcPr>
          <w:p w:rsidR="000B0613" w:rsidRPr="004153C6" w:rsidRDefault="000B0613" w:rsidP="004C3A1E">
            <w:pPr>
              <w:rPr>
                <w:rFonts w:ascii="Arial" w:hAnsi="Arial" w:cs="Arial"/>
                <w:color w:val="000000"/>
                <w:sz w:val="24"/>
                <w:szCs w:val="24"/>
              </w:rPr>
            </w:pPr>
            <w:r>
              <w:rPr>
                <w:rFonts w:ascii="Arial" w:hAnsi="Arial" w:cs="Arial"/>
                <w:color w:val="000000"/>
                <w:sz w:val="24"/>
                <w:szCs w:val="24"/>
              </w:rPr>
              <w:t>2</w:t>
            </w:r>
            <w:r w:rsidRPr="004153C6">
              <w:rPr>
                <w:rFonts w:ascii="Arial" w:hAnsi="Arial" w:cs="Arial"/>
                <w:color w:val="000000"/>
                <w:sz w:val="24"/>
                <w:szCs w:val="24"/>
              </w:rPr>
              <w:t xml:space="preserve">50 </w:t>
            </w:r>
            <w:r>
              <w:rPr>
                <w:rFonts w:ascii="Arial" w:hAnsi="Arial" w:cs="Arial"/>
                <w:color w:val="000000"/>
                <w:sz w:val="24"/>
                <w:szCs w:val="24"/>
              </w:rPr>
              <w:t>people (approx 50 families)</w:t>
            </w:r>
          </w:p>
        </w:tc>
        <w:tc>
          <w:tcPr>
            <w:tcW w:w="3210"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3 families</w:t>
            </w:r>
          </w:p>
        </w:tc>
      </w:tr>
      <w:tr w:rsidR="000B0613" w:rsidRPr="004153C6" w:rsidTr="004C3A1E">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CANTERBURY</w:t>
            </w:r>
          </w:p>
        </w:tc>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TBC</w:t>
            </w:r>
          </w:p>
        </w:tc>
        <w:tc>
          <w:tcPr>
            <w:tcW w:w="3210"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None</w:t>
            </w:r>
          </w:p>
        </w:tc>
      </w:tr>
      <w:tr w:rsidR="000B0613" w:rsidRPr="004153C6" w:rsidTr="004C3A1E">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DARTFORD</w:t>
            </w:r>
          </w:p>
        </w:tc>
        <w:tc>
          <w:tcPr>
            <w:tcW w:w="3209" w:type="dxa"/>
          </w:tcPr>
          <w:p w:rsidR="000B0613" w:rsidRPr="004153C6" w:rsidRDefault="009317E4" w:rsidP="009317E4">
            <w:pPr>
              <w:rPr>
                <w:rFonts w:ascii="Arial" w:hAnsi="Arial" w:cs="Arial"/>
                <w:color w:val="000000"/>
                <w:sz w:val="24"/>
                <w:szCs w:val="24"/>
              </w:rPr>
            </w:pPr>
            <w:r>
              <w:rPr>
                <w:rFonts w:ascii="Arial" w:hAnsi="Arial" w:cs="Arial"/>
                <w:color w:val="000000"/>
                <w:sz w:val="24"/>
                <w:szCs w:val="24"/>
              </w:rPr>
              <w:t>One at a time and will be reviewed.</w:t>
            </w:r>
          </w:p>
        </w:tc>
        <w:tc>
          <w:tcPr>
            <w:tcW w:w="3210"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None</w:t>
            </w:r>
          </w:p>
        </w:tc>
      </w:tr>
      <w:tr w:rsidR="000B0613" w:rsidRPr="004153C6" w:rsidTr="004C3A1E">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DOVER</w:t>
            </w:r>
          </w:p>
        </w:tc>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12 families</w:t>
            </w:r>
          </w:p>
        </w:tc>
        <w:tc>
          <w:tcPr>
            <w:tcW w:w="3210" w:type="dxa"/>
          </w:tcPr>
          <w:p w:rsidR="000B0613" w:rsidRPr="004153C6" w:rsidRDefault="000757A1" w:rsidP="004C3A1E">
            <w:pPr>
              <w:rPr>
                <w:rFonts w:ascii="Arial" w:hAnsi="Arial" w:cs="Arial"/>
                <w:color w:val="000000"/>
                <w:sz w:val="24"/>
                <w:szCs w:val="24"/>
              </w:rPr>
            </w:pPr>
            <w:r>
              <w:rPr>
                <w:rFonts w:ascii="Arial" w:hAnsi="Arial" w:cs="Arial"/>
                <w:color w:val="000000"/>
                <w:sz w:val="24"/>
                <w:szCs w:val="24"/>
              </w:rPr>
              <w:t>None</w:t>
            </w:r>
          </w:p>
        </w:tc>
      </w:tr>
      <w:tr w:rsidR="000B0613" w:rsidRPr="004153C6" w:rsidTr="004C3A1E">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GRAVESHAM</w:t>
            </w:r>
          </w:p>
        </w:tc>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5 families</w:t>
            </w:r>
          </w:p>
        </w:tc>
        <w:tc>
          <w:tcPr>
            <w:tcW w:w="3210"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None</w:t>
            </w:r>
          </w:p>
        </w:tc>
      </w:tr>
      <w:tr w:rsidR="000B0613" w:rsidRPr="004153C6" w:rsidTr="004C3A1E">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MAIDSTONE</w:t>
            </w:r>
          </w:p>
        </w:tc>
        <w:tc>
          <w:tcPr>
            <w:tcW w:w="3209" w:type="dxa"/>
          </w:tcPr>
          <w:p w:rsidR="000B0613" w:rsidRPr="004153C6" w:rsidRDefault="009317E4" w:rsidP="004C3A1E">
            <w:pPr>
              <w:rPr>
                <w:rFonts w:ascii="Arial" w:hAnsi="Arial" w:cs="Arial"/>
                <w:color w:val="000000"/>
                <w:sz w:val="24"/>
                <w:szCs w:val="24"/>
              </w:rPr>
            </w:pPr>
            <w:r>
              <w:rPr>
                <w:rFonts w:ascii="Arial" w:hAnsi="Arial" w:cs="Arial"/>
                <w:color w:val="000000"/>
                <w:sz w:val="24"/>
                <w:szCs w:val="24"/>
              </w:rPr>
              <w:t xml:space="preserve">TBC </w:t>
            </w:r>
          </w:p>
        </w:tc>
        <w:tc>
          <w:tcPr>
            <w:tcW w:w="3210"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None</w:t>
            </w:r>
          </w:p>
        </w:tc>
      </w:tr>
      <w:tr w:rsidR="000B0613" w:rsidRPr="004153C6" w:rsidTr="004C3A1E">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SEVENOAKS</w:t>
            </w:r>
          </w:p>
        </w:tc>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Cannot commit at present</w:t>
            </w:r>
          </w:p>
        </w:tc>
        <w:tc>
          <w:tcPr>
            <w:tcW w:w="3210"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None</w:t>
            </w:r>
          </w:p>
        </w:tc>
      </w:tr>
      <w:tr w:rsidR="000B0613" w:rsidRPr="004153C6" w:rsidTr="004C3A1E">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SHEPWAY</w:t>
            </w:r>
          </w:p>
        </w:tc>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10 families</w:t>
            </w:r>
          </w:p>
        </w:tc>
        <w:tc>
          <w:tcPr>
            <w:tcW w:w="3210"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None</w:t>
            </w:r>
          </w:p>
        </w:tc>
      </w:tr>
      <w:tr w:rsidR="000B0613" w:rsidRPr="004153C6" w:rsidTr="004C3A1E">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SWALE</w:t>
            </w:r>
          </w:p>
        </w:tc>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 xml:space="preserve">TBC </w:t>
            </w:r>
          </w:p>
        </w:tc>
        <w:tc>
          <w:tcPr>
            <w:tcW w:w="3210"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None</w:t>
            </w:r>
          </w:p>
        </w:tc>
      </w:tr>
      <w:tr w:rsidR="000B0613" w:rsidRPr="004153C6" w:rsidTr="004C3A1E">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THANET</w:t>
            </w:r>
          </w:p>
        </w:tc>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8 families</w:t>
            </w:r>
          </w:p>
        </w:tc>
        <w:tc>
          <w:tcPr>
            <w:tcW w:w="3210"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None</w:t>
            </w:r>
          </w:p>
        </w:tc>
      </w:tr>
      <w:tr w:rsidR="000B0613" w:rsidRPr="004153C6" w:rsidTr="004C3A1E">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TONBRIDGE &amp; MALLING</w:t>
            </w:r>
          </w:p>
        </w:tc>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10 families</w:t>
            </w:r>
          </w:p>
        </w:tc>
        <w:tc>
          <w:tcPr>
            <w:tcW w:w="3210" w:type="dxa"/>
          </w:tcPr>
          <w:p w:rsidR="000B0613" w:rsidRPr="004153C6" w:rsidRDefault="009317E4" w:rsidP="004C3A1E">
            <w:pPr>
              <w:rPr>
                <w:rFonts w:ascii="Arial" w:hAnsi="Arial" w:cs="Arial"/>
                <w:color w:val="000000"/>
                <w:sz w:val="24"/>
                <w:szCs w:val="24"/>
              </w:rPr>
            </w:pPr>
            <w:r>
              <w:rPr>
                <w:rFonts w:ascii="Arial" w:hAnsi="Arial" w:cs="Arial"/>
                <w:color w:val="000000"/>
                <w:sz w:val="24"/>
                <w:szCs w:val="24"/>
              </w:rPr>
              <w:t>None</w:t>
            </w:r>
            <w:r w:rsidR="000B0613" w:rsidRPr="004153C6">
              <w:rPr>
                <w:rFonts w:ascii="Arial" w:hAnsi="Arial" w:cs="Arial"/>
                <w:color w:val="000000"/>
                <w:sz w:val="24"/>
                <w:szCs w:val="24"/>
              </w:rPr>
              <w:t xml:space="preserve"> </w:t>
            </w:r>
          </w:p>
        </w:tc>
      </w:tr>
      <w:tr w:rsidR="000B0613" w:rsidRPr="004153C6" w:rsidTr="004C3A1E">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TUNBRIDGE WELLS</w:t>
            </w:r>
          </w:p>
        </w:tc>
        <w:tc>
          <w:tcPr>
            <w:tcW w:w="3209"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10 families</w:t>
            </w:r>
          </w:p>
        </w:tc>
        <w:tc>
          <w:tcPr>
            <w:tcW w:w="3210" w:type="dxa"/>
          </w:tcPr>
          <w:p w:rsidR="000B0613" w:rsidRPr="004153C6" w:rsidRDefault="000B0613" w:rsidP="004C3A1E">
            <w:pPr>
              <w:rPr>
                <w:rFonts w:ascii="Arial" w:hAnsi="Arial" w:cs="Arial"/>
                <w:color w:val="000000"/>
                <w:sz w:val="24"/>
                <w:szCs w:val="24"/>
              </w:rPr>
            </w:pPr>
            <w:r w:rsidRPr="004153C6">
              <w:rPr>
                <w:rFonts w:ascii="Arial" w:hAnsi="Arial" w:cs="Arial"/>
                <w:color w:val="000000"/>
                <w:sz w:val="24"/>
                <w:szCs w:val="24"/>
              </w:rPr>
              <w:t>2 families</w:t>
            </w:r>
          </w:p>
        </w:tc>
      </w:tr>
      <w:tr w:rsidR="000B0613" w:rsidRPr="004153C6" w:rsidTr="004C3A1E">
        <w:tc>
          <w:tcPr>
            <w:tcW w:w="3209" w:type="dxa"/>
          </w:tcPr>
          <w:p w:rsidR="000B0613" w:rsidRPr="004153C6" w:rsidRDefault="000B0613" w:rsidP="004C3A1E">
            <w:pPr>
              <w:rPr>
                <w:rFonts w:ascii="Arial" w:hAnsi="Arial" w:cs="Arial"/>
                <w:b/>
                <w:color w:val="000000"/>
                <w:sz w:val="24"/>
                <w:szCs w:val="24"/>
              </w:rPr>
            </w:pPr>
            <w:r w:rsidRPr="004153C6">
              <w:rPr>
                <w:rFonts w:ascii="Arial" w:hAnsi="Arial" w:cs="Arial"/>
                <w:b/>
                <w:color w:val="000000"/>
                <w:sz w:val="24"/>
                <w:szCs w:val="24"/>
              </w:rPr>
              <w:t>TOTAL</w:t>
            </w:r>
          </w:p>
        </w:tc>
        <w:tc>
          <w:tcPr>
            <w:tcW w:w="3209" w:type="dxa"/>
          </w:tcPr>
          <w:p w:rsidR="000B0613" w:rsidRPr="004153C6" w:rsidRDefault="000B0613" w:rsidP="004C3A1E">
            <w:pPr>
              <w:rPr>
                <w:rFonts w:ascii="Arial" w:hAnsi="Arial" w:cs="Arial"/>
                <w:b/>
                <w:color w:val="000000"/>
                <w:sz w:val="24"/>
                <w:szCs w:val="24"/>
              </w:rPr>
            </w:pPr>
            <w:r w:rsidRPr="004153C6">
              <w:rPr>
                <w:rFonts w:ascii="Arial" w:hAnsi="Arial" w:cs="Arial"/>
                <w:b/>
                <w:color w:val="000000"/>
                <w:sz w:val="24"/>
                <w:szCs w:val="24"/>
              </w:rPr>
              <w:t>105 families</w:t>
            </w:r>
          </w:p>
        </w:tc>
        <w:tc>
          <w:tcPr>
            <w:tcW w:w="3210" w:type="dxa"/>
          </w:tcPr>
          <w:p w:rsidR="000B0613" w:rsidRPr="004153C6" w:rsidRDefault="000757A1" w:rsidP="004C3A1E">
            <w:pPr>
              <w:rPr>
                <w:rFonts w:ascii="Arial" w:hAnsi="Arial" w:cs="Arial"/>
                <w:b/>
                <w:color w:val="000000"/>
                <w:sz w:val="24"/>
                <w:szCs w:val="24"/>
              </w:rPr>
            </w:pPr>
            <w:r>
              <w:rPr>
                <w:rFonts w:ascii="Arial" w:hAnsi="Arial" w:cs="Arial"/>
                <w:b/>
                <w:color w:val="000000"/>
                <w:sz w:val="24"/>
                <w:szCs w:val="24"/>
              </w:rPr>
              <w:t>5</w:t>
            </w:r>
            <w:r w:rsidR="000B0613" w:rsidRPr="004153C6">
              <w:rPr>
                <w:rFonts w:ascii="Arial" w:hAnsi="Arial" w:cs="Arial"/>
                <w:b/>
                <w:color w:val="000000"/>
                <w:sz w:val="24"/>
                <w:szCs w:val="24"/>
              </w:rPr>
              <w:t xml:space="preserve"> families</w:t>
            </w:r>
          </w:p>
        </w:tc>
      </w:tr>
    </w:tbl>
    <w:p w:rsidR="000B0613" w:rsidRDefault="000B0613" w:rsidP="000B0613">
      <w:pPr>
        <w:rPr>
          <w:rFonts w:ascii="Arial" w:hAnsi="Arial" w:cs="Arial"/>
          <w:color w:val="000000"/>
        </w:rPr>
      </w:pPr>
    </w:p>
    <w:p w:rsidR="00330F33" w:rsidRPr="00942257" w:rsidRDefault="00330F33" w:rsidP="000B0613">
      <w:pPr>
        <w:rPr>
          <w:rFonts w:ascii="Arial" w:hAnsi="Arial" w:cs="Arial"/>
          <w:b/>
          <w:color w:val="000000"/>
          <w:u w:val="single"/>
        </w:rPr>
      </w:pPr>
      <w:r w:rsidRPr="00942257">
        <w:rPr>
          <w:rFonts w:ascii="Arial" w:hAnsi="Arial" w:cs="Arial"/>
          <w:b/>
          <w:color w:val="000000"/>
          <w:u w:val="single"/>
        </w:rPr>
        <w:t>Arrivals so far</w:t>
      </w:r>
    </w:p>
    <w:p w:rsidR="00330F33" w:rsidRDefault="00330F33" w:rsidP="000B0613">
      <w:pPr>
        <w:rPr>
          <w:rFonts w:ascii="Arial" w:hAnsi="Arial" w:cs="Arial"/>
          <w:color w:val="000000"/>
        </w:rPr>
      </w:pPr>
      <w:r>
        <w:rPr>
          <w:rFonts w:ascii="Arial" w:hAnsi="Arial" w:cs="Arial"/>
          <w:color w:val="000000"/>
        </w:rPr>
        <w:t xml:space="preserve">On 16 December five families arrived – three for Ashford and two for Tunbridge Wells. So far </w:t>
      </w:r>
      <w:r w:rsidR="009B06DB">
        <w:rPr>
          <w:rFonts w:ascii="Arial" w:hAnsi="Arial" w:cs="Arial"/>
          <w:color w:val="000000"/>
        </w:rPr>
        <w:t xml:space="preserve">things are going well.  All families are receiving intensive resettlement support – in Ashford this is being provided by Ashford Borough Council staff and in Tunbridge Wells by Rethink (supported by TWBC staff where appropriate and KCC services).  </w:t>
      </w:r>
    </w:p>
    <w:p w:rsidR="009B06DB" w:rsidRDefault="009B06DB" w:rsidP="000B0613">
      <w:pPr>
        <w:rPr>
          <w:rFonts w:ascii="Arial" w:hAnsi="Arial" w:cs="Arial"/>
          <w:color w:val="000000"/>
        </w:rPr>
      </w:pPr>
      <w:r>
        <w:rPr>
          <w:rFonts w:ascii="Arial" w:hAnsi="Arial" w:cs="Arial"/>
          <w:color w:val="000000"/>
        </w:rPr>
        <w:t xml:space="preserve">NB:  in addition to Rethink, KCC is commissioning Migrant Help to provide the support in several areas, including all </w:t>
      </w:r>
      <w:r w:rsidR="000757A1">
        <w:rPr>
          <w:rFonts w:ascii="Arial" w:hAnsi="Arial" w:cs="Arial"/>
          <w:color w:val="000000"/>
        </w:rPr>
        <w:t>the East Kent districts that wish to participate (apart from Ashford who are providing this support themselves).</w:t>
      </w:r>
    </w:p>
    <w:p w:rsidR="009B06DB" w:rsidRDefault="009B06DB" w:rsidP="000B0613">
      <w:pPr>
        <w:rPr>
          <w:rFonts w:ascii="Arial" w:hAnsi="Arial" w:cs="Arial"/>
          <w:color w:val="000000"/>
        </w:rPr>
      </w:pPr>
    </w:p>
    <w:p w:rsidR="000B0613" w:rsidRPr="00AC34DD" w:rsidRDefault="000B0613" w:rsidP="000B0613">
      <w:pPr>
        <w:rPr>
          <w:rFonts w:ascii="Arial" w:hAnsi="Arial" w:cs="Arial"/>
          <w:bCs/>
          <w:color w:val="000000"/>
        </w:rPr>
      </w:pPr>
      <w:r w:rsidRPr="001C35DC">
        <w:rPr>
          <w:rFonts w:ascii="Arial" w:hAnsi="Arial" w:cs="Arial"/>
          <w:b/>
          <w:bCs/>
          <w:color w:val="000000"/>
          <w:u w:val="single"/>
        </w:rPr>
        <w:t>Funding:</w:t>
      </w:r>
      <w:r w:rsidRPr="004153C6">
        <w:rPr>
          <w:rFonts w:ascii="Arial" w:hAnsi="Arial" w:cs="Arial"/>
          <w:b/>
          <w:bCs/>
          <w:color w:val="000000"/>
        </w:rPr>
        <w:t xml:space="preserve">  </w:t>
      </w:r>
      <w:r w:rsidRPr="00AC34DD">
        <w:rPr>
          <w:rFonts w:ascii="Arial" w:hAnsi="Arial" w:cs="Arial"/>
          <w:bCs/>
          <w:color w:val="000000"/>
        </w:rPr>
        <w:t xml:space="preserve">the funding for </w:t>
      </w:r>
      <w:r>
        <w:rPr>
          <w:rFonts w:ascii="Arial" w:hAnsi="Arial" w:cs="Arial"/>
          <w:bCs/>
          <w:color w:val="000000"/>
        </w:rPr>
        <w:t xml:space="preserve">local authorities for </w:t>
      </w:r>
      <w:r w:rsidRPr="00AC34DD">
        <w:rPr>
          <w:rFonts w:ascii="Arial" w:hAnsi="Arial" w:cs="Arial"/>
          <w:bCs/>
          <w:color w:val="000000"/>
        </w:rPr>
        <w:t xml:space="preserve">year one </w:t>
      </w:r>
      <w:r w:rsidR="007E5562">
        <w:rPr>
          <w:rFonts w:ascii="Arial" w:hAnsi="Arial" w:cs="Arial"/>
          <w:bCs/>
          <w:color w:val="000000"/>
        </w:rPr>
        <w:t xml:space="preserve">is </w:t>
      </w:r>
      <w:r w:rsidRPr="00AC34DD">
        <w:rPr>
          <w:rFonts w:ascii="Arial" w:hAnsi="Arial" w:cs="Arial"/>
          <w:bCs/>
          <w:color w:val="000000"/>
        </w:rPr>
        <w:t>as follows:</w:t>
      </w:r>
    </w:p>
    <w:p w:rsidR="000B0613" w:rsidRDefault="000B0613" w:rsidP="000B0613">
      <w:pPr>
        <w:rPr>
          <w:rFonts w:ascii="Arial" w:hAnsi="Arial" w:cs="Arial"/>
          <w:bCs/>
          <w:color w:val="000000"/>
        </w:rPr>
      </w:pPr>
    </w:p>
    <w:p w:rsidR="000B0613" w:rsidRPr="00D97C80" w:rsidRDefault="000B0613" w:rsidP="000B0613">
      <w:pPr>
        <w:rPr>
          <w:rFonts w:ascii="Arial" w:hAnsi="Arial" w:cs="Arial"/>
          <w:bCs/>
          <w:color w:val="000000"/>
        </w:rPr>
      </w:pPr>
      <w:r w:rsidRPr="00D97C80">
        <w:rPr>
          <w:rFonts w:ascii="Arial" w:hAnsi="Arial" w:cs="Arial"/>
          <w:bCs/>
          <w:color w:val="000000"/>
        </w:rPr>
        <w:t xml:space="preserve">Adults: </w:t>
      </w:r>
      <w:r>
        <w:rPr>
          <w:rFonts w:ascii="Arial" w:hAnsi="Arial" w:cs="Arial"/>
          <w:bCs/>
          <w:color w:val="000000"/>
        </w:rPr>
        <w:tab/>
        <w:t xml:space="preserve">  </w:t>
      </w:r>
      <w:r w:rsidRPr="00D97C80">
        <w:rPr>
          <w:rFonts w:ascii="Arial" w:hAnsi="Arial" w:cs="Arial"/>
          <w:bCs/>
          <w:color w:val="000000"/>
        </w:rPr>
        <w:t xml:space="preserve"> </w:t>
      </w:r>
      <w:r>
        <w:rPr>
          <w:rFonts w:ascii="Arial" w:hAnsi="Arial" w:cs="Arial"/>
          <w:bCs/>
          <w:color w:val="000000"/>
        </w:rPr>
        <w:tab/>
      </w:r>
      <w:r w:rsidRPr="00D97C80">
        <w:rPr>
          <w:rFonts w:ascii="Arial" w:hAnsi="Arial" w:cs="Arial"/>
          <w:bCs/>
          <w:color w:val="000000"/>
        </w:rPr>
        <w:t>£8,520</w:t>
      </w:r>
    </w:p>
    <w:p w:rsidR="000B0613" w:rsidRPr="00D97C80" w:rsidRDefault="000B0613" w:rsidP="000B0613">
      <w:pPr>
        <w:rPr>
          <w:rFonts w:ascii="Arial" w:hAnsi="Arial" w:cs="Arial"/>
          <w:bCs/>
          <w:color w:val="000000"/>
        </w:rPr>
      </w:pPr>
      <w:r w:rsidRPr="00D97C80">
        <w:rPr>
          <w:rFonts w:ascii="Arial" w:hAnsi="Arial" w:cs="Arial"/>
          <w:bCs/>
          <w:color w:val="000000"/>
        </w:rPr>
        <w:t xml:space="preserve">Children 5-18:  </w:t>
      </w:r>
      <w:r>
        <w:rPr>
          <w:rFonts w:ascii="Arial" w:hAnsi="Arial" w:cs="Arial"/>
          <w:bCs/>
          <w:color w:val="000000"/>
        </w:rPr>
        <w:t xml:space="preserve">  </w:t>
      </w:r>
      <w:r>
        <w:rPr>
          <w:rFonts w:ascii="Arial" w:hAnsi="Arial" w:cs="Arial"/>
          <w:bCs/>
          <w:color w:val="000000"/>
        </w:rPr>
        <w:tab/>
        <w:t>£14</w:t>
      </w:r>
      <w:r w:rsidRPr="00D97C80">
        <w:rPr>
          <w:rFonts w:ascii="Arial" w:hAnsi="Arial" w:cs="Arial"/>
          <w:bCs/>
          <w:color w:val="000000"/>
        </w:rPr>
        <w:t>,020 (includes £4,500 for education</w:t>
      </w:r>
      <w:r>
        <w:rPr>
          <w:rFonts w:ascii="Arial" w:hAnsi="Arial" w:cs="Arial"/>
          <w:bCs/>
          <w:color w:val="000000"/>
        </w:rPr>
        <w:t xml:space="preserve"> and £1,000 for SEN</w:t>
      </w:r>
      <w:r w:rsidRPr="00D97C80">
        <w:rPr>
          <w:rFonts w:ascii="Arial" w:hAnsi="Arial" w:cs="Arial"/>
          <w:bCs/>
          <w:color w:val="000000"/>
        </w:rPr>
        <w:t>)</w:t>
      </w:r>
    </w:p>
    <w:p w:rsidR="000B0613" w:rsidRPr="00D97C80" w:rsidRDefault="000B0613" w:rsidP="000B0613">
      <w:pPr>
        <w:rPr>
          <w:rFonts w:ascii="Arial" w:hAnsi="Arial" w:cs="Arial"/>
          <w:bCs/>
          <w:color w:val="000000"/>
        </w:rPr>
      </w:pPr>
      <w:r w:rsidRPr="00D97C80">
        <w:rPr>
          <w:rFonts w:ascii="Arial" w:hAnsi="Arial" w:cs="Arial"/>
          <w:bCs/>
          <w:color w:val="000000"/>
        </w:rPr>
        <w:t>Children 3-4:</w:t>
      </w:r>
      <w:r>
        <w:rPr>
          <w:rFonts w:ascii="Arial" w:hAnsi="Arial" w:cs="Arial"/>
          <w:bCs/>
          <w:color w:val="000000"/>
        </w:rPr>
        <w:t xml:space="preserve">   </w:t>
      </w:r>
      <w:r w:rsidRPr="00D97C80">
        <w:rPr>
          <w:rFonts w:ascii="Arial" w:hAnsi="Arial" w:cs="Arial"/>
          <w:bCs/>
          <w:color w:val="000000"/>
        </w:rPr>
        <w:t xml:space="preserve"> </w:t>
      </w:r>
      <w:r>
        <w:rPr>
          <w:rFonts w:ascii="Arial" w:hAnsi="Arial" w:cs="Arial"/>
          <w:bCs/>
          <w:color w:val="000000"/>
        </w:rPr>
        <w:t xml:space="preserve">  </w:t>
      </w:r>
      <w:r>
        <w:rPr>
          <w:rFonts w:ascii="Arial" w:hAnsi="Arial" w:cs="Arial"/>
          <w:bCs/>
          <w:color w:val="000000"/>
        </w:rPr>
        <w:tab/>
        <w:t>£11</w:t>
      </w:r>
      <w:r w:rsidRPr="00D97C80">
        <w:rPr>
          <w:rFonts w:ascii="Arial" w:hAnsi="Arial" w:cs="Arial"/>
          <w:bCs/>
          <w:color w:val="000000"/>
        </w:rPr>
        <w:t>,770 (includes £2,250 for education</w:t>
      </w:r>
      <w:r>
        <w:rPr>
          <w:rFonts w:ascii="Arial" w:hAnsi="Arial" w:cs="Arial"/>
          <w:bCs/>
          <w:color w:val="000000"/>
        </w:rPr>
        <w:t xml:space="preserve"> and £1,000 for SEN</w:t>
      </w:r>
      <w:r w:rsidRPr="00D97C80">
        <w:rPr>
          <w:rFonts w:ascii="Arial" w:hAnsi="Arial" w:cs="Arial"/>
          <w:bCs/>
          <w:color w:val="000000"/>
        </w:rPr>
        <w:t>)</w:t>
      </w:r>
    </w:p>
    <w:p w:rsidR="000B0613" w:rsidRPr="00D97C80" w:rsidRDefault="000B0613" w:rsidP="000B0613">
      <w:pPr>
        <w:rPr>
          <w:rFonts w:ascii="Arial" w:hAnsi="Arial" w:cs="Arial"/>
          <w:bCs/>
          <w:color w:val="000000"/>
        </w:rPr>
      </w:pPr>
      <w:r w:rsidRPr="00D97C80">
        <w:rPr>
          <w:rFonts w:ascii="Arial" w:hAnsi="Arial" w:cs="Arial"/>
          <w:bCs/>
          <w:color w:val="000000"/>
        </w:rPr>
        <w:t xml:space="preserve">Children under 3:  </w:t>
      </w:r>
      <w:r>
        <w:rPr>
          <w:rFonts w:ascii="Arial" w:hAnsi="Arial" w:cs="Arial"/>
          <w:bCs/>
          <w:color w:val="000000"/>
        </w:rPr>
        <w:tab/>
      </w:r>
      <w:r w:rsidRPr="00D97C80">
        <w:rPr>
          <w:rFonts w:ascii="Arial" w:hAnsi="Arial" w:cs="Arial"/>
          <w:bCs/>
          <w:color w:val="000000"/>
        </w:rPr>
        <w:t>£8,520</w:t>
      </w:r>
    </w:p>
    <w:p w:rsidR="000B0613" w:rsidRPr="00D97C80" w:rsidRDefault="000B0613" w:rsidP="000B0613">
      <w:pPr>
        <w:rPr>
          <w:rFonts w:ascii="Arial" w:hAnsi="Arial" w:cs="Arial"/>
          <w:bCs/>
          <w:color w:val="000000"/>
        </w:rPr>
      </w:pPr>
    </w:p>
    <w:p w:rsidR="000B0613" w:rsidRPr="00AC34DD" w:rsidRDefault="000B0613" w:rsidP="000B0613">
      <w:pPr>
        <w:rPr>
          <w:rFonts w:ascii="Arial" w:hAnsi="Arial" w:cs="Arial"/>
          <w:bCs/>
          <w:color w:val="000000"/>
        </w:rPr>
      </w:pPr>
      <w:r w:rsidRPr="00AC34DD">
        <w:rPr>
          <w:rFonts w:ascii="Arial" w:hAnsi="Arial" w:cs="Arial"/>
          <w:bCs/>
          <w:color w:val="000000"/>
        </w:rPr>
        <w:t xml:space="preserve">It is important to note that the above figures do </w:t>
      </w:r>
      <w:r w:rsidRPr="00AC34DD">
        <w:rPr>
          <w:rFonts w:ascii="Arial" w:hAnsi="Arial" w:cs="Arial"/>
          <w:bCs/>
          <w:color w:val="000000"/>
          <w:u w:val="single"/>
        </w:rPr>
        <w:t>not</w:t>
      </w:r>
      <w:r w:rsidRPr="00AC34DD">
        <w:rPr>
          <w:rFonts w:ascii="Arial" w:hAnsi="Arial" w:cs="Arial"/>
          <w:bCs/>
          <w:color w:val="000000"/>
        </w:rPr>
        <w:t xml:space="preserve"> include the Housing Benefit and other DWP </w:t>
      </w:r>
      <w:r>
        <w:rPr>
          <w:rFonts w:ascii="Arial" w:hAnsi="Arial" w:cs="Arial"/>
          <w:bCs/>
          <w:color w:val="000000"/>
        </w:rPr>
        <w:t>benefits (</w:t>
      </w:r>
      <w:r w:rsidRPr="00AC34DD">
        <w:rPr>
          <w:rFonts w:ascii="Arial" w:hAnsi="Arial" w:cs="Arial"/>
          <w:bCs/>
          <w:color w:val="000000"/>
        </w:rPr>
        <w:t>which will be paid in the usual way</w:t>
      </w:r>
      <w:r>
        <w:rPr>
          <w:rFonts w:ascii="Arial" w:hAnsi="Arial" w:cs="Arial"/>
          <w:bCs/>
          <w:color w:val="000000"/>
        </w:rPr>
        <w:t>) or the medical care costs (which will be paid direct to the CCGs - £2,600 per person).</w:t>
      </w:r>
    </w:p>
    <w:p w:rsidR="000B0613" w:rsidRPr="00AC34DD" w:rsidRDefault="000B0613" w:rsidP="000B0613">
      <w:pPr>
        <w:rPr>
          <w:rFonts w:ascii="Arial" w:hAnsi="Arial" w:cs="Arial"/>
          <w:bCs/>
          <w:color w:val="000000"/>
        </w:rPr>
      </w:pPr>
    </w:p>
    <w:p w:rsidR="000B0613" w:rsidRDefault="000B0613" w:rsidP="000B0613">
      <w:pPr>
        <w:rPr>
          <w:rFonts w:ascii="Arial" w:hAnsi="Arial" w:cs="Arial"/>
          <w:bCs/>
          <w:color w:val="000000"/>
        </w:rPr>
      </w:pPr>
      <w:r>
        <w:rPr>
          <w:rFonts w:ascii="Arial" w:hAnsi="Arial" w:cs="Arial"/>
          <w:bCs/>
          <w:color w:val="000000"/>
        </w:rPr>
        <w:t>F</w:t>
      </w:r>
      <w:r w:rsidRPr="00AC34DD">
        <w:rPr>
          <w:rFonts w:ascii="Arial" w:hAnsi="Arial" w:cs="Arial"/>
          <w:bCs/>
          <w:color w:val="000000"/>
        </w:rPr>
        <w:t>ollowing the Spending Review, the</w:t>
      </w:r>
      <w:r>
        <w:rPr>
          <w:rFonts w:ascii="Arial" w:hAnsi="Arial" w:cs="Arial"/>
          <w:b/>
          <w:bCs/>
          <w:color w:val="000000"/>
        </w:rPr>
        <w:t xml:space="preserve"> </w:t>
      </w:r>
      <w:r w:rsidRPr="004153C6">
        <w:rPr>
          <w:rFonts w:ascii="Arial" w:hAnsi="Arial" w:cs="Arial"/>
          <w:bCs/>
          <w:color w:val="000000"/>
        </w:rPr>
        <w:t>Government</w:t>
      </w:r>
      <w:r w:rsidR="007E5562">
        <w:rPr>
          <w:rFonts w:ascii="Arial" w:hAnsi="Arial" w:cs="Arial"/>
          <w:bCs/>
          <w:color w:val="000000"/>
        </w:rPr>
        <w:t xml:space="preserve"> </w:t>
      </w:r>
      <w:r>
        <w:rPr>
          <w:rFonts w:ascii="Arial" w:hAnsi="Arial" w:cs="Arial"/>
          <w:bCs/>
          <w:color w:val="000000"/>
        </w:rPr>
        <w:t>announced further details of the funding</w:t>
      </w:r>
      <w:r w:rsidR="00700877">
        <w:rPr>
          <w:rFonts w:ascii="Arial" w:hAnsi="Arial" w:cs="Arial"/>
          <w:bCs/>
          <w:color w:val="000000"/>
        </w:rPr>
        <w:t>:</w:t>
      </w:r>
    </w:p>
    <w:p w:rsidR="000B0613" w:rsidRDefault="000B0613" w:rsidP="000B0613">
      <w:pPr>
        <w:rPr>
          <w:rFonts w:ascii="Arial" w:hAnsi="Arial" w:cs="Arial"/>
          <w:bCs/>
          <w:color w:val="000000"/>
        </w:rPr>
      </w:pPr>
      <w:r>
        <w:rPr>
          <w:rFonts w:ascii="Arial" w:hAnsi="Arial" w:cs="Arial"/>
          <w:bCs/>
          <w:color w:val="000000"/>
        </w:rPr>
        <w:t xml:space="preserve">Year 2 - £5,000 per person.   </w:t>
      </w:r>
      <w:r>
        <w:rPr>
          <w:rFonts w:ascii="Arial" w:hAnsi="Arial" w:cs="Arial"/>
          <w:bCs/>
          <w:color w:val="000000"/>
        </w:rPr>
        <w:tab/>
      </w:r>
      <w:r>
        <w:rPr>
          <w:rFonts w:ascii="Arial" w:hAnsi="Arial" w:cs="Arial"/>
          <w:bCs/>
          <w:color w:val="000000"/>
        </w:rPr>
        <w:tab/>
      </w:r>
      <w:r>
        <w:rPr>
          <w:rFonts w:ascii="Arial" w:hAnsi="Arial" w:cs="Arial"/>
          <w:bCs/>
          <w:color w:val="000000"/>
        </w:rPr>
        <w:tab/>
        <w:t xml:space="preserve">Year 3 - £3,700 per person.  </w:t>
      </w:r>
    </w:p>
    <w:p w:rsidR="000B0613" w:rsidRDefault="000B0613" w:rsidP="000B0613">
      <w:pPr>
        <w:rPr>
          <w:rFonts w:ascii="Arial" w:hAnsi="Arial" w:cs="Arial"/>
          <w:bCs/>
          <w:color w:val="000000"/>
        </w:rPr>
      </w:pPr>
      <w:r>
        <w:rPr>
          <w:rFonts w:ascii="Arial" w:hAnsi="Arial" w:cs="Arial"/>
          <w:bCs/>
          <w:color w:val="000000"/>
        </w:rPr>
        <w:t>Year 4 - £2,300 per person.</w:t>
      </w:r>
      <w:r>
        <w:rPr>
          <w:rFonts w:ascii="Arial" w:hAnsi="Arial" w:cs="Arial"/>
          <w:bCs/>
          <w:color w:val="000000"/>
        </w:rPr>
        <w:tab/>
      </w:r>
      <w:r>
        <w:rPr>
          <w:rFonts w:ascii="Arial" w:hAnsi="Arial" w:cs="Arial"/>
          <w:bCs/>
          <w:color w:val="000000"/>
        </w:rPr>
        <w:tab/>
      </w:r>
      <w:r>
        <w:rPr>
          <w:rFonts w:ascii="Arial" w:hAnsi="Arial" w:cs="Arial"/>
          <w:bCs/>
          <w:color w:val="000000"/>
        </w:rPr>
        <w:tab/>
        <w:t>Year 5 - £1,000 per person.</w:t>
      </w:r>
    </w:p>
    <w:p w:rsidR="000B0613" w:rsidRDefault="000B0613" w:rsidP="000B0613">
      <w:pPr>
        <w:rPr>
          <w:rFonts w:ascii="Arial" w:hAnsi="Arial" w:cs="Arial"/>
          <w:bCs/>
          <w:color w:val="000000"/>
        </w:rPr>
      </w:pPr>
    </w:p>
    <w:p w:rsidR="000B0613" w:rsidRDefault="00A104ED" w:rsidP="000B0613">
      <w:pPr>
        <w:rPr>
          <w:rFonts w:ascii="Arial" w:hAnsi="Arial" w:cs="Arial"/>
          <w:bCs/>
          <w:color w:val="000000"/>
        </w:rPr>
      </w:pPr>
      <w:r>
        <w:rPr>
          <w:rFonts w:ascii="Arial" w:hAnsi="Arial" w:cs="Arial"/>
          <w:bCs/>
          <w:color w:val="000000"/>
        </w:rPr>
        <w:t>E</w:t>
      </w:r>
      <w:r w:rsidR="000B0613">
        <w:rPr>
          <w:rFonts w:ascii="Arial" w:hAnsi="Arial" w:cs="Arial"/>
          <w:bCs/>
          <w:color w:val="000000"/>
        </w:rPr>
        <w:t>xtra payments may be available for education for refugees under the age of 18 and also a special cases fund will be set up to provide extra support for the most vulnerable refugees</w:t>
      </w:r>
      <w:r>
        <w:rPr>
          <w:rFonts w:ascii="Arial" w:hAnsi="Arial" w:cs="Arial"/>
          <w:bCs/>
          <w:color w:val="000000"/>
        </w:rPr>
        <w:t>.</w:t>
      </w:r>
    </w:p>
    <w:p w:rsidR="000B0613" w:rsidRDefault="000B0613" w:rsidP="000B0613">
      <w:pPr>
        <w:rPr>
          <w:rFonts w:ascii="Arial" w:hAnsi="Arial" w:cs="Arial"/>
          <w:bCs/>
          <w:color w:val="000000"/>
        </w:rPr>
      </w:pPr>
      <w:r>
        <w:rPr>
          <w:rFonts w:ascii="Arial" w:hAnsi="Arial" w:cs="Arial"/>
          <w:bCs/>
          <w:color w:val="000000"/>
        </w:rPr>
        <w:t xml:space="preserve"> </w:t>
      </w:r>
    </w:p>
    <w:p w:rsidR="000B0613" w:rsidRDefault="000B0613" w:rsidP="000B0613">
      <w:pPr>
        <w:rPr>
          <w:rFonts w:ascii="Arial" w:eastAsia="Times New Roman" w:hAnsi="Arial" w:cs="Arial"/>
          <w:color w:val="000000"/>
        </w:rPr>
      </w:pPr>
      <w:r>
        <w:rPr>
          <w:rFonts w:ascii="Arial" w:eastAsia="Times New Roman" w:hAnsi="Arial" w:cs="Arial"/>
          <w:color w:val="000000"/>
        </w:rPr>
        <w:lastRenderedPageBreak/>
        <w:t>Although extra housing payments are not going to be available in areas of high housing costs, l</w:t>
      </w:r>
      <w:r w:rsidRPr="004153C6">
        <w:rPr>
          <w:rFonts w:ascii="Arial" w:eastAsia="Times New Roman" w:hAnsi="Arial" w:cs="Arial"/>
          <w:color w:val="000000"/>
        </w:rPr>
        <w:t xml:space="preserve">ocal authorities </w:t>
      </w:r>
      <w:r>
        <w:rPr>
          <w:rFonts w:ascii="Arial" w:eastAsia="Times New Roman" w:hAnsi="Arial" w:cs="Arial"/>
          <w:color w:val="000000"/>
        </w:rPr>
        <w:t xml:space="preserve">will be allowed </w:t>
      </w:r>
      <w:r w:rsidRPr="004153C6">
        <w:rPr>
          <w:rFonts w:ascii="Arial" w:eastAsia="Times New Roman" w:hAnsi="Arial" w:cs="Arial"/>
          <w:color w:val="000000"/>
        </w:rPr>
        <w:t>flexibility in how the funding allocation is spent</w:t>
      </w:r>
      <w:r>
        <w:rPr>
          <w:rFonts w:ascii="Arial" w:eastAsia="Times New Roman" w:hAnsi="Arial" w:cs="Arial"/>
          <w:color w:val="000000"/>
        </w:rPr>
        <w:t xml:space="preserve">, allowing some of the funding to </w:t>
      </w:r>
      <w:r w:rsidRPr="004153C6">
        <w:rPr>
          <w:rFonts w:ascii="Arial" w:eastAsia="Times New Roman" w:hAnsi="Arial" w:cs="Arial"/>
          <w:color w:val="000000"/>
        </w:rPr>
        <w:t>be used to top-up Housing Benefit rates</w:t>
      </w:r>
      <w:r>
        <w:rPr>
          <w:rFonts w:ascii="Arial" w:eastAsia="Times New Roman" w:hAnsi="Arial" w:cs="Arial"/>
          <w:color w:val="000000"/>
        </w:rPr>
        <w:t>.  However</w:t>
      </w:r>
      <w:r w:rsidRPr="004153C6">
        <w:rPr>
          <w:rFonts w:ascii="Arial" w:eastAsia="Times New Roman" w:hAnsi="Arial" w:cs="Arial"/>
          <w:color w:val="000000"/>
        </w:rPr>
        <w:t xml:space="preserve"> there is a concern in Kent that housing cost arrangements need to be sustainable as far as possible (to avoid families having to move).  </w:t>
      </w:r>
    </w:p>
    <w:p w:rsidR="007849C6" w:rsidRDefault="007849C6" w:rsidP="000B0613">
      <w:pPr>
        <w:rPr>
          <w:rFonts w:ascii="Arial" w:eastAsia="Times New Roman" w:hAnsi="Arial" w:cs="Arial"/>
          <w:color w:val="000000"/>
        </w:rPr>
      </w:pPr>
    </w:p>
    <w:p w:rsidR="007849C6" w:rsidRDefault="007849C6" w:rsidP="000B0613">
      <w:pPr>
        <w:rPr>
          <w:rFonts w:ascii="Arial" w:eastAsia="Times New Roman" w:hAnsi="Arial" w:cs="Arial"/>
          <w:color w:val="000000"/>
        </w:rPr>
      </w:pPr>
      <w:r>
        <w:rPr>
          <w:rFonts w:ascii="Arial" w:eastAsia="Times New Roman" w:hAnsi="Arial" w:cs="Arial"/>
          <w:color w:val="000000"/>
        </w:rPr>
        <w:t>For the Ashford families, the funding is being transfe</w:t>
      </w:r>
      <w:r w:rsidR="00E65311">
        <w:rPr>
          <w:rFonts w:ascii="Arial" w:eastAsia="Times New Roman" w:hAnsi="Arial" w:cs="Arial"/>
          <w:color w:val="000000"/>
        </w:rPr>
        <w:t>rred to and administered by ABC.</w:t>
      </w:r>
      <w:r>
        <w:rPr>
          <w:rFonts w:ascii="Arial" w:eastAsia="Times New Roman" w:hAnsi="Arial" w:cs="Arial"/>
          <w:color w:val="000000"/>
        </w:rPr>
        <w:t xml:space="preserve">  For the Tunbridge Wells families this is being handled by KCC who reimburse TWBC for any agreed expenditure they incur.  This was agreed as being more practical </w:t>
      </w:r>
      <w:r w:rsidR="00E65311">
        <w:rPr>
          <w:rFonts w:ascii="Arial" w:eastAsia="Times New Roman" w:hAnsi="Arial" w:cs="Arial"/>
          <w:color w:val="000000"/>
        </w:rPr>
        <w:t xml:space="preserve">for T Wells </w:t>
      </w:r>
      <w:r>
        <w:rPr>
          <w:rFonts w:ascii="Arial" w:eastAsia="Times New Roman" w:hAnsi="Arial" w:cs="Arial"/>
          <w:color w:val="000000"/>
        </w:rPr>
        <w:t>as most of the services (KSAS support, Rethink etc) have been commissioned by KCC.</w:t>
      </w:r>
      <w:r w:rsidR="00E65311">
        <w:rPr>
          <w:rFonts w:ascii="Arial" w:eastAsia="Times New Roman" w:hAnsi="Arial" w:cs="Arial"/>
          <w:color w:val="000000"/>
        </w:rPr>
        <w:t xml:space="preserve"> </w:t>
      </w:r>
    </w:p>
    <w:p w:rsidR="000B0613" w:rsidRDefault="000B0613" w:rsidP="000B0613">
      <w:pPr>
        <w:rPr>
          <w:rFonts w:ascii="Arial" w:hAnsi="Arial" w:cs="Arial"/>
          <w:b/>
          <w:bCs/>
          <w:color w:val="000000"/>
        </w:rPr>
      </w:pPr>
    </w:p>
    <w:p w:rsidR="000B0613" w:rsidRDefault="000B0613" w:rsidP="000B0613">
      <w:pPr>
        <w:rPr>
          <w:rFonts w:ascii="Arial" w:hAnsi="Arial" w:cs="Arial"/>
          <w:color w:val="000000"/>
        </w:rPr>
      </w:pPr>
      <w:r w:rsidRPr="001C35DC">
        <w:rPr>
          <w:rFonts w:ascii="Arial" w:hAnsi="Arial" w:cs="Arial"/>
          <w:b/>
          <w:bCs/>
          <w:color w:val="000000"/>
          <w:u w:val="single"/>
        </w:rPr>
        <w:t>Referrals from the Home Office:</w:t>
      </w:r>
      <w:r w:rsidRPr="004153C6">
        <w:rPr>
          <w:rFonts w:ascii="Arial" w:hAnsi="Arial" w:cs="Arial"/>
          <w:b/>
          <w:bCs/>
          <w:color w:val="000000"/>
        </w:rPr>
        <w:t xml:space="preserve">  </w:t>
      </w:r>
      <w:r w:rsidRPr="004153C6">
        <w:rPr>
          <w:rFonts w:ascii="Arial" w:hAnsi="Arial" w:cs="Arial"/>
          <w:bCs/>
          <w:color w:val="000000"/>
        </w:rPr>
        <w:t>apart from Ashford (who as early participants received the referrals direct),</w:t>
      </w:r>
      <w:r w:rsidRPr="004153C6">
        <w:rPr>
          <w:rFonts w:ascii="Arial" w:hAnsi="Arial" w:cs="Arial"/>
          <w:b/>
          <w:bCs/>
          <w:color w:val="000000"/>
        </w:rPr>
        <w:t xml:space="preserve"> </w:t>
      </w:r>
      <w:r w:rsidRPr="004153C6">
        <w:rPr>
          <w:rFonts w:ascii="Arial" w:hAnsi="Arial" w:cs="Arial"/>
          <w:bCs/>
          <w:color w:val="000000"/>
        </w:rPr>
        <w:t>a process has been set up</w:t>
      </w:r>
      <w:r w:rsidRPr="004153C6">
        <w:rPr>
          <w:rFonts w:ascii="Arial" w:hAnsi="Arial" w:cs="Arial"/>
          <w:b/>
          <w:bCs/>
          <w:color w:val="000000"/>
        </w:rPr>
        <w:t xml:space="preserve"> </w:t>
      </w:r>
      <w:r w:rsidRPr="004153C6">
        <w:rPr>
          <w:rFonts w:ascii="Arial" w:hAnsi="Arial" w:cs="Arial"/>
          <w:color w:val="000000"/>
        </w:rPr>
        <w:t>whereby the Home O</w:t>
      </w:r>
      <w:r>
        <w:rPr>
          <w:rFonts w:ascii="Arial" w:hAnsi="Arial" w:cs="Arial"/>
          <w:color w:val="000000"/>
        </w:rPr>
        <w:t xml:space="preserve">ffice send the referrals to KCC via their secure Move It portal. </w:t>
      </w:r>
      <w:r w:rsidRPr="004153C6">
        <w:rPr>
          <w:rFonts w:ascii="Arial" w:hAnsi="Arial" w:cs="Arial"/>
          <w:color w:val="000000"/>
        </w:rPr>
        <w:t xml:space="preserve"> </w:t>
      </w:r>
      <w:r w:rsidR="00017F50">
        <w:rPr>
          <w:rFonts w:ascii="Arial" w:hAnsi="Arial" w:cs="Arial"/>
          <w:color w:val="000000"/>
        </w:rPr>
        <w:t>KCC is now also handling the Ashford referrals in this manner.  We are currently in discussion with the Home Office about the best way to do this.  They prefer a system whereby they are informed of properties only once they are confirmed.  However this poses challenges unless families are then referred very quickly to avoid lengthy void periods. We are hoping that eventually we will move to a system</w:t>
      </w:r>
      <w:r w:rsidRPr="004153C6">
        <w:rPr>
          <w:rFonts w:ascii="Arial" w:hAnsi="Arial" w:cs="Arial"/>
          <w:color w:val="000000"/>
        </w:rPr>
        <w:t xml:space="preserve"> </w:t>
      </w:r>
      <w:r w:rsidR="00017F50">
        <w:rPr>
          <w:rFonts w:ascii="Arial" w:hAnsi="Arial" w:cs="Arial"/>
          <w:color w:val="000000"/>
        </w:rPr>
        <w:t xml:space="preserve">whereby referrals take place, KCC performs an </w:t>
      </w:r>
      <w:r w:rsidR="00FD67AE" w:rsidRPr="004153C6">
        <w:rPr>
          <w:rFonts w:ascii="Arial" w:hAnsi="Arial" w:cs="Arial"/>
          <w:color w:val="000000"/>
        </w:rPr>
        <w:t xml:space="preserve">initial triage </w:t>
      </w:r>
      <w:r w:rsidR="00017F50">
        <w:rPr>
          <w:rFonts w:ascii="Arial" w:hAnsi="Arial" w:cs="Arial"/>
          <w:color w:val="000000"/>
        </w:rPr>
        <w:t>function t</w:t>
      </w:r>
      <w:r w:rsidR="00FD67AE" w:rsidRPr="004153C6">
        <w:rPr>
          <w:rFonts w:ascii="Arial" w:hAnsi="Arial" w:cs="Arial"/>
          <w:color w:val="000000"/>
        </w:rPr>
        <w:t xml:space="preserve">o see if the household needs to be in a particular area (e.g. for access to a particular hospital), </w:t>
      </w:r>
      <w:r w:rsidR="00017F50">
        <w:rPr>
          <w:rFonts w:ascii="Arial" w:hAnsi="Arial" w:cs="Arial"/>
          <w:color w:val="000000"/>
        </w:rPr>
        <w:t xml:space="preserve">and then </w:t>
      </w:r>
      <w:r w:rsidR="00FD67AE" w:rsidRPr="004153C6">
        <w:rPr>
          <w:rFonts w:ascii="Arial" w:hAnsi="Arial" w:cs="Arial"/>
          <w:color w:val="000000"/>
        </w:rPr>
        <w:t xml:space="preserve">a panel made up of the relevant districts, health, education, social care and other partners will decide the best place for the family to settle given available housing, access to schools etc.  </w:t>
      </w:r>
    </w:p>
    <w:p w:rsidR="00017F50" w:rsidRPr="004153C6" w:rsidRDefault="00017F50" w:rsidP="000B0613">
      <w:pPr>
        <w:rPr>
          <w:rFonts w:ascii="Arial" w:hAnsi="Arial" w:cs="Arial"/>
          <w:color w:val="000000"/>
        </w:rPr>
      </w:pPr>
    </w:p>
    <w:p w:rsidR="000B0613" w:rsidRDefault="000B0613" w:rsidP="000B0613">
      <w:pPr>
        <w:rPr>
          <w:rFonts w:ascii="Arial" w:hAnsi="Arial" w:cs="Arial"/>
          <w:bCs/>
          <w:color w:val="000000"/>
        </w:rPr>
      </w:pPr>
      <w:r w:rsidRPr="001C35DC">
        <w:rPr>
          <w:rFonts w:ascii="Arial" w:hAnsi="Arial" w:cs="Arial"/>
          <w:b/>
          <w:bCs/>
          <w:color w:val="000000"/>
          <w:u w:val="single"/>
        </w:rPr>
        <w:t>Resettlement support:</w:t>
      </w:r>
      <w:r w:rsidRPr="004153C6">
        <w:rPr>
          <w:rFonts w:ascii="Arial" w:hAnsi="Arial" w:cs="Arial"/>
          <w:b/>
          <w:bCs/>
          <w:color w:val="000000"/>
        </w:rPr>
        <w:t xml:space="preserve"> </w:t>
      </w:r>
      <w:r>
        <w:rPr>
          <w:rFonts w:ascii="Arial" w:hAnsi="Arial" w:cs="Arial"/>
          <w:b/>
          <w:bCs/>
          <w:color w:val="000000"/>
        </w:rPr>
        <w:t xml:space="preserve"> </w:t>
      </w:r>
      <w:r w:rsidR="000B2F25" w:rsidRPr="000B2F25">
        <w:rPr>
          <w:rFonts w:ascii="Arial" w:hAnsi="Arial" w:cs="Arial"/>
          <w:bCs/>
          <w:color w:val="000000"/>
        </w:rPr>
        <w:t xml:space="preserve">a summary of the </w:t>
      </w:r>
      <w:r w:rsidR="00700877" w:rsidRPr="000B2F25">
        <w:rPr>
          <w:rFonts w:ascii="Arial" w:hAnsi="Arial" w:cs="Arial"/>
          <w:bCs/>
          <w:color w:val="000000"/>
        </w:rPr>
        <w:t>support</w:t>
      </w:r>
      <w:r w:rsidR="000B2F25">
        <w:rPr>
          <w:rFonts w:ascii="Arial" w:hAnsi="Arial" w:cs="Arial"/>
          <w:bCs/>
          <w:color w:val="000000"/>
        </w:rPr>
        <w:t xml:space="preserve"> arrangements is as follows:</w:t>
      </w:r>
    </w:p>
    <w:p w:rsidR="000B0613" w:rsidRDefault="000B0613" w:rsidP="000B0613">
      <w:pPr>
        <w:rPr>
          <w:rFonts w:ascii="Arial" w:hAnsi="Arial" w:cs="Arial"/>
          <w:bCs/>
          <w:color w:val="000000"/>
        </w:rPr>
      </w:pPr>
    </w:p>
    <w:p w:rsidR="000B0613" w:rsidRPr="005D40CD" w:rsidRDefault="000B0613" w:rsidP="000B0613">
      <w:pPr>
        <w:rPr>
          <w:rFonts w:ascii="Arial" w:hAnsi="Arial" w:cs="Arial"/>
        </w:rPr>
      </w:pPr>
      <w:r w:rsidRPr="005D40CD">
        <w:rPr>
          <w:rFonts w:ascii="Arial" w:hAnsi="Arial" w:cs="Arial"/>
          <w:b/>
          <w:bCs/>
        </w:rPr>
        <w:t>1.  Kent Support and Assistance Service (KSAS)</w:t>
      </w:r>
      <w:r w:rsidRPr="005D40CD">
        <w:rPr>
          <w:rFonts w:ascii="Arial" w:hAnsi="Arial" w:cs="Arial"/>
        </w:rPr>
        <w:t> will be dealing with the welcome pack, the cash allowance, arranging (through its partner West Kent Extra) for furniture, white goods etc and manging the collection and delivery of any donations.</w:t>
      </w:r>
    </w:p>
    <w:p w:rsidR="000B0613" w:rsidRPr="00A104ED" w:rsidRDefault="000B0613" w:rsidP="000B0613">
      <w:pPr>
        <w:rPr>
          <w:rFonts w:ascii="Arial" w:hAnsi="Arial" w:cs="Arial"/>
          <w:sz w:val="16"/>
          <w:szCs w:val="16"/>
        </w:rPr>
      </w:pPr>
    </w:p>
    <w:p w:rsidR="000B0613" w:rsidRPr="005D40CD" w:rsidRDefault="000B0613" w:rsidP="000B0613">
      <w:pPr>
        <w:rPr>
          <w:rFonts w:ascii="Arial" w:hAnsi="Arial" w:cs="Arial"/>
        </w:rPr>
      </w:pPr>
      <w:r w:rsidRPr="005D40CD">
        <w:rPr>
          <w:rFonts w:ascii="Arial" w:hAnsi="Arial" w:cs="Arial"/>
          <w:b/>
          <w:bCs/>
        </w:rPr>
        <w:t>2.  Education</w:t>
      </w:r>
      <w:r w:rsidRPr="005D40CD">
        <w:rPr>
          <w:rFonts w:ascii="Arial" w:hAnsi="Arial" w:cs="Arial"/>
        </w:rPr>
        <w:t> – school and college plac</w:t>
      </w:r>
      <w:r w:rsidR="00A104ED">
        <w:rPr>
          <w:rFonts w:ascii="Arial" w:hAnsi="Arial" w:cs="Arial"/>
        </w:rPr>
        <w:t xml:space="preserve">es will be arranged by KCC </w:t>
      </w:r>
      <w:r w:rsidRPr="005D40CD">
        <w:rPr>
          <w:rFonts w:ascii="Arial" w:hAnsi="Arial" w:cs="Arial"/>
        </w:rPr>
        <w:t xml:space="preserve">Education Officers and </w:t>
      </w:r>
      <w:r>
        <w:rPr>
          <w:rFonts w:ascii="Arial" w:hAnsi="Arial" w:cs="Arial"/>
        </w:rPr>
        <w:t>ESOL coordinators (the latter will also organise ESOL for the adults).</w:t>
      </w:r>
      <w:r w:rsidRPr="005D40CD">
        <w:rPr>
          <w:rFonts w:ascii="Arial" w:hAnsi="Arial" w:cs="Arial"/>
        </w:rPr>
        <w:t>  Educational Psychology and Special Educational Needs</w:t>
      </w:r>
      <w:r w:rsidR="00A104ED">
        <w:rPr>
          <w:rFonts w:ascii="Arial" w:hAnsi="Arial" w:cs="Arial"/>
        </w:rPr>
        <w:t>/</w:t>
      </w:r>
      <w:r w:rsidRPr="005D40CD">
        <w:rPr>
          <w:rFonts w:ascii="Arial" w:hAnsi="Arial" w:cs="Arial"/>
        </w:rPr>
        <w:t>Disability staff will be involved where necessary.</w:t>
      </w:r>
    </w:p>
    <w:p w:rsidR="000B0613" w:rsidRPr="00756889" w:rsidRDefault="000B0613" w:rsidP="000B0613">
      <w:pPr>
        <w:rPr>
          <w:rFonts w:ascii="Arial" w:hAnsi="Arial" w:cs="Arial"/>
          <w:sz w:val="16"/>
          <w:szCs w:val="16"/>
        </w:rPr>
      </w:pPr>
      <w:r w:rsidRPr="005D40CD">
        <w:rPr>
          <w:rFonts w:ascii="Arial" w:hAnsi="Arial" w:cs="Arial"/>
          <w:b/>
          <w:bCs/>
        </w:rPr>
        <w:t> </w:t>
      </w:r>
    </w:p>
    <w:p w:rsidR="000B0613" w:rsidRPr="005D40CD" w:rsidRDefault="000B0613" w:rsidP="000B0613">
      <w:pPr>
        <w:rPr>
          <w:rFonts w:ascii="Arial" w:hAnsi="Arial" w:cs="Arial"/>
        </w:rPr>
      </w:pPr>
      <w:r w:rsidRPr="005D40CD">
        <w:rPr>
          <w:rFonts w:ascii="Arial" w:hAnsi="Arial" w:cs="Arial"/>
          <w:b/>
          <w:bCs/>
        </w:rPr>
        <w:t>3.  Health –</w:t>
      </w:r>
      <w:r w:rsidRPr="005D40CD">
        <w:rPr>
          <w:rFonts w:ascii="Arial" w:hAnsi="Arial" w:cs="Arial"/>
        </w:rPr>
        <w:t> the Kent CCGs and NHS England have agreed for one of the Chief Nurses to be responsible on their behalf for dealing with all the referrals for Kent – arranging for NHS numbers, GP registration and, if required, specialist referrals.</w:t>
      </w:r>
    </w:p>
    <w:p w:rsidR="000B0613" w:rsidRPr="00756889" w:rsidRDefault="000B0613" w:rsidP="000B0613">
      <w:pPr>
        <w:rPr>
          <w:rFonts w:ascii="Arial" w:hAnsi="Arial" w:cs="Arial"/>
          <w:sz w:val="16"/>
          <w:szCs w:val="16"/>
        </w:rPr>
      </w:pPr>
    </w:p>
    <w:p w:rsidR="000B0613" w:rsidRDefault="000B0613" w:rsidP="000B0613">
      <w:pPr>
        <w:rPr>
          <w:rFonts w:ascii="Arial" w:hAnsi="Arial" w:cs="Arial"/>
        </w:rPr>
      </w:pPr>
      <w:r w:rsidRPr="005D40CD">
        <w:rPr>
          <w:rFonts w:ascii="Arial" w:hAnsi="Arial" w:cs="Arial"/>
          <w:b/>
          <w:bCs/>
        </w:rPr>
        <w:t>4.  Resettlement Support Provider</w:t>
      </w:r>
      <w:r w:rsidRPr="005D40CD">
        <w:rPr>
          <w:rFonts w:ascii="Arial" w:hAnsi="Arial" w:cs="Arial"/>
        </w:rPr>
        <w:t> –</w:t>
      </w:r>
      <w:r w:rsidR="00017F50">
        <w:rPr>
          <w:rFonts w:ascii="Arial" w:hAnsi="Arial" w:cs="Arial"/>
        </w:rPr>
        <w:t xml:space="preserve"> a</w:t>
      </w:r>
      <w:r w:rsidRPr="005D40CD">
        <w:rPr>
          <w:rFonts w:ascii="Arial" w:hAnsi="Arial" w:cs="Arial"/>
        </w:rPr>
        <w:t xml:space="preserve"> Key Worker will be provided for each family and a resettlement plan will be drawn up based on their particular needs for support.  The Key Worker will liaise with the relevant agencies and voluntary sources of support to enable the families to integrate into the local community as quickly as possible.</w:t>
      </w:r>
      <w:r w:rsidR="00017F50">
        <w:rPr>
          <w:rFonts w:ascii="Arial" w:hAnsi="Arial" w:cs="Arial"/>
        </w:rPr>
        <w:t xml:space="preserve"> KCC is currently commissioning Rethink and Migrant Help to do his work.</w:t>
      </w:r>
      <w:r w:rsidR="00700877">
        <w:rPr>
          <w:rFonts w:ascii="Arial" w:hAnsi="Arial" w:cs="Arial"/>
        </w:rPr>
        <w:t xml:space="preserve">  </w:t>
      </w:r>
      <w:r w:rsidR="001357FA">
        <w:rPr>
          <w:rFonts w:ascii="Arial" w:hAnsi="Arial" w:cs="Arial"/>
        </w:rPr>
        <w:t xml:space="preserve">In T Wells this is being done in close cooperation with the housing team.  </w:t>
      </w:r>
      <w:r w:rsidR="00700877">
        <w:rPr>
          <w:rFonts w:ascii="Arial" w:hAnsi="Arial" w:cs="Arial"/>
        </w:rPr>
        <w:t>Ashford are using their ow</w:t>
      </w:r>
      <w:r w:rsidR="007756D0">
        <w:rPr>
          <w:rFonts w:ascii="Arial" w:hAnsi="Arial" w:cs="Arial"/>
        </w:rPr>
        <w:t>n staff to provide this support – from the Housing Team.</w:t>
      </w:r>
      <w:r w:rsidR="00A104ED">
        <w:rPr>
          <w:rFonts w:ascii="Arial" w:hAnsi="Arial" w:cs="Arial"/>
        </w:rPr>
        <w:t xml:space="preserve">  </w:t>
      </w:r>
    </w:p>
    <w:p w:rsidR="001357FA" w:rsidRPr="00A104ED" w:rsidRDefault="001357FA" w:rsidP="000B0613">
      <w:pPr>
        <w:rPr>
          <w:rFonts w:ascii="Arial" w:hAnsi="Arial" w:cs="Arial"/>
          <w:b/>
          <w:bCs/>
          <w:sz w:val="16"/>
          <w:szCs w:val="16"/>
        </w:rPr>
      </w:pPr>
    </w:p>
    <w:p w:rsidR="000B0613" w:rsidRPr="005D40CD" w:rsidRDefault="000B0613" w:rsidP="000B0613">
      <w:pPr>
        <w:rPr>
          <w:rFonts w:ascii="Arial" w:hAnsi="Arial" w:cs="Arial"/>
        </w:rPr>
      </w:pPr>
      <w:r w:rsidRPr="005D40CD">
        <w:rPr>
          <w:rFonts w:ascii="Arial" w:hAnsi="Arial" w:cs="Arial"/>
          <w:b/>
          <w:bCs/>
        </w:rPr>
        <w:t>5.  Interpreting and translation</w:t>
      </w:r>
      <w:r w:rsidRPr="005D40CD">
        <w:rPr>
          <w:rFonts w:ascii="Arial" w:hAnsi="Arial" w:cs="Arial"/>
        </w:rPr>
        <w:t> –</w:t>
      </w:r>
      <w:r w:rsidR="00A104ED">
        <w:rPr>
          <w:rFonts w:ascii="Arial" w:hAnsi="Arial" w:cs="Arial"/>
        </w:rPr>
        <w:t xml:space="preserve"> </w:t>
      </w:r>
      <w:r w:rsidRPr="005D40CD">
        <w:rPr>
          <w:rFonts w:ascii="Arial" w:hAnsi="Arial" w:cs="Arial"/>
        </w:rPr>
        <w:t xml:space="preserve">this </w:t>
      </w:r>
      <w:r w:rsidR="00700877">
        <w:rPr>
          <w:rFonts w:ascii="Arial" w:hAnsi="Arial" w:cs="Arial"/>
        </w:rPr>
        <w:t xml:space="preserve">is being </w:t>
      </w:r>
      <w:r w:rsidRPr="005D40CD">
        <w:rPr>
          <w:rFonts w:ascii="Arial" w:hAnsi="Arial" w:cs="Arial"/>
        </w:rPr>
        <w:t>done through the contract KCC has with Connect2Kent who have at least 30 Arabic speakers on their books.  They are also able to translate key documents.</w:t>
      </w:r>
      <w:r w:rsidR="00A104ED">
        <w:rPr>
          <w:rFonts w:ascii="Arial" w:hAnsi="Arial" w:cs="Arial"/>
        </w:rPr>
        <w:t xml:space="preserve">  Mainstream provision will be used where possible.</w:t>
      </w:r>
    </w:p>
    <w:p w:rsidR="000B0613" w:rsidRPr="00756889" w:rsidRDefault="000B0613" w:rsidP="000B0613">
      <w:pPr>
        <w:rPr>
          <w:rFonts w:ascii="Arial" w:hAnsi="Arial" w:cs="Arial"/>
          <w:sz w:val="16"/>
          <w:szCs w:val="16"/>
        </w:rPr>
      </w:pPr>
    </w:p>
    <w:p w:rsidR="000B0613" w:rsidRDefault="000B0613" w:rsidP="000B0613">
      <w:pPr>
        <w:rPr>
          <w:rFonts w:ascii="Arial" w:hAnsi="Arial" w:cs="Arial"/>
        </w:rPr>
      </w:pPr>
      <w:r w:rsidRPr="005D40CD">
        <w:rPr>
          <w:rFonts w:ascii="Arial" w:hAnsi="Arial" w:cs="Arial"/>
          <w:b/>
          <w:bCs/>
        </w:rPr>
        <w:t>6.  KCC Early Help Services and Adult Social Care</w:t>
      </w:r>
      <w:r w:rsidRPr="005D40CD">
        <w:rPr>
          <w:rFonts w:ascii="Arial" w:hAnsi="Arial" w:cs="Arial"/>
        </w:rPr>
        <w:t> will also be involved where necessary.  The Key Worker will ensure that any referrals are made if such support is thought to be required.</w:t>
      </w:r>
    </w:p>
    <w:p w:rsidR="0098056B" w:rsidRPr="00756889" w:rsidRDefault="0098056B" w:rsidP="000B0613">
      <w:pPr>
        <w:rPr>
          <w:rFonts w:ascii="Arial" w:hAnsi="Arial" w:cs="Arial"/>
          <w:sz w:val="16"/>
          <w:szCs w:val="16"/>
        </w:rPr>
      </w:pPr>
    </w:p>
    <w:p w:rsidR="0098056B" w:rsidRDefault="00A104ED" w:rsidP="000B0613">
      <w:pPr>
        <w:rPr>
          <w:rFonts w:ascii="Arial" w:hAnsi="Arial" w:cs="Arial"/>
        </w:rPr>
      </w:pPr>
      <w:r w:rsidRPr="00A104ED">
        <w:rPr>
          <w:rFonts w:ascii="Arial" w:hAnsi="Arial" w:cs="Arial"/>
          <w:b/>
        </w:rPr>
        <w:t>7.   Benefits</w:t>
      </w:r>
      <w:r>
        <w:rPr>
          <w:rFonts w:ascii="Arial" w:hAnsi="Arial" w:cs="Arial"/>
        </w:rPr>
        <w:t xml:space="preserve"> – Jobcentre Plus has provided single points of contact for each district and so far this is working well.</w:t>
      </w:r>
    </w:p>
    <w:p w:rsidR="00A104ED" w:rsidRPr="005D40CD" w:rsidRDefault="00A104ED" w:rsidP="000B0613">
      <w:pPr>
        <w:rPr>
          <w:rFonts w:ascii="Arial" w:hAnsi="Arial" w:cs="Arial"/>
        </w:rPr>
      </w:pPr>
    </w:p>
    <w:p w:rsidR="00833882" w:rsidRPr="00A104ED" w:rsidRDefault="00A104ED" w:rsidP="00833882">
      <w:pPr>
        <w:rPr>
          <w:b/>
        </w:rPr>
      </w:pPr>
      <w:r w:rsidRPr="00A104ED">
        <w:rPr>
          <w:b/>
        </w:rPr>
        <w:t xml:space="preserve">Chris Grosskopf.  Email:  </w:t>
      </w:r>
      <w:hyperlink r:id="rId4" w:history="1">
        <w:r w:rsidRPr="00A104ED">
          <w:rPr>
            <w:rStyle w:val="Hyperlink"/>
            <w:b/>
          </w:rPr>
          <w:t>chris.grosskopf@kent.gov.uk</w:t>
        </w:r>
      </w:hyperlink>
    </w:p>
    <w:p w:rsidR="00633E46" w:rsidRPr="00A104ED" w:rsidRDefault="00A104ED" w:rsidP="00833882">
      <w:pPr>
        <w:rPr>
          <w:b/>
        </w:rPr>
      </w:pPr>
      <w:r w:rsidRPr="00A104ED">
        <w:rPr>
          <w:b/>
        </w:rPr>
        <w:t>Tel:  03000 416181 or 07786 191737</w:t>
      </w:r>
    </w:p>
    <w:sectPr w:rsidR="00633E46" w:rsidRPr="00A104ED" w:rsidSect="00A104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rnU1xJ4qkPJ+1UfRvZxw1y2Ix0MGX3+AtElOCPDjYea9GRxmmRkOtNrhlopamiefIgrTnmrwMsAi9OCHVl/pg==" w:salt="BJxHbc851HdaNJNr15JG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27"/>
    <w:rsid w:val="00017F50"/>
    <w:rsid w:val="000757A1"/>
    <w:rsid w:val="000B0613"/>
    <w:rsid w:val="000B2F25"/>
    <w:rsid w:val="001357FA"/>
    <w:rsid w:val="00330F33"/>
    <w:rsid w:val="00442B76"/>
    <w:rsid w:val="005F7101"/>
    <w:rsid w:val="00633E46"/>
    <w:rsid w:val="00700877"/>
    <w:rsid w:val="00756889"/>
    <w:rsid w:val="007756D0"/>
    <w:rsid w:val="007849C6"/>
    <w:rsid w:val="007E5562"/>
    <w:rsid w:val="00833882"/>
    <w:rsid w:val="008D15A1"/>
    <w:rsid w:val="009317E4"/>
    <w:rsid w:val="00942257"/>
    <w:rsid w:val="0098056B"/>
    <w:rsid w:val="009B06DB"/>
    <w:rsid w:val="00A104ED"/>
    <w:rsid w:val="00AE24E6"/>
    <w:rsid w:val="00D91E9B"/>
    <w:rsid w:val="00E12A27"/>
    <w:rsid w:val="00E5365F"/>
    <w:rsid w:val="00E65311"/>
    <w:rsid w:val="00FD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D5491-D413-4F99-BC27-9E9BC0B7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04ED"/>
    <w:rPr>
      <w:color w:val="0563C1" w:themeColor="hyperlink"/>
      <w:u w:val="single"/>
    </w:rPr>
  </w:style>
  <w:style w:type="paragraph" w:styleId="BalloonText">
    <w:name w:val="Balloon Text"/>
    <w:basedOn w:val="Normal"/>
    <w:link w:val="BalloonTextChar"/>
    <w:uiPriority w:val="99"/>
    <w:semiHidden/>
    <w:unhideWhenUsed/>
    <w:rsid w:val="008D1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grosskopf@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919</Words>
  <Characters>5244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Grosskopf</dc:creator>
  <cp:keywords/>
  <dc:description/>
  <cp:lastModifiedBy>Christine Grosskopf</cp:lastModifiedBy>
  <cp:revision>25</cp:revision>
  <cp:lastPrinted>2016-01-19T14:13:00Z</cp:lastPrinted>
  <dcterms:created xsi:type="dcterms:W3CDTF">2016-01-19T13:20:00Z</dcterms:created>
  <dcterms:modified xsi:type="dcterms:W3CDTF">2016-01-19T15:25:00Z</dcterms:modified>
</cp:coreProperties>
</file>