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F1" w:rsidRPr="00BA32C5" w:rsidRDefault="00455C7B" w:rsidP="00455C7B">
      <w:pPr>
        <w:spacing w:after="0"/>
        <w:rPr>
          <w:rFonts w:ascii="Arial" w:hAnsi="Arial" w:cs="Arial"/>
          <w:b/>
          <w:sz w:val="24"/>
          <w:szCs w:val="24"/>
        </w:rPr>
      </w:pPr>
      <w:r w:rsidRPr="00BA32C5">
        <w:rPr>
          <w:rFonts w:ascii="Arial" w:hAnsi="Arial" w:cs="Arial"/>
          <w:b/>
          <w:sz w:val="24"/>
          <w:szCs w:val="24"/>
        </w:rPr>
        <w:t>Principles of Affordability</w:t>
      </w:r>
      <w:r w:rsidR="00726835">
        <w:rPr>
          <w:rFonts w:ascii="Arial" w:hAnsi="Arial" w:cs="Arial"/>
          <w:b/>
          <w:sz w:val="24"/>
          <w:szCs w:val="24"/>
        </w:rPr>
        <w:t xml:space="preserve"> – thoughts</w:t>
      </w:r>
      <w:r w:rsidR="00104B17" w:rsidRPr="00BA32C5">
        <w:rPr>
          <w:rFonts w:ascii="Arial" w:hAnsi="Arial" w:cs="Arial"/>
          <w:b/>
          <w:sz w:val="24"/>
          <w:szCs w:val="24"/>
        </w:rPr>
        <w:t xml:space="preserve"> for consideration</w:t>
      </w:r>
    </w:p>
    <w:p w:rsidR="00455C7B" w:rsidRDefault="00455C7B" w:rsidP="00455C7B">
      <w:pPr>
        <w:spacing w:after="0"/>
        <w:rPr>
          <w:rFonts w:ascii="Arial" w:hAnsi="Arial" w:cs="Arial"/>
          <w:sz w:val="24"/>
          <w:szCs w:val="24"/>
        </w:rPr>
      </w:pPr>
    </w:p>
    <w:p w:rsidR="00455C7B" w:rsidRDefault="00104B17" w:rsidP="00455C7B">
      <w:pPr>
        <w:spacing w:after="0"/>
        <w:rPr>
          <w:rStyle w:val="tgc"/>
          <w:rFonts w:ascii="Arial" w:hAnsi="Arial" w:cs="Arial"/>
          <w:color w:val="222222"/>
        </w:rPr>
      </w:pPr>
      <w:r>
        <w:rPr>
          <w:rStyle w:val="tgc"/>
          <w:rFonts w:ascii="Arial" w:hAnsi="Arial" w:cs="Arial"/>
          <w:color w:val="222222"/>
        </w:rPr>
        <w:t xml:space="preserve">Dictionary definition - </w:t>
      </w:r>
      <w:r w:rsidR="00455C7B">
        <w:rPr>
          <w:rStyle w:val="tgc"/>
          <w:rFonts w:ascii="Arial" w:hAnsi="Arial" w:cs="Arial"/>
          <w:color w:val="222222"/>
        </w:rPr>
        <w:t>The extent to which something is affordable, as measured by its cost relative to the amount that the purchaser is able to pay</w:t>
      </w:r>
      <w:r>
        <w:rPr>
          <w:rStyle w:val="tgc"/>
          <w:rFonts w:ascii="Arial" w:hAnsi="Arial" w:cs="Arial"/>
          <w:color w:val="222222"/>
        </w:rPr>
        <w:t>.</w:t>
      </w:r>
    </w:p>
    <w:p w:rsidR="00455C7B" w:rsidRDefault="00455C7B" w:rsidP="00455C7B">
      <w:pPr>
        <w:spacing w:after="0"/>
        <w:rPr>
          <w:rStyle w:val="tgc"/>
          <w:rFonts w:ascii="Arial" w:hAnsi="Arial" w:cs="Arial"/>
          <w:color w:val="222222"/>
        </w:rPr>
      </w:pPr>
    </w:p>
    <w:p w:rsidR="00455C7B" w:rsidRDefault="00455C7B" w:rsidP="00455C7B">
      <w:pPr>
        <w:spacing w:after="0"/>
        <w:rPr>
          <w:rStyle w:val="tgc"/>
          <w:rFonts w:ascii="Arial" w:hAnsi="Arial" w:cs="Arial"/>
          <w:color w:val="222222"/>
        </w:rPr>
      </w:pPr>
      <w:r>
        <w:rPr>
          <w:rStyle w:val="tgc"/>
          <w:rFonts w:ascii="Arial" w:hAnsi="Arial" w:cs="Arial"/>
          <w:color w:val="222222"/>
        </w:rPr>
        <w:t xml:space="preserve">Bank of England </w:t>
      </w:r>
      <w:r w:rsidR="00FF0E1D">
        <w:rPr>
          <w:rStyle w:val="tgc"/>
          <w:rFonts w:ascii="Arial" w:hAnsi="Arial" w:cs="Arial"/>
          <w:color w:val="222222"/>
        </w:rPr>
        <w:t xml:space="preserve">definition </w:t>
      </w:r>
      <w:r>
        <w:rPr>
          <w:rStyle w:val="tgc"/>
          <w:rFonts w:ascii="Arial" w:hAnsi="Arial" w:cs="Arial"/>
          <w:color w:val="222222"/>
        </w:rPr>
        <w:t xml:space="preserve">- </w:t>
      </w:r>
      <w:r w:rsidRPr="00455C7B">
        <w:rPr>
          <w:rStyle w:val="tgc"/>
          <w:rFonts w:ascii="Arial" w:hAnsi="Arial" w:cs="Arial"/>
          <w:color w:val="222222"/>
        </w:rPr>
        <w:t>‘When assessing affordability, mortgage lenders should apply an interest rate stress test that assesses whether borrowers could still afford their mortgages if, at any point over the first five years of the loan, Bank Rate were to be 3 percentage points higher than the prevailing rate at origination.</w:t>
      </w:r>
      <w:r>
        <w:rPr>
          <w:rStyle w:val="tgc"/>
          <w:rFonts w:ascii="Arial" w:hAnsi="Arial" w:cs="Arial"/>
          <w:color w:val="222222"/>
        </w:rPr>
        <w:t>’</w:t>
      </w:r>
    </w:p>
    <w:p w:rsidR="00491ECE" w:rsidRDefault="00104B17" w:rsidP="00FF4777">
      <w:pPr>
        <w:pStyle w:val="NormalWeb"/>
        <w:pBdr>
          <w:top w:val="single" w:sz="4" w:space="1" w:color="auto"/>
          <w:left w:val="single" w:sz="4" w:space="4" w:color="auto"/>
          <w:bottom w:val="single" w:sz="4" w:space="1" w:color="auto"/>
          <w:right w:val="single" w:sz="4" w:space="4" w:color="auto"/>
        </w:pBdr>
        <w:rPr>
          <w:rFonts w:ascii="Arial" w:hAnsi="Arial" w:cs="Arial"/>
          <w:lang w:val="en"/>
        </w:rPr>
      </w:pPr>
      <w:r w:rsidRPr="00104B17">
        <w:rPr>
          <w:rFonts w:ascii="Arial" w:hAnsi="Arial" w:cs="Arial"/>
          <w:lang w:val="en"/>
        </w:rPr>
        <w:t xml:space="preserve">Mortgage lenders take into consideration the following when deciding if the client can afford the mortgage :eating out, socialising, hotels, alcohol, cigarettes, </w:t>
      </w:r>
      <w:proofErr w:type="spellStart"/>
      <w:r w:rsidRPr="00104B17">
        <w:rPr>
          <w:rFonts w:ascii="Arial" w:hAnsi="Arial" w:cs="Arial"/>
          <w:lang w:val="en"/>
        </w:rPr>
        <w:t>tv</w:t>
      </w:r>
      <w:proofErr w:type="spellEnd"/>
      <w:r w:rsidRPr="00104B17">
        <w:rPr>
          <w:rFonts w:ascii="Arial" w:hAnsi="Arial" w:cs="Arial"/>
          <w:lang w:val="en"/>
        </w:rPr>
        <w:t xml:space="preserve"> and internet subscriptions, mobile phone, gym memberships, essential and non-essential travel, parking, clothing and footwear, haircuts, personal grooming, cleaning products, dry cleaning, pets, dental care, eye care, childcare, groceries</w:t>
      </w:r>
      <w:r w:rsidR="00726835">
        <w:rPr>
          <w:rFonts w:ascii="Arial" w:hAnsi="Arial" w:cs="Arial"/>
          <w:lang w:val="en"/>
        </w:rPr>
        <w:t>.</w:t>
      </w:r>
      <w:r w:rsidRPr="00104B17">
        <w:rPr>
          <w:rFonts w:ascii="Arial" w:hAnsi="Arial" w:cs="Arial"/>
          <w:lang w:val="en"/>
        </w:rPr>
        <w:t xml:space="preserve"> </w:t>
      </w:r>
    </w:p>
    <w:p w:rsidR="00726835" w:rsidRPr="00104B17" w:rsidRDefault="00726835" w:rsidP="00FF4777">
      <w:pPr>
        <w:pStyle w:val="NormalWeb"/>
        <w:pBdr>
          <w:top w:val="single" w:sz="4" w:space="1" w:color="auto"/>
          <w:left w:val="single" w:sz="4" w:space="4" w:color="auto"/>
          <w:bottom w:val="single" w:sz="4" w:space="1" w:color="auto"/>
          <w:right w:val="single" w:sz="4" w:space="4" w:color="auto"/>
        </w:pBdr>
        <w:rPr>
          <w:rFonts w:ascii="Arial" w:hAnsi="Arial" w:cs="Arial"/>
          <w:lang w:val="en"/>
        </w:rPr>
      </w:pPr>
      <w:r>
        <w:rPr>
          <w:rFonts w:ascii="Arial" w:hAnsi="Arial" w:cs="Arial"/>
          <w:lang w:val="en"/>
        </w:rPr>
        <w:t>They ask:</w:t>
      </w:r>
    </w:p>
    <w:p w:rsidR="00491ECE" w:rsidRPr="00104B17" w:rsidRDefault="00491ECE" w:rsidP="00FF4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r w:rsidRPr="00104B17">
        <w:rPr>
          <w:rFonts w:ascii="Arial" w:hAnsi="Arial" w:cs="Arial"/>
          <w:lang w:val="en"/>
        </w:rPr>
        <w:t xml:space="preserve">Do you have children? </w:t>
      </w:r>
    </w:p>
    <w:p w:rsidR="00491ECE" w:rsidRPr="00104B17" w:rsidRDefault="00491ECE" w:rsidP="00FF4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r w:rsidRPr="00104B17">
        <w:rPr>
          <w:rFonts w:ascii="Arial" w:hAnsi="Arial" w:cs="Arial"/>
          <w:lang w:val="en"/>
        </w:rPr>
        <w:t xml:space="preserve">Are you planning to start a family or have more children? </w:t>
      </w:r>
    </w:p>
    <w:p w:rsidR="00491ECE" w:rsidRPr="00104B17" w:rsidRDefault="00491ECE" w:rsidP="00FF4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r w:rsidRPr="00104B17">
        <w:rPr>
          <w:rFonts w:ascii="Arial" w:hAnsi="Arial" w:cs="Arial"/>
          <w:lang w:val="en"/>
        </w:rPr>
        <w:t xml:space="preserve">Do you have any plans to leave your job, start a business or become self-employed? </w:t>
      </w:r>
    </w:p>
    <w:p w:rsidR="00491ECE" w:rsidRPr="00104B17" w:rsidRDefault="00491ECE" w:rsidP="00FF4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r w:rsidRPr="00104B17">
        <w:rPr>
          <w:rFonts w:ascii="Arial" w:hAnsi="Arial" w:cs="Arial"/>
          <w:lang w:val="en"/>
        </w:rPr>
        <w:t xml:space="preserve">Do you expect your income to fall over the next few years? </w:t>
      </w:r>
    </w:p>
    <w:p w:rsidR="00491ECE" w:rsidRPr="00104B17" w:rsidRDefault="00491ECE" w:rsidP="00FF4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r w:rsidRPr="00104B17">
        <w:rPr>
          <w:rFonts w:ascii="Arial" w:hAnsi="Arial" w:cs="Arial"/>
          <w:lang w:val="en"/>
        </w:rPr>
        <w:t xml:space="preserve">Have you ever taken out a payday loan? </w:t>
      </w:r>
    </w:p>
    <w:p w:rsidR="00491ECE" w:rsidRDefault="00491ECE" w:rsidP="00FF4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r w:rsidRPr="00104B17">
        <w:rPr>
          <w:rFonts w:ascii="Arial" w:hAnsi="Arial" w:cs="Arial"/>
          <w:lang w:val="en"/>
        </w:rPr>
        <w:t xml:space="preserve">Do you ever gamble? </w:t>
      </w:r>
    </w:p>
    <w:p w:rsidR="00FF4777" w:rsidRDefault="00FF4777" w:rsidP="00FF477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p>
    <w:p w:rsidR="00FF4777" w:rsidRDefault="00FF4777" w:rsidP="00FF477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lang w:val="en"/>
        </w:rPr>
      </w:pPr>
      <w:r>
        <w:rPr>
          <w:rFonts w:ascii="Arial" w:hAnsi="Arial" w:cs="Arial"/>
          <w:lang w:val="en"/>
        </w:rPr>
        <w:t>Do we?</w:t>
      </w:r>
    </w:p>
    <w:p w:rsidR="00104B17" w:rsidRDefault="00104B17" w:rsidP="00104B17">
      <w:pPr>
        <w:pStyle w:val="NormalWeb"/>
        <w:spacing w:before="0" w:beforeAutospacing="0" w:after="0" w:afterAutospacing="0"/>
        <w:rPr>
          <w:rFonts w:ascii="Arial" w:hAnsi="Arial" w:cs="Arial"/>
          <w:lang w:val="en"/>
        </w:rPr>
      </w:pPr>
    </w:p>
    <w:p w:rsidR="00FF4777" w:rsidRDefault="00FF4777" w:rsidP="00104B17">
      <w:pPr>
        <w:pStyle w:val="NormalWeb"/>
        <w:spacing w:before="0" w:beforeAutospacing="0" w:after="0" w:afterAutospacing="0"/>
        <w:rPr>
          <w:rFonts w:ascii="Arial" w:hAnsi="Arial" w:cs="Arial"/>
          <w:lang w:val="en"/>
        </w:rPr>
      </w:pPr>
      <w:r>
        <w:rPr>
          <w:rFonts w:ascii="Arial" w:hAnsi="Arial" w:cs="Arial"/>
          <w:lang w:val="en"/>
        </w:rPr>
        <w:t xml:space="preserve">Do we take into consideration priority debts or all outgoings? </w:t>
      </w:r>
    </w:p>
    <w:p w:rsidR="00FF4777" w:rsidRDefault="00FF4777" w:rsidP="00104B17">
      <w:pPr>
        <w:pStyle w:val="NormalWeb"/>
        <w:spacing w:before="0" w:beforeAutospacing="0" w:after="0" w:afterAutospacing="0"/>
        <w:rPr>
          <w:rFonts w:ascii="Arial" w:hAnsi="Arial" w:cs="Arial"/>
          <w:lang w:val="en"/>
        </w:rPr>
      </w:pPr>
    </w:p>
    <w:p w:rsidR="00104B17" w:rsidRDefault="00104B17" w:rsidP="00104B17">
      <w:pPr>
        <w:pStyle w:val="NormalWeb"/>
        <w:spacing w:before="0" w:beforeAutospacing="0" w:after="0" w:afterAutospacing="0"/>
        <w:rPr>
          <w:rFonts w:ascii="Arial" w:hAnsi="Arial" w:cs="Arial"/>
          <w:lang w:val="en"/>
        </w:rPr>
      </w:pPr>
      <w:proofErr w:type="gramStart"/>
      <w:r>
        <w:rPr>
          <w:rFonts w:ascii="Arial" w:hAnsi="Arial" w:cs="Arial"/>
          <w:lang w:val="en"/>
        </w:rPr>
        <w:t xml:space="preserve">Affordability at the point of letting should </w:t>
      </w:r>
      <w:r w:rsidR="007A0E34">
        <w:rPr>
          <w:rFonts w:ascii="Arial" w:hAnsi="Arial" w:cs="Arial"/>
          <w:lang w:val="en"/>
        </w:rPr>
        <w:t xml:space="preserve">it </w:t>
      </w:r>
      <w:r>
        <w:rPr>
          <w:rFonts w:ascii="Arial" w:hAnsi="Arial" w:cs="Arial"/>
          <w:lang w:val="en"/>
        </w:rPr>
        <w:t>include the cost of</w:t>
      </w:r>
      <w:r w:rsidR="007A0E34">
        <w:rPr>
          <w:rFonts w:ascii="Arial" w:hAnsi="Arial" w:cs="Arial"/>
          <w:lang w:val="en"/>
        </w:rPr>
        <w:t xml:space="preserve"> moving / setting up a new home?</w:t>
      </w:r>
      <w:proofErr w:type="gramEnd"/>
    </w:p>
    <w:p w:rsidR="00104B17" w:rsidRDefault="00104B17" w:rsidP="00104B17">
      <w:pPr>
        <w:pStyle w:val="NormalWeb"/>
        <w:spacing w:before="0" w:beforeAutospacing="0" w:after="0" w:afterAutospacing="0"/>
        <w:rPr>
          <w:rFonts w:ascii="Arial" w:hAnsi="Arial" w:cs="Arial"/>
          <w:lang w:val="en"/>
        </w:rPr>
      </w:pPr>
    </w:p>
    <w:p w:rsidR="00104B17" w:rsidRDefault="007A0E34" w:rsidP="00104B17">
      <w:pPr>
        <w:pStyle w:val="NormalWeb"/>
        <w:spacing w:before="0" w:beforeAutospacing="0" w:after="0" w:afterAutospacing="0"/>
        <w:rPr>
          <w:rFonts w:ascii="Arial" w:hAnsi="Arial" w:cs="Arial"/>
          <w:lang w:val="en"/>
        </w:rPr>
      </w:pPr>
      <w:r>
        <w:rPr>
          <w:rFonts w:ascii="Arial" w:hAnsi="Arial" w:cs="Arial"/>
          <w:lang w:val="en"/>
        </w:rPr>
        <w:t>Should we look at the a</w:t>
      </w:r>
      <w:r w:rsidR="00104B17">
        <w:rPr>
          <w:rFonts w:ascii="Arial" w:hAnsi="Arial" w:cs="Arial"/>
          <w:lang w:val="en"/>
        </w:rPr>
        <w:t>bility</w:t>
      </w:r>
      <w:r>
        <w:rPr>
          <w:rFonts w:ascii="Arial" w:hAnsi="Arial" w:cs="Arial"/>
          <w:lang w:val="en"/>
        </w:rPr>
        <w:t xml:space="preserve"> of the tenant to </w:t>
      </w:r>
      <w:r w:rsidR="00104B17">
        <w:rPr>
          <w:rFonts w:ascii="Arial" w:hAnsi="Arial" w:cs="Arial"/>
          <w:lang w:val="en"/>
        </w:rPr>
        <w:t>secure an income</w:t>
      </w:r>
      <w:r w:rsidR="00FF4777">
        <w:rPr>
          <w:rFonts w:ascii="Arial" w:hAnsi="Arial" w:cs="Arial"/>
          <w:lang w:val="en"/>
        </w:rPr>
        <w:t>?</w:t>
      </w:r>
    </w:p>
    <w:p w:rsidR="00FF4777" w:rsidRDefault="00FF4777" w:rsidP="00104B17">
      <w:pPr>
        <w:pStyle w:val="NormalWeb"/>
        <w:spacing w:before="0" w:beforeAutospacing="0" w:after="0" w:afterAutospacing="0"/>
        <w:rPr>
          <w:rFonts w:ascii="Arial" w:hAnsi="Arial" w:cs="Arial"/>
          <w:lang w:val="en"/>
        </w:rPr>
      </w:pPr>
    </w:p>
    <w:p w:rsidR="00FF4777" w:rsidRDefault="00BA32C5" w:rsidP="00104B17">
      <w:pPr>
        <w:pStyle w:val="NormalWeb"/>
        <w:spacing w:before="0" w:beforeAutospacing="0" w:after="0" w:afterAutospacing="0"/>
        <w:rPr>
          <w:rFonts w:ascii="Arial" w:hAnsi="Arial" w:cs="Arial"/>
          <w:lang w:val="en"/>
        </w:rPr>
      </w:pPr>
      <w:proofErr w:type="gramStart"/>
      <w:r>
        <w:rPr>
          <w:rFonts w:ascii="Arial" w:hAnsi="Arial" w:cs="Arial"/>
          <w:lang w:val="en"/>
        </w:rPr>
        <w:t>Potential to be able to afford – should we invest our ‘added value’ services to those who aspire for more?</w:t>
      </w:r>
      <w:proofErr w:type="gramEnd"/>
    </w:p>
    <w:p w:rsidR="00FF4777" w:rsidRDefault="00FF4777" w:rsidP="00104B17">
      <w:pPr>
        <w:pStyle w:val="NormalWeb"/>
        <w:spacing w:before="0" w:beforeAutospacing="0" w:after="0" w:afterAutospacing="0"/>
        <w:rPr>
          <w:rFonts w:ascii="Arial" w:hAnsi="Arial" w:cs="Arial"/>
          <w:lang w:val="en"/>
        </w:rPr>
      </w:pPr>
    </w:p>
    <w:p w:rsidR="00FF4777" w:rsidRDefault="00FF4777" w:rsidP="00104B17">
      <w:pPr>
        <w:pStyle w:val="NormalWeb"/>
        <w:spacing w:before="0" w:beforeAutospacing="0" w:after="0" w:afterAutospacing="0"/>
        <w:rPr>
          <w:rFonts w:ascii="Arial" w:hAnsi="Arial" w:cs="Arial"/>
          <w:lang w:val="en"/>
        </w:rPr>
      </w:pPr>
      <w:r>
        <w:rPr>
          <w:rFonts w:ascii="Arial" w:hAnsi="Arial" w:cs="Arial"/>
          <w:lang w:val="en"/>
        </w:rPr>
        <w:t>Should we be contracting with tenants that the accommodation comes with the expectation that they will work?</w:t>
      </w:r>
    </w:p>
    <w:p w:rsidR="00FF4777" w:rsidRDefault="00FF4777" w:rsidP="00104B17">
      <w:pPr>
        <w:pStyle w:val="NormalWeb"/>
        <w:spacing w:before="0" w:beforeAutospacing="0" w:after="0" w:afterAutospacing="0"/>
        <w:rPr>
          <w:rFonts w:ascii="Arial" w:hAnsi="Arial" w:cs="Arial"/>
          <w:lang w:val="en"/>
        </w:rPr>
      </w:pPr>
    </w:p>
    <w:p w:rsidR="00FF4777" w:rsidRDefault="00FF4777" w:rsidP="00104B17">
      <w:pPr>
        <w:pStyle w:val="NormalWeb"/>
        <w:spacing w:before="0" w:beforeAutospacing="0" w:after="0" w:afterAutospacing="0"/>
        <w:rPr>
          <w:rFonts w:ascii="Arial" w:hAnsi="Arial" w:cs="Arial"/>
          <w:lang w:val="en"/>
        </w:rPr>
      </w:pPr>
      <w:r>
        <w:rPr>
          <w:rFonts w:ascii="Arial" w:hAnsi="Arial" w:cs="Arial"/>
          <w:lang w:val="en"/>
        </w:rPr>
        <w:t>Should the assessment of income include the whole household or just the tenant(s)?</w:t>
      </w:r>
    </w:p>
    <w:p w:rsidR="00FF4777" w:rsidRDefault="00FF4777" w:rsidP="00104B17">
      <w:pPr>
        <w:pStyle w:val="NormalWeb"/>
        <w:spacing w:before="0" w:beforeAutospacing="0" w:after="0" w:afterAutospacing="0"/>
        <w:rPr>
          <w:rFonts w:ascii="Arial" w:hAnsi="Arial" w:cs="Arial"/>
          <w:lang w:val="en"/>
        </w:rPr>
      </w:pPr>
    </w:p>
    <w:p w:rsidR="00FF4777" w:rsidRDefault="00FF4777" w:rsidP="00104B17">
      <w:pPr>
        <w:pStyle w:val="NormalWeb"/>
        <w:spacing w:before="0" w:beforeAutospacing="0" w:after="0" w:afterAutospacing="0"/>
        <w:rPr>
          <w:rFonts w:ascii="Arial" w:hAnsi="Arial" w:cs="Arial"/>
          <w:lang w:val="en"/>
        </w:rPr>
      </w:pPr>
      <w:r>
        <w:rPr>
          <w:rFonts w:ascii="Arial" w:hAnsi="Arial" w:cs="Arial"/>
          <w:lang w:val="en"/>
        </w:rPr>
        <w:t xml:space="preserve">Assessment of outgoings when someone has had a home will be more accurate than an estimate of outgoings if </w:t>
      </w:r>
      <w:r w:rsidR="00BA32C5">
        <w:rPr>
          <w:rFonts w:ascii="Arial" w:hAnsi="Arial" w:cs="Arial"/>
          <w:lang w:val="en"/>
        </w:rPr>
        <w:t>someone has not run a home previously.</w:t>
      </w:r>
    </w:p>
    <w:p w:rsidR="00FF0E1D" w:rsidRDefault="00FF0E1D" w:rsidP="00104B17">
      <w:pPr>
        <w:pStyle w:val="NormalWeb"/>
        <w:spacing w:before="0" w:beforeAutospacing="0" w:after="0" w:afterAutospacing="0"/>
        <w:rPr>
          <w:rFonts w:ascii="Arial" w:hAnsi="Arial" w:cs="Arial"/>
          <w:lang w:val="en"/>
        </w:rPr>
      </w:pPr>
    </w:p>
    <w:p w:rsidR="00FF0E1D" w:rsidRDefault="00FF0E1D" w:rsidP="00104B17">
      <w:pPr>
        <w:pStyle w:val="NormalWeb"/>
        <w:spacing w:before="0" w:beforeAutospacing="0" w:after="0" w:afterAutospacing="0"/>
        <w:rPr>
          <w:rFonts w:ascii="Arial" w:hAnsi="Arial" w:cs="Arial"/>
        </w:rPr>
      </w:pPr>
      <w:r>
        <w:rPr>
          <w:rStyle w:val="Strong"/>
          <w:rFonts w:ascii="Arial" w:hAnsi="Arial" w:cs="Arial"/>
          <w:b w:val="0"/>
          <w:bCs w:val="0"/>
        </w:rPr>
        <w:t xml:space="preserve">Are there characteristics of tenants who will fall into arrears?  </w:t>
      </w:r>
      <w:r w:rsidRPr="00FF0E1D">
        <w:rPr>
          <w:rStyle w:val="Strong"/>
          <w:rFonts w:ascii="Arial" w:hAnsi="Arial" w:cs="Arial"/>
          <w:b w:val="0"/>
          <w:bCs w:val="0"/>
        </w:rPr>
        <w:t>Circle Housing's HB2U pilot project</w:t>
      </w:r>
      <w:r>
        <w:rPr>
          <w:rStyle w:val="Strong"/>
          <w:rFonts w:ascii="Arial" w:hAnsi="Arial" w:cs="Arial"/>
          <w:bCs w:val="0"/>
        </w:rPr>
        <w:t xml:space="preserve"> </w:t>
      </w:r>
      <w:r w:rsidRPr="00FF0E1D">
        <w:rPr>
          <w:rStyle w:val="Strong"/>
          <w:rFonts w:ascii="Arial" w:hAnsi="Arial" w:cs="Arial"/>
          <w:b w:val="0"/>
          <w:bCs w:val="0"/>
        </w:rPr>
        <w:t>found that</w:t>
      </w:r>
      <w:r>
        <w:rPr>
          <w:rStyle w:val="Strong"/>
          <w:rFonts w:ascii="Arial" w:hAnsi="Arial" w:cs="Arial"/>
          <w:bCs w:val="0"/>
        </w:rPr>
        <w:t xml:space="preserve"> </w:t>
      </w:r>
      <w:r w:rsidRPr="00FF0E1D">
        <w:rPr>
          <w:rFonts w:ascii="Arial" w:hAnsi="Arial" w:cs="Arial"/>
        </w:rPr>
        <w:t xml:space="preserve">it was </w:t>
      </w:r>
      <w:r w:rsidRPr="00FF0E1D">
        <w:rPr>
          <w:rFonts w:ascii="Arial" w:hAnsi="Arial" w:cs="Arial"/>
          <w:bCs/>
        </w:rPr>
        <w:t>not possible to accurately predict particular groups of tenants who would accrue arrears</w:t>
      </w:r>
      <w:r w:rsidRPr="00FF0E1D">
        <w:rPr>
          <w:rFonts w:ascii="Arial" w:hAnsi="Arial" w:cs="Arial"/>
        </w:rPr>
        <w:t xml:space="preserve">. Arrears were often accrued as the result of </w:t>
      </w:r>
      <w:r w:rsidRPr="00FF0E1D">
        <w:rPr>
          <w:rFonts w:ascii="Arial" w:hAnsi="Arial" w:cs="Arial"/>
        </w:rPr>
        <w:lastRenderedPageBreak/>
        <w:t>unpredictable events emerging whilst tenants were on HB2U, such as a change in household circumstances.</w:t>
      </w:r>
    </w:p>
    <w:p w:rsidR="007A0E34" w:rsidRDefault="007A0E34" w:rsidP="00104B17">
      <w:pPr>
        <w:pStyle w:val="NormalWeb"/>
        <w:spacing w:before="0" w:beforeAutospacing="0" w:after="0" w:afterAutospacing="0"/>
        <w:rPr>
          <w:rFonts w:ascii="Arial" w:hAnsi="Arial" w:cs="Arial"/>
        </w:rPr>
      </w:pPr>
    </w:p>
    <w:p w:rsidR="007A0E34" w:rsidRDefault="005D4188" w:rsidP="005D4188">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I</w:t>
      </w:r>
      <w:r w:rsidR="007A0E34">
        <w:rPr>
          <w:sz w:val="22"/>
          <w:szCs w:val="22"/>
        </w:rPr>
        <w:t>t is important to look at local income levels. This det</w:t>
      </w:r>
      <w:r>
        <w:rPr>
          <w:sz w:val="22"/>
          <w:szCs w:val="22"/>
        </w:rPr>
        <w:t xml:space="preserve">ermines levels of affordability.  </w:t>
      </w:r>
    </w:p>
    <w:p w:rsidR="005D4188" w:rsidRDefault="005D4188" w:rsidP="005D4188">
      <w:pPr>
        <w:pStyle w:val="Default"/>
        <w:pBdr>
          <w:top w:val="single" w:sz="4" w:space="1" w:color="auto"/>
          <w:left w:val="single" w:sz="4" w:space="4" w:color="auto"/>
          <w:bottom w:val="single" w:sz="4" w:space="1" w:color="auto"/>
          <w:right w:val="single" w:sz="4" w:space="4" w:color="auto"/>
        </w:pBdr>
        <w:rPr>
          <w:sz w:val="22"/>
          <w:szCs w:val="22"/>
        </w:rPr>
      </w:pPr>
    </w:p>
    <w:p w:rsidR="007A0E34" w:rsidRDefault="007A0E34" w:rsidP="005D4188">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The Maidstone Strategic Housing Market Assessment (January 2014) showed that over a quarter of households have an income below £20,000 with a further third in the range of £20,000 to £40,000. The overall average income of all households in the Borough was estimated to be around £31,600 with a mean income of £42,000. </w:t>
      </w:r>
    </w:p>
    <w:p w:rsidR="007A0E34" w:rsidRDefault="007A0E34" w:rsidP="005D4188">
      <w:pPr>
        <w:pStyle w:val="Default"/>
        <w:pBdr>
          <w:top w:val="single" w:sz="4" w:space="1" w:color="auto"/>
          <w:left w:val="single" w:sz="4" w:space="4" w:color="auto"/>
          <w:bottom w:val="single" w:sz="4" w:space="1" w:color="auto"/>
          <w:right w:val="single" w:sz="4" w:space="4" w:color="auto"/>
        </w:pBdr>
        <w:rPr>
          <w:sz w:val="22"/>
          <w:szCs w:val="22"/>
        </w:rPr>
      </w:pPr>
    </w:p>
    <w:p w:rsidR="007A0E34" w:rsidRPr="005D4188" w:rsidRDefault="007A0E34" w:rsidP="005D418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r w:rsidRPr="005D4188">
        <w:rPr>
          <w:rFonts w:ascii="Arial" w:hAnsi="Arial" w:cs="Arial"/>
        </w:rPr>
        <w:t>The table below shows acro</w:t>
      </w:r>
      <w:r w:rsidR="005D4188">
        <w:rPr>
          <w:rFonts w:ascii="Arial" w:hAnsi="Arial" w:cs="Arial"/>
        </w:rPr>
        <w:t>ss the borough of Maidstone</w:t>
      </w:r>
      <w:r w:rsidRPr="005D4188">
        <w:rPr>
          <w:rFonts w:ascii="Arial" w:hAnsi="Arial" w:cs="Arial"/>
        </w:rPr>
        <w:t xml:space="preserve"> that it is estimated that around </w:t>
      </w:r>
      <w:r w:rsidRPr="005D4188">
        <w:rPr>
          <w:rFonts w:ascii="Arial" w:hAnsi="Arial" w:cs="Arial"/>
          <w:b/>
          <w:bCs/>
        </w:rPr>
        <w:t xml:space="preserve">43% </w:t>
      </w:r>
      <w:r w:rsidRPr="005D4188">
        <w:rPr>
          <w:rFonts w:ascii="Arial" w:hAnsi="Arial" w:cs="Arial"/>
        </w:rPr>
        <w:t>of households are unable to access market housing on the basis of income levels.</w:t>
      </w:r>
    </w:p>
    <w:p w:rsidR="00104B17" w:rsidRDefault="00104B17" w:rsidP="005D418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p>
    <w:p w:rsidR="005D4188" w:rsidRDefault="005D4188" w:rsidP="005D418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r>
        <w:rPr>
          <w:rFonts w:ascii="Arial" w:hAnsi="Arial" w:cs="Arial"/>
          <w:noProof/>
        </w:rPr>
        <w:drawing>
          <wp:inline distT="0" distB="0" distL="0" distR="0" wp14:anchorId="60963EF3" wp14:editId="7EF9D175">
            <wp:extent cx="5731510" cy="1234968"/>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234968"/>
                    </a:xfrm>
                    <a:prstGeom prst="rect">
                      <a:avLst/>
                    </a:prstGeom>
                    <a:noFill/>
                    <a:ln>
                      <a:noFill/>
                    </a:ln>
                  </pic:spPr>
                </pic:pic>
              </a:graphicData>
            </a:graphic>
          </wp:inline>
        </w:drawing>
      </w:r>
    </w:p>
    <w:p w:rsidR="005D4188" w:rsidRPr="005D4188" w:rsidRDefault="005D4188" w:rsidP="005D418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lang w:val="en"/>
        </w:rPr>
      </w:pPr>
      <w:r w:rsidRPr="005D4188">
        <w:rPr>
          <w:rFonts w:ascii="Arial" w:hAnsi="Arial" w:cs="Arial"/>
          <w:sz w:val="20"/>
          <w:szCs w:val="20"/>
        </w:rPr>
        <w:t>Source: Maidstone Strategic Housing Market Assessment (January 2014)</w:t>
      </w:r>
    </w:p>
    <w:p w:rsidR="00491ECE" w:rsidRDefault="00491ECE" w:rsidP="005D418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5D4188" w:rsidRDefault="005D4188" w:rsidP="00455C7B">
      <w:pPr>
        <w:spacing w:after="0"/>
        <w:rPr>
          <w:rFonts w:ascii="Arial" w:hAnsi="Arial" w:cs="Arial"/>
          <w:sz w:val="24"/>
          <w:szCs w:val="24"/>
        </w:rPr>
      </w:pPr>
    </w:p>
    <w:p w:rsidR="005D4188" w:rsidRPr="00455C7B" w:rsidRDefault="005D4188" w:rsidP="00455C7B">
      <w:pPr>
        <w:spacing w:after="0"/>
        <w:rPr>
          <w:rFonts w:ascii="Arial" w:hAnsi="Arial" w:cs="Arial"/>
          <w:sz w:val="24"/>
          <w:szCs w:val="24"/>
        </w:rPr>
      </w:pPr>
      <w:bookmarkStart w:id="0" w:name="_GoBack"/>
      <w:bookmarkEnd w:id="0"/>
    </w:p>
    <w:sectPr w:rsidR="005D4188" w:rsidRPr="00455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B"/>
    <w:rsid w:val="00104B17"/>
    <w:rsid w:val="00455C7B"/>
    <w:rsid w:val="00491ECE"/>
    <w:rsid w:val="005D4188"/>
    <w:rsid w:val="00726835"/>
    <w:rsid w:val="007A0E34"/>
    <w:rsid w:val="00BA32C5"/>
    <w:rsid w:val="00E839F1"/>
    <w:rsid w:val="00FF0E1D"/>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455C7B"/>
  </w:style>
  <w:style w:type="paragraph" w:styleId="NormalWeb">
    <w:name w:val="Normal (Web)"/>
    <w:basedOn w:val="Normal"/>
    <w:uiPriority w:val="99"/>
    <w:semiHidden/>
    <w:unhideWhenUsed/>
    <w:rsid w:val="00491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0E1D"/>
    <w:rPr>
      <w:b/>
      <w:bCs/>
    </w:rPr>
  </w:style>
  <w:style w:type="paragraph" w:customStyle="1" w:styleId="Default">
    <w:name w:val="Default"/>
    <w:rsid w:val="007A0E3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D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455C7B"/>
  </w:style>
  <w:style w:type="paragraph" w:styleId="NormalWeb">
    <w:name w:val="Normal (Web)"/>
    <w:basedOn w:val="Normal"/>
    <w:uiPriority w:val="99"/>
    <w:semiHidden/>
    <w:unhideWhenUsed/>
    <w:rsid w:val="00491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0E1D"/>
    <w:rPr>
      <w:b/>
      <w:bCs/>
    </w:rPr>
  </w:style>
  <w:style w:type="paragraph" w:customStyle="1" w:styleId="Default">
    <w:name w:val="Default"/>
    <w:rsid w:val="007A0E3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D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751244">
      <w:bodyDiv w:val="1"/>
      <w:marLeft w:val="0"/>
      <w:marRight w:val="0"/>
      <w:marTop w:val="0"/>
      <w:marBottom w:val="0"/>
      <w:divBdr>
        <w:top w:val="none" w:sz="0" w:space="0" w:color="auto"/>
        <w:left w:val="none" w:sz="0" w:space="0" w:color="auto"/>
        <w:bottom w:val="none" w:sz="0" w:space="0" w:color="auto"/>
        <w:right w:val="none" w:sz="0" w:space="0" w:color="auto"/>
      </w:divBdr>
      <w:divsChild>
        <w:div w:id="587080403">
          <w:marLeft w:val="0"/>
          <w:marRight w:val="0"/>
          <w:marTop w:val="0"/>
          <w:marBottom w:val="0"/>
          <w:divBdr>
            <w:top w:val="none" w:sz="0" w:space="0" w:color="auto"/>
            <w:left w:val="none" w:sz="0" w:space="0" w:color="auto"/>
            <w:bottom w:val="none" w:sz="0" w:space="0" w:color="auto"/>
            <w:right w:val="none" w:sz="0" w:space="0" w:color="auto"/>
          </w:divBdr>
          <w:divsChild>
            <w:div w:id="635910112">
              <w:marLeft w:val="0"/>
              <w:marRight w:val="0"/>
              <w:marTop w:val="0"/>
              <w:marBottom w:val="0"/>
              <w:divBdr>
                <w:top w:val="none" w:sz="0" w:space="0" w:color="auto"/>
                <w:left w:val="none" w:sz="0" w:space="0" w:color="auto"/>
                <w:bottom w:val="none" w:sz="0" w:space="0" w:color="auto"/>
                <w:right w:val="none" w:sz="0" w:space="0" w:color="auto"/>
              </w:divBdr>
              <w:divsChild>
                <w:div w:id="746224633">
                  <w:marLeft w:val="0"/>
                  <w:marRight w:val="0"/>
                  <w:marTop w:val="0"/>
                  <w:marBottom w:val="0"/>
                  <w:divBdr>
                    <w:top w:val="none" w:sz="0" w:space="0" w:color="auto"/>
                    <w:left w:val="none" w:sz="0" w:space="0" w:color="auto"/>
                    <w:bottom w:val="none" w:sz="0" w:space="0" w:color="auto"/>
                    <w:right w:val="none" w:sz="0" w:space="0" w:color="auto"/>
                  </w:divBdr>
                  <w:divsChild>
                    <w:div w:id="44527898">
                      <w:marLeft w:val="0"/>
                      <w:marRight w:val="0"/>
                      <w:marTop w:val="0"/>
                      <w:marBottom w:val="0"/>
                      <w:divBdr>
                        <w:top w:val="none" w:sz="0" w:space="0" w:color="auto"/>
                        <w:left w:val="none" w:sz="0" w:space="0" w:color="auto"/>
                        <w:bottom w:val="none" w:sz="0" w:space="0" w:color="auto"/>
                        <w:right w:val="none" w:sz="0" w:space="0" w:color="auto"/>
                      </w:divBdr>
                      <w:divsChild>
                        <w:div w:id="203909704">
                          <w:marLeft w:val="0"/>
                          <w:marRight w:val="0"/>
                          <w:marTop w:val="0"/>
                          <w:marBottom w:val="0"/>
                          <w:divBdr>
                            <w:top w:val="none" w:sz="0" w:space="0" w:color="auto"/>
                            <w:left w:val="none" w:sz="0" w:space="0" w:color="auto"/>
                            <w:bottom w:val="none" w:sz="0" w:space="0" w:color="auto"/>
                            <w:right w:val="none" w:sz="0" w:space="0" w:color="auto"/>
                          </w:divBdr>
                          <w:divsChild>
                            <w:div w:id="524172663">
                              <w:marLeft w:val="0"/>
                              <w:marRight w:val="0"/>
                              <w:marTop w:val="0"/>
                              <w:marBottom w:val="0"/>
                              <w:divBdr>
                                <w:top w:val="none" w:sz="0" w:space="0" w:color="auto"/>
                                <w:left w:val="none" w:sz="0" w:space="0" w:color="auto"/>
                                <w:bottom w:val="none" w:sz="0" w:space="0" w:color="auto"/>
                                <w:right w:val="none" w:sz="0" w:space="0" w:color="auto"/>
                              </w:divBdr>
                              <w:divsChild>
                                <w:div w:id="2071151011">
                                  <w:marLeft w:val="0"/>
                                  <w:marRight w:val="0"/>
                                  <w:marTop w:val="0"/>
                                  <w:marBottom w:val="0"/>
                                  <w:divBdr>
                                    <w:top w:val="none" w:sz="0" w:space="0" w:color="auto"/>
                                    <w:left w:val="none" w:sz="0" w:space="0" w:color="auto"/>
                                    <w:bottom w:val="none" w:sz="0" w:space="0" w:color="auto"/>
                                    <w:right w:val="none" w:sz="0" w:space="0" w:color="auto"/>
                                  </w:divBdr>
                                  <w:divsChild>
                                    <w:div w:id="4307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D2ECC2CB</Template>
  <TotalTime>108</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Golding Housing</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Sudbury</dc:creator>
  <cp:lastModifiedBy>Helen Sudbury</cp:lastModifiedBy>
  <cp:revision>5</cp:revision>
  <cp:lastPrinted>2016-05-27T08:51:00Z</cp:lastPrinted>
  <dcterms:created xsi:type="dcterms:W3CDTF">2016-05-25T10:18:00Z</dcterms:created>
  <dcterms:modified xsi:type="dcterms:W3CDTF">2016-05-27T08:52:00Z</dcterms:modified>
</cp:coreProperties>
</file>