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72" w:rsidRPr="00B86DFE" w:rsidRDefault="00C84B72" w:rsidP="00C84B72">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Report to: </w:t>
      </w:r>
      <w:r w:rsidRPr="00B86DFE">
        <w:rPr>
          <w:rFonts w:ascii="Arial" w:eastAsiaTheme="minorHAnsi" w:hAnsi="Arial" w:cs="Arial"/>
          <w:b/>
          <w:lang w:eastAsia="en-US"/>
        </w:rPr>
        <w:tab/>
      </w:r>
      <w:r w:rsidR="005A2B52">
        <w:rPr>
          <w:rFonts w:ascii="Arial" w:eastAsiaTheme="minorHAnsi" w:hAnsi="Arial" w:cs="Arial"/>
          <w:b/>
          <w:lang w:eastAsia="en-US"/>
        </w:rPr>
        <w:t>Kent Housing Group</w:t>
      </w:r>
    </w:p>
    <w:p w:rsidR="00C84B72" w:rsidRPr="00B86DFE" w:rsidRDefault="00C84B72" w:rsidP="00C84B72">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From: </w:t>
      </w:r>
      <w:r w:rsidRPr="00B86DFE">
        <w:rPr>
          <w:rFonts w:ascii="Arial" w:eastAsiaTheme="minorHAnsi" w:hAnsi="Arial" w:cs="Arial"/>
          <w:b/>
          <w:lang w:eastAsia="en-US"/>
        </w:rPr>
        <w:tab/>
        <w:t xml:space="preserve">Homes &amp; Communities Agency </w:t>
      </w:r>
    </w:p>
    <w:p w:rsidR="00C84B72" w:rsidRPr="00B86DFE" w:rsidRDefault="00C84B72" w:rsidP="00C84B72">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 xml:space="preserve">Date: </w:t>
      </w:r>
      <w:r w:rsidRPr="00B86DFE">
        <w:rPr>
          <w:rFonts w:ascii="Arial" w:eastAsiaTheme="minorHAnsi" w:hAnsi="Arial" w:cs="Arial"/>
          <w:b/>
          <w:lang w:eastAsia="en-US"/>
        </w:rPr>
        <w:tab/>
      </w:r>
      <w:r w:rsidRPr="00B86DFE">
        <w:rPr>
          <w:rFonts w:ascii="Arial" w:eastAsiaTheme="minorHAnsi" w:hAnsi="Arial" w:cs="Arial"/>
          <w:b/>
          <w:lang w:eastAsia="en-US"/>
        </w:rPr>
        <w:tab/>
      </w:r>
      <w:r w:rsidR="007813DC">
        <w:rPr>
          <w:rFonts w:ascii="Arial" w:eastAsiaTheme="minorHAnsi" w:hAnsi="Arial" w:cs="Arial"/>
          <w:b/>
          <w:lang w:eastAsia="en-US"/>
        </w:rPr>
        <w:t xml:space="preserve">September </w:t>
      </w:r>
      <w:r>
        <w:rPr>
          <w:rFonts w:ascii="Arial" w:eastAsiaTheme="minorHAnsi" w:hAnsi="Arial" w:cs="Arial"/>
          <w:b/>
          <w:lang w:eastAsia="en-US"/>
        </w:rPr>
        <w:t>2016</w:t>
      </w:r>
    </w:p>
    <w:p w:rsidR="00C84B72" w:rsidRPr="00B86DFE" w:rsidRDefault="00C84B72" w:rsidP="00C84B72">
      <w:pPr>
        <w:spacing w:before="60" w:afterLines="60" w:after="144"/>
        <w:jc w:val="both"/>
        <w:rPr>
          <w:rFonts w:ascii="Arial" w:eastAsiaTheme="minorHAnsi" w:hAnsi="Arial" w:cs="Arial"/>
          <w:b/>
          <w:lang w:eastAsia="en-US"/>
        </w:rPr>
      </w:pPr>
      <w:r w:rsidRPr="00B86DFE">
        <w:rPr>
          <w:rFonts w:ascii="Arial" w:eastAsiaTheme="minorHAnsi" w:hAnsi="Arial" w:cs="Arial"/>
          <w:b/>
          <w:lang w:eastAsia="en-US"/>
        </w:rPr>
        <w:t>Subject:</w:t>
      </w:r>
      <w:r w:rsidRPr="00B86DFE">
        <w:rPr>
          <w:rFonts w:ascii="Arial" w:eastAsiaTheme="minorHAnsi" w:hAnsi="Arial" w:cs="Arial"/>
          <w:b/>
          <w:lang w:eastAsia="en-US"/>
        </w:rPr>
        <w:tab/>
        <w:t xml:space="preserve">HCA update  </w:t>
      </w:r>
    </w:p>
    <w:p w:rsidR="00C84B72" w:rsidRPr="00B86DFE" w:rsidRDefault="00C84B72" w:rsidP="00C84B72">
      <w:pPr>
        <w:spacing w:before="60" w:afterLines="60" w:after="144"/>
        <w:jc w:val="both"/>
        <w:rPr>
          <w:rFonts w:ascii="Arial" w:eastAsiaTheme="minorHAnsi" w:hAnsi="Arial" w:cs="Arial"/>
          <w:b/>
          <w:lang w:eastAsia="en-US"/>
        </w:rPr>
      </w:pPr>
      <w:r w:rsidRPr="00B86DFE">
        <w:rPr>
          <w:rFonts w:ascii="Arial" w:eastAsiaTheme="minorHAnsi" w:hAnsi="Arial" w:cs="Arial"/>
          <w:b/>
          <w:noProof/>
        </w:rPr>
        <mc:AlternateContent>
          <mc:Choice Requires="wps">
            <w:drawing>
              <wp:anchor distT="0" distB="0" distL="114300" distR="114300" simplePos="0" relativeHeight="251659264" behindDoc="0" locked="0" layoutInCell="1" allowOverlap="1" wp14:anchorId="0F680001" wp14:editId="23D4D56C">
                <wp:simplePos x="0" y="0"/>
                <wp:positionH relativeFrom="column">
                  <wp:posOffset>-9525</wp:posOffset>
                </wp:positionH>
                <wp:positionV relativeFrom="paragraph">
                  <wp:posOffset>45085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5pt" to="462.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" strokecolor="#4a7ebb"/>
            </w:pict>
          </mc:Fallback>
        </mc:AlternateContent>
      </w:r>
    </w:p>
    <w:p w:rsidR="004C2996" w:rsidRDefault="004C2996">
      <w:pPr>
        <w:rPr>
          <w:rFonts w:ascii="Arial" w:hAnsi="Arial" w:cs="Arial"/>
          <w:b/>
        </w:rPr>
      </w:pPr>
    </w:p>
    <w:p w:rsidR="00C84B72" w:rsidRDefault="00C84B72">
      <w:pPr>
        <w:rPr>
          <w:rFonts w:ascii="Arial" w:hAnsi="Arial" w:cs="Arial"/>
          <w:b/>
        </w:rPr>
      </w:pPr>
    </w:p>
    <w:p w:rsidR="00D0151E" w:rsidRPr="000C3BD3" w:rsidRDefault="0087020E">
      <w:pPr>
        <w:rPr>
          <w:rFonts w:ascii="Arial" w:hAnsi="Arial" w:cs="Arial"/>
          <w:b/>
          <w:sz w:val="28"/>
          <w:szCs w:val="28"/>
        </w:rPr>
      </w:pPr>
      <w:r w:rsidRPr="000C3BD3">
        <w:rPr>
          <w:rFonts w:ascii="Arial" w:hAnsi="Arial" w:cs="Arial"/>
          <w:b/>
          <w:sz w:val="28"/>
          <w:szCs w:val="28"/>
        </w:rPr>
        <w:t xml:space="preserve">1) </w:t>
      </w:r>
      <w:r w:rsidR="009D097F" w:rsidRPr="000C3BD3">
        <w:rPr>
          <w:rFonts w:ascii="Arial" w:hAnsi="Arial" w:cs="Arial"/>
          <w:b/>
          <w:sz w:val="28"/>
          <w:szCs w:val="28"/>
        </w:rPr>
        <w:t xml:space="preserve">Housing and Planning </w:t>
      </w:r>
      <w:r w:rsidR="008454A0" w:rsidRPr="000C3BD3">
        <w:rPr>
          <w:rFonts w:ascii="Arial" w:hAnsi="Arial" w:cs="Arial"/>
          <w:b/>
          <w:sz w:val="28"/>
          <w:szCs w:val="28"/>
        </w:rPr>
        <w:t xml:space="preserve">Act </w:t>
      </w:r>
    </w:p>
    <w:p w:rsidR="009D097F" w:rsidRPr="004C2996" w:rsidRDefault="009D097F">
      <w:pPr>
        <w:rPr>
          <w:rFonts w:ascii="Arial" w:hAnsi="Arial" w:cs="Arial"/>
        </w:rPr>
      </w:pPr>
    </w:p>
    <w:p w:rsidR="009D097F" w:rsidRPr="008454A0" w:rsidRDefault="008454A0" w:rsidP="008454A0">
      <w:pPr>
        <w:rPr>
          <w:rFonts w:ascii="Arial" w:hAnsi="Arial" w:cs="Arial"/>
        </w:rPr>
      </w:pPr>
      <w:r w:rsidRPr="008454A0">
        <w:rPr>
          <w:rFonts w:ascii="Arial" w:hAnsi="Arial" w:cs="Arial"/>
        </w:rPr>
        <w:t xml:space="preserve">The Housing and Planning Act 2016 </w:t>
      </w:r>
      <w:r>
        <w:rPr>
          <w:rFonts w:ascii="Arial" w:hAnsi="Arial" w:cs="Arial"/>
        </w:rPr>
        <w:t>received Royal Assent on 12 May</w:t>
      </w:r>
      <w:r w:rsidR="00331B75">
        <w:rPr>
          <w:rFonts w:ascii="Arial" w:hAnsi="Arial" w:cs="Arial"/>
        </w:rPr>
        <w:t xml:space="preserve">. More detail on the </w:t>
      </w:r>
      <w:r w:rsidR="00AC2610">
        <w:rPr>
          <w:rFonts w:ascii="Arial" w:hAnsi="Arial" w:cs="Arial"/>
        </w:rPr>
        <w:t>provisions in practice will follow</w:t>
      </w:r>
    </w:p>
    <w:p w:rsidR="00530843" w:rsidRPr="004C2996" w:rsidRDefault="00530843">
      <w:pPr>
        <w:rPr>
          <w:rFonts w:ascii="Arial" w:hAnsi="Arial" w:cs="Arial"/>
        </w:rPr>
      </w:pPr>
    </w:p>
    <w:p w:rsidR="009D097F" w:rsidRPr="00530843" w:rsidRDefault="000C3BD3">
      <w:pPr>
        <w:rPr>
          <w:rFonts w:ascii="Arial" w:hAnsi="Arial" w:cs="Arial"/>
          <w:b/>
        </w:rPr>
      </w:pPr>
      <w:r>
        <w:rPr>
          <w:rFonts w:ascii="Arial" w:hAnsi="Arial" w:cs="Arial"/>
          <w:b/>
        </w:rPr>
        <w:t xml:space="preserve">2) </w:t>
      </w:r>
      <w:r w:rsidR="00C84B72" w:rsidRPr="00530843">
        <w:rPr>
          <w:rFonts w:ascii="Arial" w:hAnsi="Arial" w:cs="Arial"/>
          <w:b/>
        </w:rPr>
        <w:t xml:space="preserve">DCLG </w:t>
      </w:r>
    </w:p>
    <w:p w:rsidR="00530843" w:rsidRDefault="00530843">
      <w:pPr>
        <w:rPr>
          <w:rFonts w:ascii="Arial" w:hAnsi="Arial" w:cs="Arial"/>
        </w:rPr>
      </w:pPr>
    </w:p>
    <w:p w:rsidR="00530843" w:rsidRDefault="00530843">
      <w:pPr>
        <w:rPr>
          <w:rFonts w:ascii="Arial" w:hAnsi="Arial" w:cs="Arial"/>
        </w:rPr>
      </w:pPr>
      <w:proofErr w:type="spellStart"/>
      <w:r>
        <w:rPr>
          <w:rFonts w:ascii="Arial" w:hAnsi="Arial" w:cs="Arial"/>
        </w:rPr>
        <w:t>Sajid</w:t>
      </w:r>
      <w:proofErr w:type="spellEnd"/>
      <w:r>
        <w:rPr>
          <w:rFonts w:ascii="Arial" w:hAnsi="Arial" w:cs="Arial"/>
        </w:rPr>
        <w:t xml:space="preserve"> </w:t>
      </w:r>
      <w:proofErr w:type="spellStart"/>
      <w:r>
        <w:rPr>
          <w:rFonts w:ascii="Arial" w:hAnsi="Arial" w:cs="Arial"/>
        </w:rPr>
        <w:t>Javid</w:t>
      </w:r>
      <w:proofErr w:type="spellEnd"/>
      <w:r>
        <w:rPr>
          <w:rFonts w:ascii="Arial" w:hAnsi="Arial" w:cs="Arial"/>
        </w:rPr>
        <w:t xml:space="preserve"> – Secretary of State </w:t>
      </w:r>
    </w:p>
    <w:p w:rsidR="00530843" w:rsidRDefault="00530843">
      <w:pPr>
        <w:rPr>
          <w:rFonts w:ascii="Arial" w:hAnsi="Arial" w:cs="Arial"/>
        </w:rPr>
      </w:pPr>
    </w:p>
    <w:p w:rsidR="00530843" w:rsidRDefault="00530843">
      <w:pPr>
        <w:rPr>
          <w:rFonts w:ascii="Arial" w:hAnsi="Arial" w:cs="Arial"/>
        </w:rPr>
      </w:pPr>
      <w:r>
        <w:rPr>
          <w:rFonts w:ascii="Arial" w:hAnsi="Arial" w:cs="Arial"/>
        </w:rPr>
        <w:t xml:space="preserve">Gavin </w:t>
      </w:r>
      <w:proofErr w:type="spellStart"/>
      <w:r>
        <w:rPr>
          <w:rFonts w:ascii="Arial" w:hAnsi="Arial" w:cs="Arial"/>
        </w:rPr>
        <w:t>Barwell</w:t>
      </w:r>
      <w:proofErr w:type="spellEnd"/>
      <w:r>
        <w:rPr>
          <w:rFonts w:ascii="Arial" w:hAnsi="Arial" w:cs="Arial"/>
        </w:rPr>
        <w:t xml:space="preserve"> – Minister of State for Housing, Planning and Minister for London</w:t>
      </w:r>
    </w:p>
    <w:p w:rsidR="00C84B72" w:rsidRPr="004C2996" w:rsidRDefault="00C84B72">
      <w:pPr>
        <w:rPr>
          <w:rFonts w:ascii="Arial" w:hAnsi="Arial" w:cs="Arial"/>
        </w:rPr>
      </w:pPr>
    </w:p>
    <w:p w:rsidR="00C84B72" w:rsidRDefault="000C3BD3" w:rsidP="00C84B72">
      <w:pPr>
        <w:rPr>
          <w:rFonts w:ascii="Arial" w:hAnsi="Arial" w:cs="Arial"/>
          <w:b/>
          <w:sz w:val="28"/>
          <w:szCs w:val="28"/>
          <w:lang w:val="en"/>
        </w:rPr>
      </w:pPr>
      <w:r w:rsidRPr="000C3BD3">
        <w:rPr>
          <w:rFonts w:ascii="Arial" w:hAnsi="Arial" w:cs="Arial"/>
          <w:b/>
          <w:sz w:val="28"/>
          <w:szCs w:val="28"/>
          <w:lang w:val="en"/>
        </w:rPr>
        <w:t>3</w:t>
      </w:r>
      <w:r w:rsidR="0087020E" w:rsidRPr="000C3BD3">
        <w:rPr>
          <w:rFonts w:ascii="Arial" w:hAnsi="Arial" w:cs="Arial"/>
          <w:b/>
          <w:sz w:val="28"/>
          <w:szCs w:val="28"/>
          <w:lang w:val="en"/>
        </w:rPr>
        <w:t xml:space="preserve">) </w:t>
      </w:r>
      <w:r w:rsidR="00C84B72" w:rsidRPr="000C3BD3">
        <w:rPr>
          <w:rFonts w:ascii="Arial" w:hAnsi="Arial" w:cs="Arial"/>
          <w:b/>
          <w:sz w:val="28"/>
          <w:szCs w:val="28"/>
          <w:lang w:val="en"/>
        </w:rPr>
        <w:t xml:space="preserve">New Chair of Homes and Communities Agency </w:t>
      </w:r>
    </w:p>
    <w:p w:rsidR="000C3BD3" w:rsidRPr="000C3BD3" w:rsidRDefault="000C3BD3" w:rsidP="00C84B72">
      <w:pPr>
        <w:rPr>
          <w:rFonts w:ascii="Arial" w:hAnsi="Arial" w:cs="Arial"/>
          <w:b/>
          <w:sz w:val="28"/>
          <w:szCs w:val="28"/>
          <w:lang w:val="en"/>
        </w:rPr>
      </w:pPr>
    </w:p>
    <w:p w:rsidR="00C84B72" w:rsidRDefault="00C84B72" w:rsidP="00C84B72">
      <w:pPr>
        <w:rPr>
          <w:rFonts w:ascii="Arial" w:hAnsi="Arial" w:cs="Arial"/>
          <w:b/>
          <w:lang w:val="en"/>
        </w:rPr>
      </w:pPr>
      <w:r w:rsidRPr="00C84B72">
        <w:rPr>
          <w:rFonts w:ascii="Arial" w:hAnsi="Arial" w:cs="Arial"/>
          <w:lang w:val="en"/>
        </w:rPr>
        <w:t>Sir Edward Lister has been appointed.   For the last 5 years he has been London’s Deputy Mayor for policy and planning and chief of staff at the Greater London Authority (GLA</w:t>
      </w:r>
      <w:r w:rsidRPr="00C84B72">
        <w:rPr>
          <w:rFonts w:ascii="Arial" w:hAnsi="Arial" w:cs="Arial"/>
          <w:b/>
          <w:lang w:val="en"/>
        </w:rPr>
        <w:t>).</w:t>
      </w:r>
    </w:p>
    <w:p w:rsidR="00823393" w:rsidRDefault="00823393" w:rsidP="00C84B72">
      <w:pPr>
        <w:rPr>
          <w:rFonts w:ascii="Arial" w:hAnsi="Arial" w:cs="Arial"/>
          <w:b/>
          <w:lang w:val="en"/>
        </w:rPr>
      </w:pPr>
    </w:p>
    <w:p w:rsidR="0087020E" w:rsidRPr="00C84B72" w:rsidRDefault="0087020E" w:rsidP="00C84B72">
      <w:pPr>
        <w:rPr>
          <w:rFonts w:ascii="Arial" w:hAnsi="Arial" w:cs="Arial"/>
          <w:b/>
        </w:rPr>
      </w:pPr>
    </w:p>
    <w:p w:rsidR="00D0151E" w:rsidRPr="000C3BD3" w:rsidRDefault="000C3BD3" w:rsidP="00D0151E">
      <w:pPr>
        <w:jc w:val="both"/>
        <w:rPr>
          <w:rFonts w:ascii="Arial" w:eastAsiaTheme="minorHAnsi" w:hAnsi="Arial" w:cs="Arial"/>
          <w:b/>
          <w:sz w:val="28"/>
          <w:szCs w:val="28"/>
          <w:lang w:eastAsia="en-US"/>
        </w:rPr>
      </w:pPr>
      <w:r w:rsidRPr="000C3BD3">
        <w:rPr>
          <w:rFonts w:ascii="Arial" w:eastAsiaTheme="minorHAnsi" w:hAnsi="Arial" w:cs="Arial"/>
          <w:b/>
          <w:sz w:val="28"/>
          <w:szCs w:val="28"/>
          <w:lang w:eastAsia="en-US"/>
        </w:rPr>
        <w:t>4</w:t>
      </w:r>
      <w:r w:rsidR="0087020E" w:rsidRPr="000C3BD3">
        <w:rPr>
          <w:rFonts w:ascii="Arial" w:eastAsiaTheme="minorHAnsi" w:hAnsi="Arial" w:cs="Arial"/>
          <w:b/>
          <w:sz w:val="28"/>
          <w:szCs w:val="28"/>
          <w:lang w:eastAsia="en-US"/>
        </w:rPr>
        <w:t xml:space="preserve">) Current Programmes </w:t>
      </w:r>
    </w:p>
    <w:tbl>
      <w:tblPr>
        <w:tblW w:w="13820" w:type="dxa"/>
        <w:tblInd w:w="93" w:type="dxa"/>
        <w:tblLook w:val="04A0" w:firstRow="1" w:lastRow="0" w:firstColumn="1" w:lastColumn="0" w:noHBand="0" w:noVBand="1"/>
      </w:tblPr>
      <w:tblGrid>
        <w:gridCol w:w="13820"/>
      </w:tblGrid>
      <w:tr w:rsidR="00D0151E" w:rsidRPr="004C2996" w:rsidTr="0087020E">
        <w:trPr>
          <w:trHeight w:val="315"/>
        </w:trPr>
        <w:tc>
          <w:tcPr>
            <w:tcW w:w="13820" w:type="dxa"/>
            <w:tcBorders>
              <w:top w:val="nil"/>
              <w:left w:val="nil"/>
              <w:bottom w:val="nil"/>
              <w:right w:val="nil"/>
            </w:tcBorders>
            <w:shd w:val="clear" w:color="auto" w:fill="auto"/>
            <w:noWrap/>
            <w:vAlign w:val="center"/>
            <w:hideMark/>
          </w:tcPr>
          <w:p w:rsidR="00D0151E" w:rsidRPr="004C2996" w:rsidRDefault="00D0151E" w:rsidP="001729C5">
            <w:pPr>
              <w:spacing w:after="144"/>
              <w:jc w:val="both"/>
              <w:rPr>
                <w:rFonts w:ascii="Arial" w:hAnsi="Arial" w:cs="Arial"/>
                <w:b/>
                <w:bCs/>
                <w:color w:val="000000"/>
              </w:rPr>
            </w:pPr>
          </w:p>
        </w:tc>
      </w:tr>
    </w:tbl>
    <w:p w:rsidR="00D0151E" w:rsidRPr="004C2996" w:rsidRDefault="00D0151E" w:rsidP="00D0151E">
      <w:pPr>
        <w:spacing w:before="60" w:afterLines="60" w:after="144"/>
        <w:ind w:left="-57"/>
        <w:jc w:val="both"/>
        <w:rPr>
          <w:rFonts w:ascii="Arial" w:eastAsiaTheme="minorHAnsi" w:hAnsi="Arial" w:cs="Arial"/>
          <w:b/>
          <w:lang w:eastAsia="en-US"/>
        </w:rPr>
      </w:pPr>
      <w:r w:rsidRPr="004C2996">
        <w:rPr>
          <w:rFonts w:ascii="Arial" w:eastAsiaTheme="minorHAnsi" w:hAnsi="Arial" w:cs="Arial"/>
          <w:b/>
          <w:lang w:eastAsia="en-US"/>
        </w:rPr>
        <w:t>AHP 15 -18</w:t>
      </w:r>
    </w:p>
    <w:p w:rsidR="00D0151E" w:rsidRPr="004C2996" w:rsidRDefault="00D0151E" w:rsidP="00D0151E">
      <w:pPr>
        <w:pStyle w:val="NormalWeb"/>
        <w:rPr>
          <w:rFonts w:ascii="Arial" w:hAnsi="Arial" w:cs="Arial"/>
          <w:lang w:val="en"/>
        </w:rPr>
      </w:pPr>
      <w:r w:rsidRPr="004C2996">
        <w:rPr>
          <w:rFonts w:ascii="Arial" w:hAnsi="Arial" w:cs="Arial"/>
          <w:lang w:val="en"/>
        </w:rPr>
        <w:t xml:space="preserve">Bidding for the 2015 to 2018 Affordable Homes Programme closed on 25 November 2015. </w:t>
      </w:r>
    </w:p>
    <w:p w:rsidR="00D0151E" w:rsidRPr="004C2996" w:rsidRDefault="00D0151E" w:rsidP="00D0151E">
      <w:pPr>
        <w:pStyle w:val="NormalWeb"/>
        <w:rPr>
          <w:rFonts w:ascii="Arial" w:hAnsi="Arial" w:cs="Arial"/>
          <w:lang w:val="en"/>
        </w:rPr>
      </w:pPr>
      <w:r w:rsidRPr="004C2996">
        <w:rPr>
          <w:rFonts w:ascii="Arial" w:hAnsi="Arial" w:cs="Arial"/>
          <w:lang w:val="en"/>
        </w:rPr>
        <w:t>For providers who have an existing AHP 15-18 delivery contract with the HCA, it will be possible to continue to put forward proposals for nil grant Affordable Rent schemes through IMS over this period. New AHO schemes need to go through the new programme</w:t>
      </w:r>
    </w:p>
    <w:p w:rsidR="00D0151E" w:rsidRPr="004C2996" w:rsidRDefault="00D0151E" w:rsidP="00D0151E">
      <w:pPr>
        <w:pStyle w:val="NormalWeb"/>
        <w:rPr>
          <w:rFonts w:ascii="Arial" w:hAnsi="Arial" w:cs="Arial"/>
          <w:lang w:val="en"/>
        </w:rPr>
      </w:pPr>
      <w:r w:rsidRPr="004C2996">
        <w:rPr>
          <w:rFonts w:ascii="Arial" w:hAnsi="Arial" w:cs="Arial"/>
          <w:lang w:val="en"/>
        </w:rPr>
        <w:t>Some providers still have funding for AR as part of an indicative allocation or as substitute schemes – encouraged to make use of this funding rather than hand back</w:t>
      </w:r>
    </w:p>
    <w:p w:rsidR="00D0151E" w:rsidRPr="004C2996" w:rsidRDefault="00D0151E" w:rsidP="00D0151E">
      <w:pPr>
        <w:spacing w:before="60" w:afterLines="60" w:after="144"/>
        <w:jc w:val="both"/>
        <w:rPr>
          <w:rFonts w:ascii="Arial" w:eastAsiaTheme="minorEastAsia" w:hAnsi="Arial" w:cs="Arial"/>
          <w:b/>
          <w:color w:val="000000"/>
        </w:rPr>
      </w:pPr>
      <w:r w:rsidRPr="004C2996">
        <w:rPr>
          <w:rFonts w:ascii="Arial" w:eastAsiaTheme="minorEastAsia" w:hAnsi="Arial" w:cs="Arial"/>
          <w:b/>
          <w:color w:val="000000"/>
        </w:rPr>
        <w:t xml:space="preserve">SOAHP 16 -21 </w:t>
      </w:r>
    </w:p>
    <w:tbl>
      <w:tblPr>
        <w:tblW w:w="5000" w:type="pct"/>
        <w:tblCellMar>
          <w:left w:w="0" w:type="dxa"/>
          <w:right w:w="0" w:type="dxa"/>
        </w:tblCellMar>
        <w:tblLook w:val="04A0" w:firstRow="1" w:lastRow="0" w:firstColumn="1" w:lastColumn="0" w:noHBand="0" w:noVBand="1"/>
      </w:tblPr>
      <w:tblGrid>
        <w:gridCol w:w="8306"/>
      </w:tblGrid>
      <w:tr w:rsidR="00D0151E" w:rsidRPr="004C2996" w:rsidTr="001729C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D0151E" w:rsidRPr="004C2996" w:rsidTr="001729C5">
              <w:tc>
                <w:tcPr>
                  <w:tcW w:w="0" w:type="auto"/>
                  <w:tcMar>
                    <w:top w:w="135" w:type="dxa"/>
                    <w:left w:w="270" w:type="dxa"/>
                    <w:bottom w:w="135" w:type="dxa"/>
                    <w:right w:w="270" w:type="dxa"/>
                  </w:tcMar>
                  <w:hideMark/>
                </w:tcPr>
                <w:p w:rsidR="009D097F" w:rsidRPr="00530843" w:rsidRDefault="00D0151E" w:rsidP="001729C5">
                  <w:pPr>
                    <w:spacing w:line="360" w:lineRule="auto"/>
                    <w:ind w:left="-227"/>
                    <w:rPr>
                      <w:rFonts w:ascii="Arial" w:hAnsi="Arial" w:cs="Arial"/>
                    </w:rPr>
                  </w:pPr>
                  <w:r w:rsidRPr="00530843">
                    <w:rPr>
                      <w:rFonts w:ascii="Arial" w:hAnsi="Arial" w:cs="Arial"/>
                    </w:rPr>
                    <w:t>The Shared Ownership and Affordable Homes Programme (SOAHP) 2016-</w:t>
                  </w:r>
                  <w:r w:rsidRPr="00530843">
                    <w:rPr>
                      <w:rFonts w:ascii="Arial" w:hAnsi="Arial" w:cs="Arial"/>
                    </w:rPr>
                    <w:lastRenderedPageBreak/>
                    <w:t xml:space="preserve">21 </w:t>
                  </w:r>
                  <w:proofErr w:type="gramStart"/>
                  <w:r w:rsidRPr="00530843">
                    <w:rPr>
                      <w:rFonts w:ascii="Arial" w:hAnsi="Arial" w:cs="Arial"/>
                    </w:rPr>
                    <w:t>prosp</w:t>
                  </w:r>
                  <w:r w:rsidR="005A2B52">
                    <w:rPr>
                      <w:rFonts w:ascii="Arial" w:hAnsi="Arial" w:cs="Arial"/>
                    </w:rPr>
                    <w:t>ectus</w:t>
                  </w:r>
                  <w:proofErr w:type="gramEnd"/>
                  <w:r w:rsidR="005A2B52">
                    <w:rPr>
                      <w:rFonts w:ascii="Arial" w:hAnsi="Arial" w:cs="Arial"/>
                    </w:rPr>
                    <w:t xml:space="preserve"> was launched on 13 April and closed for bids on 2 September. The assessment process is now underway. </w:t>
                  </w:r>
                </w:p>
                <w:p w:rsidR="00D0151E" w:rsidRPr="00530843" w:rsidRDefault="00D0151E" w:rsidP="001729C5">
                  <w:pPr>
                    <w:spacing w:line="360" w:lineRule="auto"/>
                    <w:ind w:left="-227"/>
                    <w:rPr>
                      <w:rStyle w:val="Hyperlink"/>
                      <w:rFonts w:ascii="Arial" w:hAnsi="Arial" w:cs="Arial"/>
                      <w:color w:val="auto"/>
                    </w:rPr>
                  </w:pPr>
                  <w:r w:rsidRPr="00530843">
                    <w:rPr>
                      <w:rFonts w:ascii="Arial" w:hAnsi="Arial" w:cs="Arial"/>
                    </w:rPr>
                    <w:t xml:space="preserve">The </w:t>
                  </w:r>
                  <w:r w:rsidRPr="00530843">
                    <w:rPr>
                      <w:rFonts w:ascii="Arial" w:hAnsi="Arial" w:cs="Arial"/>
                      <w:lang w:val="en"/>
                    </w:rPr>
                    <w:t xml:space="preserve">Programme aims to increase the supply of new shared ownership and affordable homes in England by March 2021.Full details of the </w:t>
                  </w:r>
                  <w:proofErr w:type="spellStart"/>
                  <w:r w:rsidRPr="00530843">
                    <w:rPr>
                      <w:rFonts w:ascii="Arial" w:hAnsi="Arial" w:cs="Arial"/>
                      <w:lang w:val="en"/>
                    </w:rPr>
                    <w:t>Programme</w:t>
                  </w:r>
                  <w:proofErr w:type="spellEnd"/>
                  <w:r w:rsidRPr="00530843">
                    <w:rPr>
                      <w:rFonts w:ascii="Arial" w:hAnsi="Arial" w:cs="Arial"/>
                      <w:lang w:val="en"/>
                    </w:rPr>
                    <w:t xml:space="preserve"> published in the prospectus</w:t>
                  </w:r>
                  <w:proofErr w:type="gramStart"/>
                  <w:r w:rsidRPr="00530843">
                    <w:rPr>
                      <w:rFonts w:ascii="Arial" w:hAnsi="Arial" w:cs="Arial"/>
                      <w:lang w:val="en"/>
                    </w:rPr>
                    <w:t>..</w:t>
                  </w:r>
                  <w:proofErr w:type="gramEnd"/>
                  <w:r w:rsidRPr="00530843">
                    <w:rPr>
                      <w:rFonts w:ascii="Arial" w:hAnsi="Arial" w:cs="Arial"/>
                      <w:lang w:val="en"/>
                    </w:rPr>
                    <w:t xml:space="preserve"> </w:t>
                  </w:r>
                  <w:r w:rsidRPr="00530843">
                    <w:rPr>
                      <w:rFonts w:ascii="Arial" w:hAnsi="Arial" w:cs="Arial"/>
                    </w:rPr>
                    <w:t xml:space="preserve">Prospectus is available on  </w:t>
                  </w:r>
                  <w:hyperlink r:id="rId8" w:tgtFrame="_blank" w:history="1">
                    <w:r w:rsidRPr="00530843">
                      <w:rPr>
                        <w:rStyle w:val="Hyperlink"/>
                        <w:rFonts w:ascii="Arial" w:hAnsi="Arial" w:cs="Arial"/>
                      </w:rPr>
                      <w:t>GOV.UK</w:t>
                    </w:r>
                  </w:hyperlink>
                </w:p>
                <w:p w:rsidR="00BA4581" w:rsidRPr="004C2996" w:rsidRDefault="008D63DD" w:rsidP="001729C5">
                  <w:pPr>
                    <w:spacing w:line="360" w:lineRule="auto"/>
                    <w:ind w:left="-227"/>
                    <w:rPr>
                      <w:rFonts w:ascii="Arial" w:hAnsi="Arial" w:cs="Arial"/>
                      <w:lang w:val="en"/>
                    </w:rPr>
                  </w:pPr>
                  <w:r w:rsidRPr="00530843">
                    <w:rPr>
                      <w:rFonts w:ascii="Arial" w:hAnsi="Arial" w:cs="Arial"/>
                      <w:lang w:val="en"/>
                    </w:rPr>
                    <w:t>The programme split is as follows - 88% Help to Buy Shared ownership, 7% Rent to Buy, 5% Supported housing for older, disabled and vulnerable.  Funding of £4.7bn is shared with the GLA, the split is not yet known</w:t>
                  </w:r>
                  <w:r w:rsidRPr="004C2996">
                    <w:rPr>
                      <w:rFonts w:ascii="Arial" w:hAnsi="Arial" w:cs="Arial"/>
                      <w:lang w:val="en"/>
                    </w:rPr>
                    <w:t xml:space="preserve">. </w:t>
                  </w:r>
                </w:p>
                <w:p w:rsidR="00D0151E" w:rsidRPr="004C2996" w:rsidRDefault="00D0151E" w:rsidP="001729C5">
                  <w:pPr>
                    <w:spacing w:before="100" w:beforeAutospacing="1" w:after="100" w:afterAutospacing="1"/>
                    <w:ind w:left="-227"/>
                    <w:rPr>
                      <w:rFonts w:ascii="Arial" w:eastAsiaTheme="minorHAnsi" w:hAnsi="Arial" w:cs="Arial"/>
                    </w:rPr>
                  </w:pPr>
                  <w:r w:rsidRPr="004C2996">
                    <w:rPr>
                      <w:rFonts w:ascii="Arial" w:hAnsi="Arial" w:cs="Arial"/>
                      <w:lang w:val="en"/>
                    </w:rPr>
                    <w:t xml:space="preserve"> </w:t>
                  </w:r>
                  <w:r w:rsidRPr="004C2996">
                    <w:rPr>
                      <w:rFonts w:ascii="Arial" w:hAnsi="Arial" w:cs="Arial"/>
                    </w:rPr>
                    <w:t xml:space="preserve">In addition to the SOAHP Prospectus we have also republished the </w:t>
                  </w:r>
                  <w:hyperlink r:id="rId9" w:tgtFrame="_blank" w:history="1">
                    <w:r w:rsidRPr="004C2996">
                      <w:rPr>
                        <w:rStyle w:val="Hyperlink"/>
                        <w:rFonts w:ascii="Arial" w:hAnsi="Arial" w:cs="Arial"/>
                      </w:rPr>
                      <w:t>Capital Funding Guide</w:t>
                    </w:r>
                  </w:hyperlink>
                  <w:r w:rsidRPr="004C2996">
                    <w:rPr>
                      <w:rFonts w:ascii="Arial" w:hAnsi="Arial" w:cs="Arial"/>
                    </w:rPr>
                    <w:t xml:space="preserve"> which has been updated for the 2016-21 programme period </w:t>
                  </w:r>
                </w:p>
              </w:tc>
            </w:tr>
          </w:tbl>
          <w:p w:rsidR="00D0151E" w:rsidRPr="004C2996" w:rsidRDefault="00D0151E" w:rsidP="001729C5">
            <w:pPr>
              <w:ind w:left="-113"/>
              <w:rPr>
                <w:rFonts w:ascii="Arial" w:hAnsi="Arial" w:cs="Arial"/>
              </w:rPr>
            </w:pPr>
          </w:p>
        </w:tc>
      </w:tr>
    </w:tbl>
    <w:p w:rsidR="00D0151E" w:rsidRDefault="00D0151E">
      <w:pPr>
        <w:rPr>
          <w:rFonts w:ascii="Arial" w:hAnsi="Arial" w:cs="Arial"/>
        </w:rPr>
      </w:pPr>
    </w:p>
    <w:p w:rsidR="00D0151E" w:rsidRPr="00484178" w:rsidRDefault="00D0151E" w:rsidP="004E31C7">
      <w:pPr>
        <w:pStyle w:val="NormalWeb"/>
        <w:spacing w:before="0" w:beforeAutospacing="0" w:after="0" w:afterAutospacing="0"/>
        <w:jc w:val="both"/>
        <w:rPr>
          <w:rFonts w:ascii="Arial" w:hAnsi="Arial" w:cs="Arial"/>
          <w:b/>
          <w:sz w:val="22"/>
          <w:szCs w:val="22"/>
          <w:lang w:val="en"/>
        </w:rPr>
      </w:pPr>
      <w:r w:rsidRPr="00484178">
        <w:rPr>
          <w:rFonts w:ascii="Arial" w:hAnsi="Arial" w:cs="Arial"/>
          <w:b/>
          <w:sz w:val="22"/>
          <w:szCs w:val="22"/>
          <w:lang w:val="en"/>
        </w:rPr>
        <w:t>Starter Home</w:t>
      </w:r>
      <w:r>
        <w:rPr>
          <w:rFonts w:ascii="Arial" w:hAnsi="Arial" w:cs="Arial"/>
          <w:b/>
          <w:sz w:val="22"/>
          <w:szCs w:val="22"/>
          <w:lang w:val="en"/>
        </w:rPr>
        <w:t xml:space="preserve">s Unlocking the Land </w:t>
      </w:r>
      <w:r w:rsidRPr="00484178">
        <w:rPr>
          <w:rFonts w:ascii="Arial" w:hAnsi="Arial" w:cs="Arial"/>
          <w:b/>
          <w:sz w:val="22"/>
          <w:szCs w:val="22"/>
          <w:lang w:val="en"/>
        </w:rPr>
        <w:t>Fund</w:t>
      </w:r>
    </w:p>
    <w:p w:rsidR="00D0151E" w:rsidRPr="004C2996" w:rsidRDefault="00D0151E" w:rsidP="00D0151E">
      <w:pPr>
        <w:pStyle w:val="NormalWeb"/>
        <w:jc w:val="both"/>
        <w:rPr>
          <w:rFonts w:ascii="Arial" w:hAnsi="Arial" w:cs="Arial"/>
          <w:lang w:val="en"/>
        </w:rPr>
      </w:pPr>
      <w:r w:rsidRPr="004C2996">
        <w:rPr>
          <w:rFonts w:ascii="Arial" w:hAnsi="Arial" w:cs="Arial"/>
          <w:lang w:val="en"/>
        </w:rPr>
        <w:t xml:space="preserve">The Starter Homes Unlocking the Land Fund was launched on 16 March.  The aim of the Starter Home Land Fund is to support the acquisition, remediation and de-risking of suitable land for starter home developments that can then be built out by developers by 2020. </w:t>
      </w:r>
    </w:p>
    <w:p w:rsidR="00D0151E" w:rsidRPr="004C2996" w:rsidRDefault="00D0151E" w:rsidP="00D0151E">
      <w:pPr>
        <w:pStyle w:val="NormalWeb"/>
        <w:jc w:val="both"/>
        <w:rPr>
          <w:rFonts w:ascii="Arial" w:hAnsi="Arial" w:cs="Arial"/>
          <w:lang w:val="en"/>
        </w:rPr>
      </w:pPr>
      <w:r w:rsidRPr="004C2996">
        <w:rPr>
          <w:rFonts w:ascii="Arial" w:hAnsi="Arial" w:cs="Arial"/>
          <w:lang w:val="en"/>
        </w:rPr>
        <w:t>This prospectus specifically invites expressions of interest from local authorities outside of London to form partnerships with the Homes and Communities Agency to use the Fund.</w:t>
      </w:r>
    </w:p>
    <w:p w:rsidR="00D0151E" w:rsidRPr="004C2996" w:rsidRDefault="005A2B52" w:rsidP="00D0151E">
      <w:pPr>
        <w:pStyle w:val="NormalWeb"/>
        <w:spacing w:before="0" w:beforeAutospacing="0" w:after="0" w:afterAutospacing="0"/>
        <w:jc w:val="both"/>
        <w:rPr>
          <w:rFonts w:ascii="Arial" w:hAnsi="Arial" w:cs="Arial"/>
          <w:lang w:val="en"/>
        </w:rPr>
      </w:pPr>
      <w:hyperlink r:id="rId10" w:history="1">
        <w:r w:rsidR="00D0151E" w:rsidRPr="004C2996">
          <w:rPr>
            <w:rStyle w:val="Hyperlink"/>
            <w:rFonts w:ascii="Arial" w:hAnsi="Arial" w:cs="Arial"/>
            <w:lang w:val="en"/>
          </w:rPr>
          <w:t>https://www.gov.uk/government/publications/starter-homes-unlocking-the-land-fund</w:t>
        </w:r>
      </w:hyperlink>
    </w:p>
    <w:p w:rsidR="00D0151E" w:rsidRPr="004C2996" w:rsidRDefault="00D0151E" w:rsidP="00D0151E">
      <w:pPr>
        <w:pStyle w:val="NormalWeb"/>
        <w:spacing w:before="0" w:beforeAutospacing="0" w:after="0" w:afterAutospacing="0"/>
        <w:jc w:val="both"/>
        <w:rPr>
          <w:rFonts w:ascii="Arial" w:hAnsi="Arial" w:cs="Arial"/>
          <w:lang w:val="en"/>
        </w:rPr>
      </w:pPr>
    </w:p>
    <w:p w:rsidR="004C2996" w:rsidRDefault="00C84B72">
      <w:pPr>
        <w:rPr>
          <w:rFonts w:ascii="Arial" w:hAnsi="Arial" w:cs="Arial"/>
        </w:rPr>
      </w:pPr>
      <w:r>
        <w:rPr>
          <w:rFonts w:ascii="Arial" w:hAnsi="Arial" w:cs="Arial"/>
        </w:rPr>
        <w:t xml:space="preserve">Initial bidding closed </w:t>
      </w:r>
      <w:r w:rsidR="00BA4581" w:rsidRPr="004C2996">
        <w:rPr>
          <w:rFonts w:ascii="Arial" w:hAnsi="Arial" w:cs="Arial"/>
        </w:rPr>
        <w:t>13</w:t>
      </w:r>
      <w:r w:rsidR="00BA4581" w:rsidRPr="004C2996">
        <w:rPr>
          <w:rFonts w:ascii="Arial" w:hAnsi="Arial" w:cs="Arial"/>
          <w:vertAlign w:val="superscript"/>
        </w:rPr>
        <w:t>th</w:t>
      </w:r>
      <w:r w:rsidR="00BA4581" w:rsidRPr="004C2996">
        <w:rPr>
          <w:rFonts w:ascii="Arial" w:hAnsi="Arial" w:cs="Arial"/>
        </w:rPr>
        <w:t xml:space="preserve"> May but CME continues </w:t>
      </w:r>
      <w:r w:rsidR="00A6568E" w:rsidRPr="004C2996">
        <w:rPr>
          <w:rFonts w:ascii="Arial" w:hAnsi="Arial" w:cs="Arial"/>
        </w:rPr>
        <w:t>until December.</w:t>
      </w:r>
      <w:r>
        <w:rPr>
          <w:rFonts w:ascii="Arial" w:hAnsi="Arial" w:cs="Arial"/>
        </w:rPr>
        <w:t xml:space="preserve"> Announcements on initial successful bidders will be made shortly</w:t>
      </w:r>
      <w:r w:rsidR="00A6568E" w:rsidRPr="004C2996">
        <w:rPr>
          <w:rFonts w:ascii="Arial" w:hAnsi="Arial" w:cs="Arial"/>
        </w:rPr>
        <w:t xml:space="preserve">. There are a number of funding and assistance opportunities from the HCA available for LAs that are successful in this bid round -  from support and expertise , equity investment to remediate and de risk sites and acquiring private sites – all to promote delivery of starter homes. </w:t>
      </w:r>
    </w:p>
    <w:p w:rsidR="00C84B72" w:rsidRDefault="00C84B72">
      <w:pPr>
        <w:rPr>
          <w:rFonts w:ascii="Arial" w:hAnsi="Arial" w:cs="Arial"/>
        </w:rPr>
      </w:pPr>
    </w:p>
    <w:p w:rsidR="00C84B72" w:rsidRPr="00C84B72" w:rsidRDefault="00C84B72" w:rsidP="00C84B72">
      <w:pPr>
        <w:pStyle w:val="NormalWeb"/>
        <w:jc w:val="both"/>
        <w:rPr>
          <w:rFonts w:ascii="Arial" w:hAnsi="Arial" w:cs="Arial"/>
          <w:b/>
          <w:lang w:val="en"/>
        </w:rPr>
      </w:pPr>
      <w:r w:rsidRPr="00C84B72">
        <w:rPr>
          <w:rFonts w:ascii="Arial" w:hAnsi="Arial" w:cs="Arial"/>
          <w:b/>
          <w:lang w:val="en"/>
        </w:rPr>
        <w:t xml:space="preserve">Locally Led Garden Villages, Towns and Cities </w:t>
      </w:r>
    </w:p>
    <w:p w:rsidR="00C84B72" w:rsidRPr="00C84B72" w:rsidRDefault="00C84B72" w:rsidP="00C84B72">
      <w:pPr>
        <w:pStyle w:val="NormalWeb"/>
        <w:jc w:val="both"/>
        <w:rPr>
          <w:rFonts w:ascii="Arial" w:hAnsi="Arial" w:cs="Arial"/>
          <w:lang w:val="en"/>
        </w:rPr>
      </w:pPr>
      <w:r w:rsidRPr="00C84B72">
        <w:rPr>
          <w:rFonts w:ascii="Arial" w:hAnsi="Arial" w:cs="Arial"/>
          <w:lang w:val="en"/>
        </w:rPr>
        <w:t>This prospectus was published on 16 March sets out how we can support local areas who want to create new garden villages, towns and cities. It offers tailored government support to local areas with ambitious and innovative proposals to deliver 1,500 homes and above.</w:t>
      </w:r>
    </w:p>
    <w:p w:rsidR="00C84B72" w:rsidRPr="00C84B72" w:rsidRDefault="00C84B72" w:rsidP="00C84B72">
      <w:pPr>
        <w:pStyle w:val="NormalWeb"/>
        <w:jc w:val="both"/>
        <w:rPr>
          <w:rFonts w:ascii="Arial" w:hAnsi="Arial" w:cs="Arial"/>
          <w:lang w:val="en"/>
        </w:rPr>
      </w:pPr>
      <w:r w:rsidRPr="00C84B72">
        <w:rPr>
          <w:rFonts w:ascii="Arial" w:hAnsi="Arial" w:cs="Arial"/>
          <w:lang w:val="en"/>
        </w:rPr>
        <w:t xml:space="preserve">It is divided into 2 parts covering expressions of interest for different scales of development. </w:t>
      </w:r>
    </w:p>
    <w:p w:rsidR="00C84B72" w:rsidRPr="00C84B72" w:rsidRDefault="00C84B72" w:rsidP="00C84B72">
      <w:pPr>
        <w:pStyle w:val="NormalWeb"/>
        <w:jc w:val="both"/>
        <w:rPr>
          <w:rFonts w:ascii="Arial" w:hAnsi="Arial" w:cs="Arial"/>
          <w:lang w:val="en"/>
        </w:rPr>
      </w:pPr>
      <w:r w:rsidRPr="00C84B72">
        <w:rPr>
          <w:rFonts w:ascii="Arial" w:hAnsi="Arial" w:cs="Arial"/>
          <w:lang w:val="en"/>
        </w:rPr>
        <w:lastRenderedPageBreak/>
        <w:t>The first part of the prospectus invite</w:t>
      </w:r>
      <w:r w:rsidR="00132B3E">
        <w:rPr>
          <w:rFonts w:ascii="Arial" w:hAnsi="Arial" w:cs="Arial"/>
          <w:lang w:val="en"/>
        </w:rPr>
        <w:t>d</w:t>
      </w:r>
      <w:r w:rsidRPr="00C84B72">
        <w:rPr>
          <w:rFonts w:ascii="Arial" w:hAnsi="Arial" w:cs="Arial"/>
          <w:lang w:val="en"/>
        </w:rPr>
        <w:t xml:space="preserve"> expressions of interest by 31 July 2016 for new ‘garden villages’ of between 1,500 to 10,000 homes. </w:t>
      </w:r>
      <w:r w:rsidR="00132B3E">
        <w:rPr>
          <w:rFonts w:ascii="Arial" w:hAnsi="Arial" w:cs="Arial"/>
          <w:lang w:val="en"/>
        </w:rPr>
        <w:t xml:space="preserve">There has been a good response, including 2 for Kent, </w:t>
      </w:r>
      <w:bookmarkStart w:id="0" w:name="_GoBack"/>
      <w:bookmarkEnd w:id="0"/>
      <w:r w:rsidR="00132B3E">
        <w:rPr>
          <w:rFonts w:ascii="Arial" w:hAnsi="Arial" w:cs="Arial"/>
          <w:lang w:val="en"/>
        </w:rPr>
        <w:t xml:space="preserve">and bids are currently being assessed. </w:t>
      </w:r>
    </w:p>
    <w:p w:rsidR="00C84B72" w:rsidRPr="00C84B72" w:rsidRDefault="00C84B72" w:rsidP="00C84B72">
      <w:pPr>
        <w:pStyle w:val="NormalWeb"/>
        <w:jc w:val="both"/>
        <w:rPr>
          <w:rFonts w:ascii="Arial" w:hAnsi="Arial" w:cs="Arial"/>
          <w:lang w:val="en"/>
        </w:rPr>
      </w:pPr>
      <w:r w:rsidRPr="00C84B72">
        <w:rPr>
          <w:rFonts w:ascii="Arial" w:hAnsi="Arial" w:cs="Arial"/>
          <w:lang w:val="en"/>
        </w:rPr>
        <w:t xml:space="preserve">The second part of the prospectus invites expressions of interest on a rolling basis in new garden towns and cities of more than 10,000 homes. </w:t>
      </w:r>
    </w:p>
    <w:p w:rsidR="00C84B72" w:rsidRPr="00C84B72" w:rsidRDefault="005A2B52" w:rsidP="00C84B72">
      <w:pPr>
        <w:pStyle w:val="NormalWeb"/>
        <w:jc w:val="both"/>
        <w:rPr>
          <w:rFonts w:ascii="Arial" w:hAnsi="Arial" w:cs="Arial"/>
          <w:lang w:val="en"/>
        </w:rPr>
      </w:pPr>
      <w:hyperlink r:id="rId11" w:history="1">
        <w:r w:rsidR="00C84B72" w:rsidRPr="00C84B72">
          <w:rPr>
            <w:rStyle w:val="Hyperlink"/>
            <w:rFonts w:ascii="Arial" w:hAnsi="Arial" w:cs="Arial"/>
            <w:lang w:val="en"/>
          </w:rPr>
          <w:t>https://www.gov.uk/government/publications/locally-led-garden-villages-towns-and-cities</w:t>
        </w:r>
      </w:hyperlink>
    </w:p>
    <w:p w:rsidR="00C84B72" w:rsidRDefault="0087020E">
      <w:pPr>
        <w:rPr>
          <w:rFonts w:ascii="Arial" w:hAnsi="Arial" w:cs="Arial"/>
          <w:b/>
        </w:rPr>
      </w:pPr>
      <w:r w:rsidRPr="0087020E">
        <w:rPr>
          <w:rFonts w:ascii="Arial" w:hAnsi="Arial" w:cs="Arial"/>
          <w:b/>
        </w:rPr>
        <w:t xml:space="preserve">Recoverable Investment </w:t>
      </w:r>
    </w:p>
    <w:p w:rsidR="0087020E" w:rsidRPr="0087020E" w:rsidRDefault="0087020E">
      <w:pPr>
        <w:rPr>
          <w:rFonts w:ascii="Arial" w:hAnsi="Arial" w:cs="Arial"/>
          <w:b/>
        </w:rPr>
      </w:pPr>
    </w:p>
    <w:p w:rsidR="003C0FCF" w:rsidRPr="004C2996" w:rsidRDefault="004C2996" w:rsidP="003C0FCF">
      <w:pPr>
        <w:spacing w:line="276" w:lineRule="auto"/>
        <w:jc w:val="both"/>
        <w:rPr>
          <w:rFonts w:ascii="Arial" w:hAnsi="Arial" w:cs="Arial"/>
        </w:rPr>
      </w:pPr>
      <w:r>
        <w:rPr>
          <w:rFonts w:ascii="Arial" w:hAnsi="Arial" w:cs="Arial"/>
        </w:rPr>
        <w:t xml:space="preserve">An announcement on the new format for </w:t>
      </w:r>
      <w:r w:rsidR="003C0FCF" w:rsidRPr="004C2996">
        <w:rPr>
          <w:rFonts w:ascii="Arial" w:hAnsi="Arial" w:cs="Arial"/>
        </w:rPr>
        <w:t>HCA I Recoverable Investment funding</w:t>
      </w:r>
      <w:r>
        <w:rPr>
          <w:rFonts w:ascii="Arial" w:hAnsi="Arial" w:cs="Arial"/>
        </w:rPr>
        <w:t xml:space="preserve"> is expected shortly. This will follow through on the CSR announcement below: </w:t>
      </w:r>
    </w:p>
    <w:p w:rsidR="003C0FCF" w:rsidRPr="004C2996" w:rsidRDefault="003C0FCF" w:rsidP="004C2996">
      <w:pPr>
        <w:spacing w:line="276" w:lineRule="auto"/>
        <w:ind w:left="360"/>
        <w:jc w:val="both"/>
        <w:rPr>
          <w:rFonts w:ascii="Arial" w:eastAsiaTheme="minorHAnsi" w:hAnsi="Arial" w:cs="Arial"/>
          <w:color w:val="000000"/>
        </w:rPr>
      </w:pPr>
    </w:p>
    <w:p w:rsidR="003C0FCF" w:rsidRPr="004C2996" w:rsidRDefault="003C0FCF" w:rsidP="003C0FCF">
      <w:pPr>
        <w:pStyle w:val="ListParagraph"/>
        <w:numPr>
          <w:ilvl w:val="0"/>
          <w:numId w:val="1"/>
        </w:numPr>
        <w:spacing w:line="276" w:lineRule="auto"/>
        <w:jc w:val="both"/>
        <w:rPr>
          <w:rFonts w:ascii="Arial" w:eastAsiaTheme="minorHAnsi" w:hAnsi="Arial" w:cs="Arial"/>
          <w:color w:val="000000"/>
        </w:rPr>
      </w:pPr>
      <w:r w:rsidRPr="004C2996">
        <w:rPr>
          <w:rFonts w:ascii="Arial" w:hAnsi="Arial" w:cs="Arial"/>
        </w:rPr>
        <w:t xml:space="preserve">Loan Finance - </w:t>
      </w:r>
      <w:r w:rsidRPr="004C2996">
        <w:rPr>
          <w:rFonts w:ascii="Arial" w:eastAsiaTheme="minorHAnsi" w:hAnsi="Arial" w:cs="Arial"/>
          <w:color w:val="000000"/>
        </w:rPr>
        <w:t xml:space="preserve">Short Term funding - </w:t>
      </w:r>
      <w:r w:rsidRPr="004C2996">
        <w:rPr>
          <w:rFonts w:ascii="Arial" w:eastAsiaTheme="minorHAnsi" w:hAnsi="Arial" w:cs="Arial"/>
        </w:rPr>
        <w:t xml:space="preserve">£1bn (including existing £525m BFF) short term fund to 2020-21, with added flexibility to enable government to support emerging markets e.g. offsite manufacturing. </w:t>
      </w:r>
      <w:r w:rsidRPr="004C2996">
        <w:rPr>
          <w:rFonts w:ascii="Arial" w:eastAsiaTheme="minorHAnsi" w:hAnsi="Arial" w:cs="Arial"/>
          <w:bCs/>
        </w:rPr>
        <w:t xml:space="preserve">Fund will provide loan finance </w:t>
      </w:r>
      <w:r w:rsidRPr="004C2996">
        <w:rPr>
          <w:rFonts w:ascii="Arial" w:eastAsiaTheme="minorHAnsi" w:hAnsi="Arial" w:cs="Arial"/>
        </w:rPr>
        <w:t>for a term of up to five years in order to support the delivery of some 26,500 new homes to 2024-25.Fund will be launched in Spring 2016.</w:t>
      </w:r>
    </w:p>
    <w:p w:rsidR="003C0FCF" w:rsidRPr="004C2996" w:rsidRDefault="003C0FCF" w:rsidP="003C0FCF">
      <w:pPr>
        <w:shd w:val="clear" w:color="auto" w:fill="FFFFFF"/>
        <w:rPr>
          <w:rFonts w:ascii="Arial" w:eastAsiaTheme="minorHAnsi" w:hAnsi="Arial" w:cs="Arial"/>
        </w:rPr>
      </w:pPr>
    </w:p>
    <w:p w:rsidR="003C0FCF" w:rsidRPr="004C2996" w:rsidRDefault="003C0FCF" w:rsidP="003C0FCF">
      <w:pPr>
        <w:pStyle w:val="ListParagraph"/>
        <w:numPr>
          <w:ilvl w:val="0"/>
          <w:numId w:val="1"/>
        </w:numPr>
        <w:shd w:val="clear" w:color="auto" w:fill="FFFFFF"/>
        <w:jc w:val="both"/>
        <w:rPr>
          <w:rFonts w:ascii="Arial" w:eastAsiaTheme="minorHAnsi" w:hAnsi="Arial" w:cs="Arial"/>
          <w:color w:val="000000"/>
        </w:rPr>
      </w:pPr>
      <w:r w:rsidRPr="004C2996">
        <w:rPr>
          <w:rFonts w:ascii="Arial" w:eastAsiaTheme="minorHAnsi" w:hAnsi="Arial" w:cs="Arial"/>
        </w:rPr>
        <w:t>Loan Finance - Long term funding</w:t>
      </w:r>
      <w:r w:rsidRPr="004C2996">
        <w:rPr>
          <w:rFonts w:ascii="Arial" w:eastAsiaTheme="minorHAnsi" w:hAnsi="Arial" w:cs="Arial"/>
          <w:b/>
        </w:rPr>
        <w:t xml:space="preserve"> - </w:t>
      </w:r>
      <w:r w:rsidRPr="004C2996">
        <w:rPr>
          <w:rFonts w:ascii="Arial" w:eastAsiaTheme="minorHAnsi" w:hAnsi="Arial" w:cs="Arial"/>
          <w:color w:val="000000"/>
        </w:rPr>
        <w:t xml:space="preserve">£2bn fund offering long term loan funding focussed on supporting the delivery of a strong future pipeline of housing supply. Fund will unlock development of up to 140,000 homes on brownfield land. Fund </w:t>
      </w:r>
      <w:r w:rsidRPr="004C2996">
        <w:rPr>
          <w:rFonts w:ascii="Arial" w:eastAsiaTheme="minorHAnsi" w:hAnsi="Arial" w:cs="Arial"/>
        </w:rPr>
        <w:t>replaces and expands on the previously announced Large Sites Infrastructure Fund (£1bn launched in April 2014) and Housing Zones (up to £200m, announced in June 2014 in the Chancellor’s Mansion House speech) loan funding programme.  The Fund will also support the commitment on Brownfield Regeneration Fund.</w:t>
      </w:r>
    </w:p>
    <w:p w:rsidR="003C0FCF" w:rsidRDefault="008454A0" w:rsidP="003C0FCF">
      <w:pPr>
        <w:rPr>
          <w:rFonts w:ascii="Arial" w:hAnsi="Arial" w:cs="Arial"/>
        </w:rPr>
      </w:pPr>
      <w:r>
        <w:rPr>
          <w:rFonts w:ascii="Arial" w:hAnsi="Arial" w:cs="Arial"/>
        </w:rPr>
        <w:t xml:space="preserve"> </w:t>
      </w:r>
    </w:p>
    <w:p w:rsidR="0076738E" w:rsidRDefault="0076738E" w:rsidP="003C0FCF">
      <w:pPr>
        <w:rPr>
          <w:rFonts w:ascii="Arial" w:hAnsi="Arial" w:cs="Arial"/>
        </w:rPr>
      </w:pPr>
    </w:p>
    <w:p w:rsidR="0076738E" w:rsidRPr="00823393" w:rsidRDefault="0076738E" w:rsidP="0076738E">
      <w:pPr>
        <w:rPr>
          <w:rFonts w:ascii="Arial" w:hAnsi="Arial" w:cs="Arial"/>
          <w:b/>
          <w:sz w:val="28"/>
          <w:szCs w:val="28"/>
          <w:lang w:val="en"/>
        </w:rPr>
      </w:pPr>
      <w:r>
        <w:rPr>
          <w:rFonts w:ascii="Arial" w:hAnsi="Arial" w:cs="Arial"/>
          <w:b/>
          <w:sz w:val="28"/>
          <w:szCs w:val="28"/>
          <w:lang w:val="en"/>
        </w:rPr>
        <w:t>5</w:t>
      </w:r>
      <w:r w:rsidRPr="00823393">
        <w:rPr>
          <w:rFonts w:ascii="Arial" w:hAnsi="Arial" w:cs="Arial"/>
          <w:b/>
          <w:sz w:val="28"/>
          <w:szCs w:val="28"/>
          <w:lang w:val="en"/>
        </w:rPr>
        <w:t xml:space="preserve">) HCA Restructure </w:t>
      </w:r>
    </w:p>
    <w:p w:rsidR="0076738E" w:rsidRDefault="0076738E" w:rsidP="0076738E">
      <w:pPr>
        <w:rPr>
          <w:rFonts w:ascii="Arial" w:hAnsi="Arial" w:cs="Arial"/>
          <w:b/>
          <w:lang w:val="en"/>
        </w:rPr>
      </w:pPr>
    </w:p>
    <w:p w:rsidR="0076738E" w:rsidRPr="00823393" w:rsidRDefault="0076738E" w:rsidP="0076738E">
      <w:pPr>
        <w:rPr>
          <w:rFonts w:ascii="Arial" w:hAnsi="Arial" w:cs="Arial"/>
          <w:b/>
          <w:lang w:val="en"/>
        </w:rPr>
      </w:pPr>
      <w:r w:rsidRPr="00823393">
        <w:rPr>
          <w:rFonts w:ascii="Arial" w:hAnsi="Arial" w:cs="Arial"/>
        </w:rPr>
        <w:t>There is a staff consultation underway on a new structure that will strengthen HCA delivery of the Government’s housing programmes. We will provide further details to you and our other key partners following the conclusion of the process later this year</w:t>
      </w:r>
    </w:p>
    <w:p w:rsidR="0076738E" w:rsidRDefault="0076738E" w:rsidP="003C0FCF">
      <w:pPr>
        <w:rPr>
          <w:rFonts w:ascii="Arial" w:hAnsi="Arial" w:cs="Arial"/>
        </w:rPr>
      </w:pPr>
    </w:p>
    <w:p w:rsidR="008454A0" w:rsidRPr="000C3BD3" w:rsidRDefault="0076738E" w:rsidP="003C0FCF">
      <w:pPr>
        <w:rPr>
          <w:rFonts w:ascii="Arial" w:hAnsi="Arial" w:cs="Arial"/>
          <w:b/>
          <w:sz w:val="28"/>
          <w:szCs w:val="28"/>
        </w:rPr>
      </w:pPr>
      <w:r>
        <w:rPr>
          <w:rFonts w:ascii="Arial" w:hAnsi="Arial" w:cs="Arial"/>
          <w:b/>
          <w:sz w:val="28"/>
          <w:szCs w:val="28"/>
        </w:rPr>
        <w:t>6</w:t>
      </w:r>
      <w:r w:rsidR="0087020E" w:rsidRPr="000C3BD3">
        <w:rPr>
          <w:rFonts w:ascii="Arial" w:hAnsi="Arial" w:cs="Arial"/>
          <w:b/>
          <w:sz w:val="28"/>
          <w:szCs w:val="28"/>
        </w:rPr>
        <w:t xml:space="preserve">) </w:t>
      </w:r>
      <w:r w:rsidR="008454A0" w:rsidRPr="000C3BD3">
        <w:rPr>
          <w:rFonts w:ascii="Arial" w:hAnsi="Arial" w:cs="Arial"/>
          <w:b/>
          <w:sz w:val="28"/>
          <w:szCs w:val="28"/>
        </w:rPr>
        <w:t>General Information and Publications</w:t>
      </w:r>
    </w:p>
    <w:p w:rsidR="008454A0" w:rsidRPr="004C2996" w:rsidRDefault="008454A0" w:rsidP="003C0FCF">
      <w:pPr>
        <w:rPr>
          <w:rFonts w:ascii="Arial" w:hAnsi="Arial" w:cs="Arial"/>
        </w:rPr>
      </w:pPr>
    </w:p>
    <w:p w:rsidR="00530843" w:rsidRDefault="00530843" w:rsidP="00530843">
      <w:pPr>
        <w:rPr>
          <w:rFonts w:ascii="Arial" w:hAnsi="Arial" w:cs="Arial"/>
          <w:b/>
          <w:bCs/>
        </w:rPr>
      </w:pPr>
      <w:r w:rsidRPr="00530843">
        <w:rPr>
          <w:rFonts w:ascii="Arial" w:hAnsi="Arial" w:cs="Arial"/>
          <w:b/>
          <w:bCs/>
        </w:rPr>
        <w:t xml:space="preserve">CLG Committee launches inquiry into home </w:t>
      </w:r>
      <w:proofErr w:type="gramStart"/>
      <w:r w:rsidRPr="00530843">
        <w:rPr>
          <w:rFonts w:ascii="Arial" w:hAnsi="Arial" w:cs="Arial"/>
          <w:b/>
          <w:bCs/>
        </w:rPr>
        <w:t>building  -</w:t>
      </w:r>
      <w:proofErr w:type="gramEnd"/>
      <w:r w:rsidRPr="00530843">
        <w:rPr>
          <w:rFonts w:ascii="Arial" w:hAnsi="Arial" w:cs="Arial"/>
          <w:b/>
          <w:bCs/>
        </w:rPr>
        <w:t xml:space="preserve"> 6</w:t>
      </w:r>
      <w:r w:rsidRPr="00530843">
        <w:rPr>
          <w:rFonts w:ascii="Arial" w:hAnsi="Arial" w:cs="Arial"/>
          <w:b/>
          <w:bCs/>
          <w:vertAlign w:val="superscript"/>
        </w:rPr>
        <w:t>th</w:t>
      </w:r>
      <w:r w:rsidRPr="00530843">
        <w:rPr>
          <w:rFonts w:ascii="Arial" w:hAnsi="Arial" w:cs="Arial"/>
          <w:b/>
          <w:bCs/>
        </w:rPr>
        <w:t xml:space="preserve"> July 2016</w:t>
      </w:r>
    </w:p>
    <w:p w:rsidR="00530843" w:rsidRPr="00530843" w:rsidRDefault="00530843" w:rsidP="00530843">
      <w:pPr>
        <w:rPr>
          <w:rFonts w:ascii="Arial" w:hAnsi="Arial" w:cs="Arial"/>
        </w:rPr>
      </w:pPr>
    </w:p>
    <w:p w:rsidR="00530843" w:rsidRPr="00530843" w:rsidRDefault="00530843" w:rsidP="00530843">
      <w:pPr>
        <w:rPr>
          <w:rFonts w:ascii="Arial" w:hAnsi="Arial" w:cs="Arial"/>
        </w:rPr>
      </w:pPr>
      <w:r w:rsidRPr="00530843">
        <w:rPr>
          <w:rFonts w:ascii="Arial" w:hAnsi="Arial" w:cs="Arial"/>
        </w:rPr>
        <w:t xml:space="preserve">The Communities and Local Government Committee has launched an inquiry into the capacity of the </w:t>
      </w:r>
      <w:proofErr w:type="spellStart"/>
      <w:r w:rsidRPr="00530843">
        <w:rPr>
          <w:rFonts w:ascii="Arial" w:hAnsi="Arial" w:cs="Arial"/>
        </w:rPr>
        <w:t>housebuilding</w:t>
      </w:r>
      <w:proofErr w:type="spellEnd"/>
      <w:r w:rsidRPr="00530843">
        <w:rPr>
          <w:rFonts w:ascii="Arial" w:hAnsi="Arial" w:cs="Arial"/>
        </w:rPr>
        <w:t xml:space="preserve"> industry to meet the overwhelming demand for new homes.</w:t>
      </w:r>
    </w:p>
    <w:p w:rsidR="00530843" w:rsidRPr="00530843" w:rsidRDefault="00530843" w:rsidP="00530843">
      <w:pPr>
        <w:rPr>
          <w:rFonts w:ascii="Arial" w:hAnsi="Arial" w:cs="Arial"/>
        </w:rPr>
      </w:pPr>
      <w:r w:rsidRPr="00530843">
        <w:rPr>
          <w:rFonts w:ascii="Arial" w:hAnsi="Arial" w:cs="Arial"/>
        </w:rPr>
        <w:lastRenderedPageBreak/>
        <w:t xml:space="preserve">The Committee is inviting chief executives of major </w:t>
      </w:r>
      <w:proofErr w:type="spellStart"/>
      <w:r w:rsidRPr="00530843">
        <w:rPr>
          <w:rFonts w:ascii="Arial" w:hAnsi="Arial" w:cs="Arial"/>
        </w:rPr>
        <w:t>housebuilders</w:t>
      </w:r>
      <w:proofErr w:type="spellEnd"/>
      <w:r w:rsidRPr="00530843">
        <w:rPr>
          <w:rFonts w:ascii="Arial" w:hAnsi="Arial" w:cs="Arial"/>
        </w:rPr>
        <w:t xml:space="preserve"> to give evidence to the inquiry, which will include the role of SME developers, the skills, size and sustainability of the workforce, development finance and the planning process.</w:t>
      </w:r>
    </w:p>
    <w:p w:rsidR="00530843" w:rsidRPr="00530843" w:rsidRDefault="00530843" w:rsidP="00530843">
      <w:pPr>
        <w:rPr>
          <w:rFonts w:ascii="Arial" w:hAnsi="Arial" w:cs="Arial"/>
        </w:rPr>
      </w:pPr>
      <w:r w:rsidRPr="00530843">
        <w:rPr>
          <w:rFonts w:ascii="Arial" w:hAnsi="Arial" w:cs="Arial"/>
        </w:rPr>
        <w:t>As part of the inquiry, the Committee will also look at different ways of overcoming the constraints the industry faces, for example through offsite construction, self-build and direct commissioning by government.</w:t>
      </w:r>
    </w:p>
    <w:p w:rsidR="00530843" w:rsidRPr="00530843" w:rsidRDefault="00530843" w:rsidP="00530843">
      <w:pPr>
        <w:rPr>
          <w:rFonts w:ascii="Arial" w:hAnsi="Arial" w:cs="Arial"/>
        </w:rPr>
      </w:pPr>
      <w:r w:rsidRPr="00530843">
        <w:rPr>
          <w:rFonts w:ascii="Arial" w:hAnsi="Arial" w:cs="Arial"/>
        </w:rPr>
        <w:t>It is also likely to invite ministers, industry body representatives, the Homes and Communities Agency (HCA), local authorities and housing associations to give evidence in public, as well as skills and training experts, representatives of the offsite and self-build sectors, and debt and equity financiers.</w:t>
      </w:r>
    </w:p>
    <w:p w:rsidR="00530843" w:rsidRPr="00530843" w:rsidRDefault="00530843" w:rsidP="00530843">
      <w:pPr>
        <w:rPr>
          <w:rFonts w:ascii="Arial" w:hAnsi="Arial" w:cs="Arial"/>
        </w:rPr>
      </w:pPr>
      <w:r w:rsidRPr="00530843">
        <w:rPr>
          <w:rFonts w:ascii="Arial" w:hAnsi="Arial" w:cs="Arial"/>
        </w:rPr>
        <w:t xml:space="preserve">The industry has until September 12 to contribute written submissions on issues including: whether the numbers of builders and types of companies within </w:t>
      </w:r>
      <w:proofErr w:type="spellStart"/>
      <w:r w:rsidRPr="00530843">
        <w:rPr>
          <w:rFonts w:ascii="Arial" w:hAnsi="Arial" w:cs="Arial"/>
        </w:rPr>
        <w:t>housebuilding</w:t>
      </w:r>
      <w:proofErr w:type="spellEnd"/>
      <w:r w:rsidRPr="00530843">
        <w:rPr>
          <w:rFonts w:ascii="Arial" w:hAnsi="Arial" w:cs="Arial"/>
        </w:rPr>
        <w:t xml:space="preserve"> is enough to meet housing demand; </w:t>
      </w:r>
      <w:proofErr w:type="spellStart"/>
      <w:r w:rsidRPr="00530843">
        <w:rPr>
          <w:rFonts w:ascii="Arial" w:hAnsi="Arial" w:cs="Arial"/>
        </w:rPr>
        <w:t>housebuilders</w:t>
      </w:r>
      <w:proofErr w:type="spellEnd"/>
      <w:r w:rsidRPr="00530843">
        <w:rPr>
          <w:rFonts w:ascii="Arial" w:hAnsi="Arial" w:cs="Arial"/>
        </w:rPr>
        <w:t>’ business models; and the extent to which approaches to planning delay new homes delivery.</w:t>
      </w:r>
    </w:p>
    <w:p w:rsidR="00530843" w:rsidRDefault="00530843" w:rsidP="00530843">
      <w:pPr>
        <w:rPr>
          <w:rFonts w:ascii="Arial" w:hAnsi="Arial" w:cs="Arial"/>
        </w:rPr>
      </w:pPr>
      <w:proofErr w:type="gramStart"/>
      <w:r w:rsidRPr="00530843">
        <w:rPr>
          <w:rFonts w:ascii="Arial" w:hAnsi="Arial" w:cs="Arial"/>
        </w:rPr>
        <w:t>if</w:t>
      </w:r>
      <w:proofErr w:type="gramEnd"/>
      <w:r w:rsidRPr="00530843">
        <w:rPr>
          <w:rFonts w:ascii="Arial" w:hAnsi="Arial" w:cs="Arial"/>
        </w:rPr>
        <w:t xml:space="preserve"> the economic and policy environment allows, enable the industry to continue to drive housing supply in the future."</w:t>
      </w:r>
    </w:p>
    <w:p w:rsidR="00CB7B8E" w:rsidRDefault="00CB7B8E" w:rsidP="00530843">
      <w:pPr>
        <w:rPr>
          <w:rFonts w:ascii="Arial" w:hAnsi="Arial" w:cs="Arial"/>
        </w:rPr>
      </w:pPr>
    </w:p>
    <w:p w:rsidR="00CB7B8E" w:rsidRPr="00CB7B8E" w:rsidRDefault="00CB7B8E" w:rsidP="00CB7B8E">
      <w:pPr>
        <w:outlineLvl w:val="2"/>
        <w:rPr>
          <w:rFonts w:ascii="Arial" w:hAnsi="Arial" w:cs="Arial"/>
          <w:b/>
        </w:rPr>
      </w:pPr>
      <w:r w:rsidRPr="00CB7B8E">
        <w:rPr>
          <w:rFonts w:ascii="Arial" w:hAnsi="Arial" w:cs="Arial"/>
          <w:b/>
        </w:rPr>
        <w:t>HAPPI 3</w:t>
      </w:r>
    </w:p>
    <w:p w:rsidR="00CB7B8E" w:rsidRPr="00CB7B8E" w:rsidRDefault="005A2B52" w:rsidP="00CB7B8E">
      <w:pPr>
        <w:outlineLvl w:val="2"/>
        <w:rPr>
          <w:rFonts w:ascii="Arial" w:hAnsi="Arial" w:cs="Arial"/>
          <w:i/>
          <w:iCs/>
        </w:rPr>
      </w:pPr>
      <w:hyperlink r:id="rId12" w:history="1">
        <w:r w:rsidR="00CB7B8E" w:rsidRPr="00CB7B8E">
          <w:rPr>
            <w:rStyle w:val="Hyperlink"/>
            <w:rFonts w:ascii="Arial" w:hAnsi="Arial" w:cs="Arial"/>
            <w:b/>
            <w:bCs/>
          </w:rPr>
          <w:t>'Housing our Ageing Population: Positive Ideas' (HAPPI 3)'</w:t>
        </w:r>
      </w:hyperlink>
      <w:r w:rsidR="00CB7B8E" w:rsidRPr="00CB7B8E">
        <w:rPr>
          <w:rFonts w:ascii="Arial" w:hAnsi="Arial" w:cs="Arial"/>
        </w:rPr>
        <w:t xml:space="preserve"> report</w:t>
      </w:r>
      <w:r w:rsidR="00CB7B8E">
        <w:rPr>
          <w:rFonts w:ascii="Arial" w:hAnsi="Arial" w:cs="Arial"/>
        </w:rPr>
        <w:t xml:space="preserve"> was launched in June</w:t>
      </w:r>
    </w:p>
    <w:p w:rsidR="00CB7B8E" w:rsidRPr="00CB7B8E" w:rsidRDefault="00CB7B8E" w:rsidP="00CB7B8E">
      <w:pPr>
        <w:outlineLvl w:val="2"/>
        <w:rPr>
          <w:rFonts w:ascii="Arial" w:hAnsi="Arial" w:cs="Arial"/>
          <w:i/>
          <w:iCs/>
        </w:rPr>
      </w:pPr>
    </w:p>
    <w:p w:rsidR="00CB7B8E" w:rsidRPr="00CB7B8E" w:rsidRDefault="00CB7B8E" w:rsidP="00CB7B8E">
      <w:pPr>
        <w:ind w:left="57"/>
        <w:rPr>
          <w:rFonts w:ascii="Arial" w:hAnsi="Arial" w:cs="Arial"/>
          <w:b/>
          <w:lang w:val="en"/>
        </w:rPr>
      </w:pPr>
      <w:r w:rsidRPr="00CB7B8E">
        <w:rPr>
          <w:rFonts w:ascii="Arial" w:hAnsi="Arial" w:cs="Arial"/>
          <w:b/>
          <w:lang w:val="en"/>
        </w:rPr>
        <w:t>HAPPI 3 REPORT: KEY RECOMMENDATIONS</w:t>
      </w:r>
    </w:p>
    <w:p w:rsidR="00CB7B8E" w:rsidRPr="00CB7B8E" w:rsidRDefault="00CB7B8E" w:rsidP="00CB7B8E">
      <w:pPr>
        <w:numPr>
          <w:ilvl w:val="0"/>
          <w:numId w:val="4"/>
        </w:numPr>
        <w:tabs>
          <w:tab w:val="clear" w:pos="720"/>
          <w:tab w:val="num" w:pos="1080"/>
        </w:tabs>
        <w:ind w:left="417"/>
        <w:rPr>
          <w:rFonts w:ascii="Arial" w:hAnsi="Arial" w:cs="Arial"/>
          <w:lang w:val="en"/>
        </w:rPr>
      </w:pPr>
      <w:r w:rsidRPr="00CB7B8E">
        <w:rPr>
          <w:rFonts w:ascii="Arial" w:hAnsi="Arial" w:cs="Arial"/>
          <w:lang w:val="en"/>
        </w:rPr>
        <w:t>Ministers to exempt older people from stamp duty when downsizing</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Help to Buy-style assistance for older people buying new properties</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Government to ensure policies for rent regulation and housing benefit control do not deter investment in specialist housing for older people</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 xml:space="preserve">The </w:t>
      </w:r>
      <w:r w:rsidRPr="00CB7B8E">
        <w:rPr>
          <w:rFonts w:ascii="Arial" w:hAnsi="Arial" w:cs="Arial"/>
          <w:b/>
          <w:lang w:val="en"/>
        </w:rPr>
        <w:t>Homes and Communities Agency</w:t>
      </w:r>
      <w:r w:rsidRPr="00CB7B8E">
        <w:rPr>
          <w:rFonts w:ascii="Arial" w:hAnsi="Arial" w:cs="Arial"/>
          <w:lang w:val="en"/>
        </w:rPr>
        <w:t xml:space="preserve"> and Greater London Authority to boost investment in affordable retirement accommodation for rent</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Councils to ensure Local Plans give priority to older people’s housing needs</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Retirement housing should be exempt from Starter Homes obligations</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Developers recommended to offer 999 or 1,000-year leases</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Department for Work and Pensions to ensure benefit changes don’t deter investment in supported housing</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Chartered Institute of Housing and National Housing Federation to be ‘advocates’ for older people’s housing</w:t>
      </w:r>
    </w:p>
    <w:p w:rsidR="00CB7B8E" w:rsidRPr="00CB7B8E" w:rsidRDefault="00CB7B8E" w:rsidP="00CB7B8E">
      <w:pPr>
        <w:numPr>
          <w:ilvl w:val="0"/>
          <w:numId w:val="4"/>
        </w:numPr>
        <w:ind w:left="417"/>
        <w:rPr>
          <w:rFonts w:ascii="Arial" w:hAnsi="Arial" w:cs="Arial"/>
          <w:lang w:val="en"/>
        </w:rPr>
      </w:pPr>
      <w:r w:rsidRPr="00CB7B8E">
        <w:rPr>
          <w:rFonts w:ascii="Arial" w:hAnsi="Arial" w:cs="Arial"/>
          <w:lang w:val="en"/>
        </w:rPr>
        <w:t>Housing associations to assist with co-housing custom building</w:t>
      </w:r>
    </w:p>
    <w:p w:rsidR="00CB7B8E" w:rsidRPr="00530843" w:rsidRDefault="00CB7B8E" w:rsidP="00530843">
      <w:pPr>
        <w:rPr>
          <w:rFonts w:ascii="Arial" w:hAnsi="Arial" w:cs="Arial"/>
        </w:rPr>
      </w:pPr>
    </w:p>
    <w:p w:rsidR="003C0FCF" w:rsidRPr="007813DC" w:rsidRDefault="00C8341D">
      <w:pPr>
        <w:rPr>
          <w:rFonts w:ascii="Arial" w:hAnsi="Arial" w:cs="Arial"/>
          <w:b/>
        </w:rPr>
      </w:pPr>
      <w:r w:rsidRPr="007813DC">
        <w:rPr>
          <w:rFonts w:ascii="Arial" w:hAnsi="Arial" w:cs="Arial"/>
          <w:b/>
        </w:rPr>
        <w:t>English Housing Survey</w:t>
      </w:r>
    </w:p>
    <w:p w:rsidR="007813DC" w:rsidRPr="007813DC" w:rsidRDefault="007813DC" w:rsidP="007813DC">
      <w:pPr>
        <w:pStyle w:val="NormalWeb"/>
        <w:rPr>
          <w:rFonts w:ascii="Arial" w:hAnsi="Arial" w:cs="Arial"/>
          <w:lang w:val="en"/>
        </w:rPr>
      </w:pPr>
      <w:r w:rsidRPr="007813DC">
        <w:rPr>
          <w:rFonts w:ascii="Arial" w:hAnsi="Arial" w:cs="Arial"/>
          <w:lang w:val="en"/>
        </w:rPr>
        <w:t>The English housing survey is a continuous national survey commissioned by DCLG</w:t>
      </w:r>
      <w:proofErr w:type="gramStart"/>
      <w:r w:rsidRPr="007813DC">
        <w:rPr>
          <w:rFonts w:ascii="Arial" w:hAnsi="Arial" w:cs="Arial"/>
          <w:lang w:val="en"/>
        </w:rPr>
        <w:t>..</w:t>
      </w:r>
      <w:proofErr w:type="gramEnd"/>
      <w:r w:rsidRPr="007813DC">
        <w:rPr>
          <w:rFonts w:ascii="Arial" w:hAnsi="Arial" w:cs="Arial"/>
          <w:lang w:val="en"/>
        </w:rPr>
        <w:t xml:space="preserve"> It collects information about people’s housing circumstances and the condition and energy efficiency of housing in England.</w:t>
      </w:r>
    </w:p>
    <w:p w:rsidR="007813DC" w:rsidRPr="007813DC" w:rsidRDefault="007813DC" w:rsidP="007813DC">
      <w:pPr>
        <w:pStyle w:val="NormalWeb"/>
        <w:rPr>
          <w:rFonts w:ascii="Arial" w:hAnsi="Arial" w:cs="Arial"/>
          <w:lang w:val="en"/>
        </w:rPr>
      </w:pPr>
      <w:r w:rsidRPr="007813DC">
        <w:rPr>
          <w:rFonts w:ascii="Arial" w:hAnsi="Arial" w:cs="Arial"/>
          <w:lang w:val="en"/>
        </w:rPr>
        <w:t>It has 2 component surveys:</w:t>
      </w:r>
    </w:p>
    <w:p w:rsidR="007813DC" w:rsidRPr="007813DC" w:rsidRDefault="007813DC" w:rsidP="007813DC">
      <w:pPr>
        <w:numPr>
          <w:ilvl w:val="0"/>
          <w:numId w:val="6"/>
        </w:numPr>
        <w:spacing w:before="100" w:beforeAutospacing="1" w:after="100" w:afterAutospacing="1"/>
        <w:rPr>
          <w:rFonts w:ascii="Arial" w:hAnsi="Arial" w:cs="Arial"/>
          <w:lang w:val="en"/>
        </w:rPr>
      </w:pPr>
      <w:r w:rsidRPr="007813DC">
        <w:rPr>
          <w:rFonts w:ascii="Arial" w:hAnsi="Arial" w:cs="Arial"/>
          <w:lang w:val="en"/>
        </w:rPr>
        <w:t>a household interview</w:t>
      </w:r>
    </w:p>
    <w:p w:rsidR="007813DC" w:rsidRPr="007813DC" w:rsidRDefault="007813DC" w:rsidP="007813DC">
      <w:pPr>
        <w:numPr>
          <w:ilvl w:val="0"/>
          <w:numId w:val="6"/>
        </w:numPr>
        <w:spacing w:before="100" w:beforeAutospacing="1" w:after="100" w:afterAutospacing="1"/>
        <w:rPr>
          <w:rFonts w:ascii="Arial" w:hAnsi="Arial" w:cs="Arial"/>
          <w:lang w:val="en"/>
        </w:rPr>
      </w:pPr>
      <w:r w:rsidRPr="007813DC">
        <w:rPr>
          <w:rFonts w:ascii="Arial" w:hAnsi="Arial" w:cs="Arial"/>
          <w:lang w:val="en"/>
        </w:rPr>
        <w:t>a physical inspection of a sub sample of the properties</w:t>
      </w:r>
    </w:p>
    <w:p w:rsidR="00C8341D" w:rsidRPr="007813DC" w:rsidRDefault="00C8341D">
      <w:pPr>
        <w:rPr>
          <w:rFonts w:ascii="Arial" w:hAnsi="Arial" w:cs="Arial"/>
        </w:rPr>
      </w:pPr>
      <w:r w:rsidRPr="007813DC">
        <w:rPr>
          <w:rFonts w:ascii="Arial" w:hAnsi="Arial" w:cs="Arial"/>
          <w:lang w:val="en"/>
        </w:rPr>
        <w:lastRenderedPageBreak/>
        <w:t>Each year initial results are published in a headline report in the beginning of the year</w:t>
      </w:r>
      <w:r w:rsidR="007813DC">
        <w:rPr>
          <w:rFonts w:ascii="Arial" w:hAnsi="Arial" w:cs="Arial"/>
          <w:lang w:val="en"/>
        </w:rPr>
        <w:t xml:space="preserve"> </w:t>
      </w:r>
      <w:proofErr w:type="gramStart"/>
      <w:r w:rsidR="007813DC">
        <w:rPr>
          <w:rFonts w:ascii="Arial" w:hAnsi="Arial" w:cs="Arial"/>
          <w:lang w:val="en"/>
        </w:rPr>
        <w:t>( in</w:t>
      </w:r>
      <w:proofErr w:type="gramEnd"/>
      <w:r w:rsidR="007813DC">
        <w:rPr>
          <w:rFonts w:ascii="Arial" w:hAnsi="Arial" w:cs="Arial"/>
          <w:lang w:val="en"/>
        </w:rPr>
        <w:t xml:space="preserve"> February 2016)</w:t>
      </w:r>
      <w:r w:rsidRPr="007813DC">
        <w:rPr>
          <w:rFonts w:ascii="Arial" w:hAnsi="Arial" w:cs="Arial"/>
          <w:lang w:val="en"/>
        </w:rPr>
        <w:t>. This is followed by a series of more detailed reports released in the summer</w:t>
      </w:r>
      <w:r w:rsidR="007813DC">
        <w:rPr>
          <w:rFonts w:ascii="Arial" w:hAnsi="Arial" w:cs="Arial"/>
          <w:lang w:val="en"/>
        </w:rPr>
        <w:t xml:space="preserve"> and</w:t>
      </w:r>
      <w:r w:rsidR="00E52DF6">
        <w:rPr>
          <w:rFonts w:ascii="Arial" w:hAnsi="Arial" w:cs="Arial"/>
          <w:lang w:val="en"/>
        </w:rPr>
        <w:t xml:space="preserve"> these</w:t>
      </w:r>
      <w:r w:rsidR="007813DC">
        <w:rPr>
          <w:rFonts w:ascii="Arial" w:hAnsi="Arial" w:cs="Arial"/>
          <w:lang w:val="en"/>
        </w:rPr>
        <w:t xml:space="preserve"> are now available on the DCLG website</w:t>
      </w:r>
      <w:r w:rsidRPr="007813DC">
        <w:rPr>
          <w:rFonts w:ascii="Arial" w:hAnsi="Arial" w:cs="Arial"/>
          <w:lang w:val="en"/>
        </w:rPr>
        <w:t>.</w:t>
      </w:r>
    </w:p>
    <w:p w:rsidR="00C8341D" w:rsidRPr="007813DC" w:rsidRDefault="00C8341D">
      <w:pPr>
        <w:rPr>
          <w:rFonts w:ascii="Arial" w:hAnsi="Arial" w:cs="Arial"/>
        </w:rPr>
      </w:pPr>
    </w:p>
    <w:p w:rsidR="00C8341D" w:rsidRPr="00C8341D" w:rsidRDefault="007813DC" w:rsidP="00C8341D">
      <w:pPr>
        <w:shd w:val="clear" w:color="auto" w:fill="FFFFFF"/>
        <w:spacing w:after="150" w:line="300" w:lineRule="atLeast"/>
        <w:rPr>
          <w:rFonts w:ascii="Arial" w:hAnsi="Arial" w:cs="Arial"/>
          <w:color w:val="333333"/>
          <w:sz w:val="21"/>
          <w:szCs w:val="21"/>
          <w:lang w:val="en"/>
        </w:rPr>
      </w:pPr>
      <w:r>
        <w:rPr>
          <w:rFonts w:ascii="Arial" w:hAnsi="Arial" w:cs="Arial"/>
          <w:color w:val="333333"/>
          <w:sz w:val="21"/>
          <w:szCs w:val="21"/>
          <w:lang w:val="en"/>
        </w:rPr>
        <w:t>The nine reports</w:t>
      </w:r>
      <w:r w:rsidR="00E52DF6">
        <w:rPr>
          <w:rFonts w:ascii="Arial" w:hAnsi="Arial" w:cs="Arial"/>
          <w:color w:val="333333"/>
          <w:sz w:val="21"/>
          <w:szCs w:val="21"/>
          <w:lang w:val="en"/>
        </w:rPr>
        <w:t xml:space="preserve"> </w:t>
      </w:r>
      <w:r w:rsidR="00C8341D" w:rsidRPr="00C8341D">
        <w:rPr>
          <w:rFonts w:ascii="Arial" w:hAnsi="Arial" w:cs="Arial"/>
          <w:color w:val="333333"/>
          <w:sz w:val="21"/>
          <w:szCs w:val="21"/>
          <w:lang w:val="en"/>
        </w:rPr>
        <w:t>are on:</w:t>
      </w:r>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3" w:history="1">
        <w:r w:rsidR="00C8341D" w:rsidRPr="007813DC">
          <w:rPr>
            <w:rFonts w:ascii="Arial" w:hAnsi="Arial" w:cs="Arial"/>
            <w:color w:val="7CA900"/>
            <w:sz w:val="21"/>
            <w:szCs w:val="21"/>
            <w:lang w:val="en"/>
          </w:rPr>
          <w:t>first time buyers and potential home owners</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4" w:history="1">
        <w:r w:rsidR="00C8341D" w:rsidRPr="007813DC">
          <w:rPr>
            <w:rFonts w:ascii="Arial" w:hAnsi="Arial" w:cs="Arial"/>
            <w:color w:val="7CA900"/>
            <w:sz w:val="21"/>
            <w:szCs w:val="21"/>
            <w:lang w:val="en"/>
          </w:rPr>
          <w:t>the private rented sector</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5" w:history="1">
        <w:r w:rsidR="00C8341D" w:rsidRPr="007813DC">
          <w:rPr>
            <w:rFonts w:ascii="Arial" w:hAnsi="Arial" w:cs="Arial"/>
            <w:color w:val="7CA900"/>
            <w:sz w:val="21"/>
            <w:szCs w:val="21"/>
            <w:lang w:val="en"/>
          </w:rPr>
          <w:t>the social rented sector</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6" w:history="1">
        <w:r w:rsidR="00C8341D" w:rsidRPr="007813DC">
          <w:rPr>
            <w:rFonts w:ascii="Arial" w:hAnsi="Arial" w:cs="Arial"/>
            <w:color w:val="7CA900"/>
            <w:sz w:val="21"/>
            <w:szCs w:val="21"/>
            <w:lang w:val="en"/>
          </w:rPr>
          <w:t>housing for older people</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7" w:history="1">
        <w:r w:rsidR="00C8341D" w:rsidRPr="007813DC">
          <w:rPr>
            <w:rFonts w:ascii="Arial" w:hAnsi="Arial" w:cs="Arial"/>
            <w:color w:val="7CA900"/>
            <w:sz w:val="21"/>
            <w:szCs w:val="21"/>
            <w:lang w:val="en"/>
          </w:rPr>
          <w:t>adaptations and accessibility</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8" w:history="1">
        <w:r w:rsidR="00C8341D" w:rsidRPr="007813DC">
          <w:rPr>
            <w:rFonts w:ascii="Arial" w:hAnsi="Arial" w:cs="Arial"/>
            <w:color w:val="7CA900"/>
            <w:sz w:val="21"/>
            <w:szCs w:val="21"/>
            <w:lang w:val="en"/>
          </w:rPr>
          <w:t>housing stock</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19" w:history="1">
        <w:r w:rsidR="00C8341D" w:rsidRPr="007813DC">
          <w:rPr>
            <w:rFonts w:ascii="Arial" w:hAnsi="Arial" w:cs="Arial"/>
            <w:color w:val="7CA900"/>
            <w:sz w:val="21"/>
            <w:szCs w:val="21"/>
            <w:lang w:val="en"/>
          </w:rPr>
          <w:t>housing and well-being</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20" w:history="1">
        <w:r w:rsidR="00C8341D" w:rsidRPr="007813DC">
          <w:rPr>
            <w:rFonts w:ascii="Arial" w:hAnsi="Arial" w:cs="Arial"/>
            <w:color w:val="7CA900"/>
            <w:sz w:val="21"/>
            <w:szCs w:val="21"/>
            <w:lang w:val="en"/>
          </w:rPr>
          <w:t>energy</w:t>
        </w:r>
      </w:hyperlink>
    </w:p>
    <w:p w:rsidR="00C8341D" w:rsidRPr="00C8341D" w:rsidRDefault="005A2B52" w:rsidP="00C8341D">
      <w:pPr>
        <w:numPr>
          <w:ilvl w:val="0"/>
          <w:numId w:val="5"/>
        </w:numPr>
        <w:shd w:val="clear" w:color="auto" w:fill="FFFFFF"/>
        <w:spacing w:before="100" w:beforeAutospacing="1" w:after="100" w:afterAutospacing="1" w:line="300" w:lineRule="atLeast"/>
        <w:ind w:left="285"/>
        <w:rPr>
          <w:rFonts w:ascii="Arial" w:hAnsi="Arial" w:cs="Arial"/>
          <w:color w:val="333333"/>
          <w:sz w:val="21"/>
          <w:szCs w:val="21"/>
          <w:lang w:val="en"/>
        </w:rPr>
      </w:pPr>
      <w:hyperlink r:id="rId21" w:history="1">
        <w:r w:rsidR="00C8341D" w:rsidRPr="007813DC">
          <w:rPr>
            <w:rFonts w:ascii="Arial" w:hAnsi="Arial" w:cs="Arial"/>
            <w:color w:val="7CA900"/>
            <w:sz w:val="21"/>
            <w:szCs w:val="21"/>
            <w:lang w:val="en"/>
          </w:rPr>
          <w:t>smoke alarms in English homes</w:t>
        </w:r>
      </w:hyperlink>
    </w:p>
    <w:p w:rsidR="00C8341D" w:rsidRPr="007813DC" w:rsidRDefault="00C8341D">
      <w:pPr>
        <w:rPr>
          <w:rFonts w:ascii="Arial" w:hAnsi="Arial" w:cs="Arial"/>
        </w:rPr>
      </w:pPr>
    </w:p>
    <w:p w:rsidR="00C8341D" w:rsidRDefault="005A2B52">
      <w:pPr>
        <w:rPr>
          <w:rFonts w:ascii="Arial" w:hAnsi="Arial" w:cs="Arial"/>
        </w:rPr>
      </w:pPr>
      <w:hyperlink r:id="rId22" w:history="1">
        <w:r w:rsidR="00C8341D" w:rsidRPr="00BE51D4">
          <w:rPr>
            <w:rStyle w:val="Hyperlink"/>
            <w:rFonts w:ascii="Arial" w:hAnsi="Arial" w:cs="Arial"/>
          </w:rPr>
          <w:t>https://www.gov.uk/government/collections/english-housing-survey</w:t>
        </w:r>
      </w:hyperlink>
    </w:p>
    <w:p w:rsidR="00C8341D" w:rsidRDefault="00C8341D">
      <w:pPr>
        <w:rPr>
          <w:rFonts w:ascii="Arial" w:hAnsi="Arial" w:cs="Arial"/>
        </w:rPr>
      </w:pPr>
    </w:p>
    <w:p w:rsidR="00E52DF6" w:rsidRDefault="00E52DF6">
      <w:pPr>
        <w:rPr>
          <w:rFonts w:ascii="Arial" w:hAnsi="Arial" w:cs="Arial"/>
          <w:b/>
        </w:rPr>
      </w:pPr>
      <w:r w:rsidRPr="00E52DF6">
        <w:rPr>
          <w:rFonts w:ascii="Arial" w:hAnsi="Arial" w:cs="Arial"/>
          <w:b/>
        </w:rPr>
        <w:t>House Building June Quarter</w:t>
      </w:r>
    </w:p>
    <w:p w:rsidR="00E52DF6" w:rsidRPr="00E52DF6" w:rsidRDefault="00E52DF6">
      <w:pPr>
        <w:rPr>
          <w:rFonts w:ascii="Arial" w:hAnsi="Arial" w:cs="Arial"/>
          <w:b/>
        </w:rPr>
      </w:pPr>
    </w:p>
    <w:p w:rsidR="00E52DF6" w:rsidRDefault="00E52DF6">
      <w:pPr>
        <w:rPr>
          <w:rFonts w:ascii="Arial" w:hAnsi="Arial" w:cs="Arial"/>
        </w:rPr>
      </w:pPr>
      <w:r>
        <w:rPr>
          <w:rFonts w:ascii="Arial" w:hAnsi="Arial" w:cs="Arial"/>
        </w:rPr>
        <w:t xml:space="preserve">DCLG published </w:t>
      </w:r>
      <w:r w:rsidRPr="00E52DF6">
        <w:rPr>
          <w:rFonts w:ascii="Arial" w:hAnsi="Arial" w:cs="Arial"/>
          <w:lang w:val="en"/>
        </w:rPr>
        <w:t>figures on new build housing st</w:t>
      </w:r>
      <w:r>
        <w:rPr>
          <w:rFonts w:ascii="Arial" w:hAnsi="Arial" w:cs="Arial"/>
          <w:lang w:val="en"/>
        </w:rPr>
        <w:t xml:space="preserve">arts and completions in England for the period April to June 16 on 26 August. </w:t>
      </w:r>
    </w:p>
    <w:p w:rsidR="00E52DF6" w:rsidRDefault="00E52DF6">
      <w:pPr>
        <w:rPr>
          <w:rFonts w:ascii="Arial" w:hAnsi="Arial" w:cs="Arial"/>
        </w:rPr>
      </w:pPr>
    </w:p>
    <w:p w:rsidR="00E52DF6" w:rsidRDefault="005A2B52">
      <w:pPr>
        <w:rPr>
          <w:rFonts w:ascii="Arial" w:hAnsi="Arial" w:cs="Arial"/>
        </w:rPr>
      </w:pPr>
      <w:hyperlink r:id="rId23" w:history="1">
        <w:r w:rsidR="00E52DF6" w:rsidRPr="00375C7A">
          <w:rPr>
            <w:rStyle w:val="Hyperlink"/>
            <w:rFonts w:ascii="Arial" w:hAnsi="Arial" w:cs="Arial"/>
          </w:rPr>
          <w:t>https://www.gov.uk/government/uploads/system/uploads/attachment_data/file/547818/House_Building_Release_June_Qtr_2016.pdf</w:t>
        </w:r>
      </w:hyperlink>
    </w:p>
    <w:p w:rsidR="00E52DF6" w:rsidRDefault="00E52DF6">
      <w:pPr>
        <w:rPr>
          <w:rFonts w:ascii="Arial" w:hAnsi="Arial" w:cs="Arial"/>
        </w:rPr>
      </w:pPr>
    </w:p>
    <w:p w:rsidR="003B0C63" w:rsidRDefault="003B0C63">
      <w:pPr>
        <w:rPr>
          <w:rFonts w:ascii="Arial" w:hAnsi="Arial" w:cs="Arial"/>
        </w:rPr>
      </w:pPr>
    </w:p>
    <w:p w:rsidR="003B0C63" w:rsidRPr="003B0C63" w:rsidRDefault="003B0C63">
      <w:pPr>
        <w:rPr>
          <w:rFonts w:ascii="Arial" w:hAnsi="Arial" w:cs="Arial"/>
          <w:b/>
        </w:rPr>
      </w:pPr>
      <w:r w:rsidRPr="003B0C63">
        <w:rPr>
          <w:rFonts w:ascii="Arial" w:hAnsi="Arial" w:cs="Arial"/>
          <w:b/>
        </w:rPr>
        <w:t>Regulator’s Quarterly Survey</w:t>
      </w:r>
    </w:p>
    <w:p w:rsidR="003B0C63" w:rsidRDefault="003B0C63">
      <w:pPr>
        <w:rPr>
          <w:rFonts w:ascii="Arial" w:hAnsi="Arial" w:cs="Arial"/>
        </w:rPr>
      </w:pPr>
    </w:p>
    <w:p w:rsidR="003B0C63" w:rsidRPr="003B0C63" w:rsidRDefault="003B0C63">
      <w:pPr>
        <w:rPr>
          <w:rFonts w:ascii="Arial" w:hAnsi="Arial" w:cs="Arial"/>
        </w:rPr>
      </w:pPr>
      <w:r w:rsidRPr="003B0C63">
        <w:rPr>
          <w:rFonts w:ascii="Arial" w:hAnsi="Arial" w:cs="Arial"/>
        </w:rPr>
        <w:t xml:space="preserve">This report </w:t>
      </w:r>
      <w:proofErr w:type="gramStart"/>
      <w:r w:rsidRPr="003B0C63">
        <w:rPr>
          <w:rFonts w:ascii="Arial" w:hAnsi="Arial" w:cs="Arial"/>
        </w:rPr>
        <w:t>( link</w:t>
      </w:r>
      <w:proofErr w:type="gramEnd"/>
      <w:r w:rsidRPr="003B0C63">
        <w:rPr>
          <w:rFonts w:ascii="Arial" w:hAnsi="Arial" w:cs="Arial"/>
        </w:rPr>
        <w:t xml:space="preserve"> below) highlights that the social housing sector remains in a strong financial position with access to sufficient finance.</w:t>
      </w:r>
      <w:r w:rsidRPr="003B0C63">
        <w:rPr>
          <w:rFonts w:ascii="Arial" w:hAnsi="Arial" w:cs="Arial"/>
        </w:rPr>
        <w:br/>
        <w:t> </w:t>
      </w:r>
      <w:r w:rsidRPr="003B0C63">
        <w:rPr>
          <w:rFonts w:ascii="Arial" w:hAnsi="Arial" w:cs="Arial"/>
        </w:rPr>
        <w:br/>
        <w:t>The Quarterly Survey is one of the ways in which the regulator monitors and reports on the financial health of the sector as part of its robust approach to supporting the sector’s financial viability, helping to support providers’ contribution to new housing supply</w:t>
      </w:r>
      <w:r w:rsidRPr="003B0C63">
        <w:rPr>
          <w:rFonts w:ascii="Arial" w:hAnsi="Arial" w:cs="Arial"/>
        </w:rPr>
        <w:br/>
      </w:r>
    </w:p>
    <w:p w:rsidR="003B0C63" w:rsidRPr="003B0C63" w:rsidRDefault="003B0C63">
      <w:pPr>
        <w:rPr>
          <w:rFonts w:ascii="Arial" w:hAnsi="Arial" w:cs="Arial"/>
        </w:rPr>
      </w:pPr>
    </w:p>
    <w:p w:rsidR="003B0C63" w:rsidRDefault="005A2B52">
      <w:pPr>
        <w:rPr>
          <w:rFonts w:ascii="Arial" w:hAnsi="Arial" w:cs="Arial"/>
        </w:rPr>
      </w:pPr>
      <w:hyperlink r:id="rId24" w:history="1">
        <w:r w:rsidR="003B0C63" w:rsidRPr="001333FA">
          <w:rPr>
            <w:rStyle w:val="Hyperlink"/>
            <w:rFonts w:ascii="Arial" w:hAnsi="Arial" w:cs="Arial"/>
          </w:rPr>
          <w:t>https://www.gov.uk/government/publications/quarterly-survey-for-q1-april-to-june-2016-to-2017</w:t>
        </w:r>
      </w:hyperlink>
    </w:p>
    <w:p w:rsidR="003B0C63" w:rsidRDefault="003B0C63">
      <w:pPr>
        <w:rPr>
          <w:rFonts w:ascii="Arial" w:hAnsi="Arial" w:cs="Arial"/>
        </w:rPr>
      </w:pPr>
    </w:p>
    <w:p w:rsidR="003B0C63" w:rsidRDefault="003B0C63">
      <w:pPr>
        <w:rPr>
          <w:rFonts w:ascii="Arial" w:hAnsi="Arial" w:cs="Arial"/>
        </w:rPr>
      </w:pPr>
    </w:p>
    <w:p w:rsidR="003B0C63" w:rsidRPr="003B0C63" w:rsidRDefault="003B0C63">
      <w:pPr>
        <w:rPr>
          <w:rFonts w:ascii="Arial" w:hAnsi="Arial" w:cs="Arial"/>
          <w:b/>
        </w:rPr>
      </w:pPr>
      <w:r w:rsidRPr="003B0C63">
        <w:rPr>
          <w:rFonts w:ascii="Arial" w:hAnsi="Arial" w:cs="Arial"/>
          <w:b/>
        </w:rPr>
        <w:t>Consumer Regulation Review</w:t>
      </w:r>
    </w:p>
    <w:p w:rsidR="003B0C63" w:rsidRPr="003B0C63" w:rsidRDefault="003B0C63">
      <w:pPr>
        <w:rPr>
          <w:rFonts w:ascii="Arial" w:hAnsi="Arial" w:cs="Arial"/>
          <w:b/>
        </w:rPr>
      </w:pPr>
    </w:p>
    <w:p w:rsidR="003B0C63" w:rsidRDefault="003B0C63">
      <w:pPr>
        <w:rPr>
          <w:rFonts w:ascii="Arial" w:hAnsi="Arial" w:cs="Arial"/>
          <w:color w:val="606060"/>
        </w:rPr>
      </w:pPr>
      <w:r w:rsidRPr="003B0C63">
        <w:rPr>
          <w:rFonts w:ascii="Arial" w:hAnsi="Arial" w:cs="Arial"/>
        </w:rPr>
        <w:t xml:space="preserve">The HCA has just published its annual Consumer Regulation Review. The report helps the sector and stakeholders understand the social housing </w:t>
      </w:r>
      <w:r w:rsidRPr="003B0C63">
        <w:rPr>
          <w:rFonts w:ascii="Arial" w:hAnsi="Arial" w:cs="Arial"/>
        </w:rPr>
        <w:lastRenderedPageBreak/>
        <w:t>regulator’s approach to consumer regulation, by exploring case studies and lessons learned</w:t>
      </w:r>
      <w:r>
        <w:rPr>
          <w:rFonts w:ascii="Arial" w:hAnsi="Arial" w:cs="Arial"/>
          <w:color w:val="606060"/>
        </w:rPr>
        <w:t xml:space="preserve">. </w:t>
      </w:r>
    </w:p>
    <w:p w:rsidR="003B0C63" w:rsidRDefault="005A2B52">
      <w:pPr>
        <w:rPr>
          <w:rFonts w:ascii="Arial" w:hAnsi="Arial" w:cs="Arial"/>
        </w:rPr>
      </w:pPr>
      <w:hyperlink r:id="rId25" w:history="1">
        <w:r w:rsidR="003B0C63" w:rsidRPr="001333FA">
          <w:rPr>
            <w:rStyle w:val="Hyperlink"/>
            <w:rFonts w:ascii="Arial" w:hAnsi="Arial" w:cs="Arial"/>
          </w:rPr>
          <w:t>https://www.gov.uk/government/publications/consumer-regulation-review-2015-to-2016</w:t>
        </w:r>
      </w:hyperlink>
    </w:p>
    <w:p w:rsidR="003B0C63" w:rsidRDefault="003B0C63">
      <w:pPr>
        <w:rPr>
          <w:rFonts w:ascii="Arial" w:hAnsi="Arial" w:cs="Arial"/>
        </w:rPr>
      </w:pPr>
    </w:p>
    <w:p w:rsidR="003B0C63" w:rsidRDefault="003B0C63">
      <w:pPr>
        <w:rPr>
          <w:rFonts w:ascii="Arial" w:hAnsi="Arial" w:cs="Arial"/>
        </w:rPr>
      </w:pPr>
    </w:p>
    <w:p w:rsidR="003B0C63" w:rsidRDefault="003B0C63">
      <w:pPr>
        <w:rPr>
          <w:rFonts w:ascii="Arial" w:hAnsi="Arial" w:cs="Arial"/>
        </w:rPr>
      </w:pPr>
    </w:p>
    <w:p w:rsidR="00E52DF6" w:rsidRPr="00CB7B8E" w:rsidRDefault="00E52DF6">
      <w:pPr>
        <w:rPr>
          <w:rFonts w:ascii="Arial" w:hAnsi="Arial" w:cs="Arial"/>
        </w:rPr>
      </w:pPr>
    </w:p>
    <w:sectPr w:rsidR="00E52DF6" w:rsidRPr="00CB7B8E">
      <w:footerReference w:type="even" r:id="rId26"/>
      <w:footerReference w:type="defaul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1E" w:rsidRDefault="00D0151E" w:rsidP="00D0151E">
      <w:r>
        <w:separator/>
      </w:r>
    </w:p>
  </w:endnote>
  <w:endnote w:type="continuationSeparator" w:id="0">
    <w:p w:rsidR="00D0151E" w:rsidRDefault="00D0151E" w:rsidP="00D0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1" w:name="aliashAdvancedFooterprot1FooterEvenPages"/>
  </w:p>
  <w:bookmarkEnd w:id="1"/>
  <w:p w:rsidR="00D0151E" w:rsidRDefault="00D01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2" w:name="aliashAdvancedFooterprotec1FooterPrimary"/>
  </w:p>
  <w:bookmarkEnd w:id="2"/>
  <w:p w:rsidR="00D0151E" w:rsidRDefault="00D01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1E" w:rsidRDefault="00D0151E" w:rsidP="00D0151E">
    <w:pPr>
      <w:pStyle w:val="Footer"/>
    </w:pPr>
    <w:bookmarkStart w:id="3" w:name="aliashAdvancedFooterprot1FooterFirstPage"/>
  </w:p>
  <w:bookmarkEnd w:id="3"/>
  <w:p w:rsidR="00D0151E" w:rsidRDefault="00D01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1E" w:rsidRDefault="00D0151E" w:rsidP="00D0151E">
      <w:r>
        <w:separator/>
      </w:r>
    </w:p>
  </w:footnote>
  <w:footnote w:type="continuationSeparator" w:id="0">
    <w:p w:rsidR="00D0151E" w:rsidRDefault="00D0151E" w:rsidP="00D0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F7C"/>
    <w:multiLevelType w:val="multilevel"/>
    <w:tmpl w:val="D3DC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4374BE"/>
    <w:multiLevelType w:val="multilevel"/>
    <w:tmpl w:val="C03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87092"/>
    <w:multiLevelType w:val="hybridMultilevel"/>
    <w:tmpl w:val="7BD4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C50E66"/>
    <w:multiLevelType w:val="hybridMultilevel"/>
    <w:tmpl w:val="61101BCE"/>
    <w:lvl w:ilvl="0" w:tplc="08090011">
      <w:start w:val="1"/>
      <w:numFmt w:val="decimal"/>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151871"/>
    <w:multiLevelType w:val="hybridMultilevel"/>
    <w:tmpl w:val="DC32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584B31"/>
    <w:multiLevelType w:val="multilevel"/>
    <w:tmpl w:val="BE1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tplc="08090011">
        <w:start w:val="1"/>
        <w:numFmt w:val="decimal"/>
        <w:lvlText w:val="%1)"/>
        <w:lvlJc w:val="left"/>
        <w:pPr>
          <w:ind w:left="644" w:hanging="64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1E"/>
    <w:rsid w:val="000028C7"/>
    <w:rsid w:val="00010219"/>
    <w:rsid w:val="0003378F"/>
    <w:rsid w:val="00074E9E"/>
    <w:rsid w:val="00085F64"/>
    <w:rsid w:val="00091854"/>
    <w:rsid w:val="00093D5F"/>
    <w:rsid w:val="00097697"/>
    <w:rsid w:val="000A7C02"/>
    <w:rsid w:val="000B63E7"/>
    <w:rsid w:val="000C0448"/>
    <w:rsid w:val="000C3BD3"/>
    <w:rsid w:val="000C5A00"/>
    <w:rsid w:val="000C6990"/>
    <w:rsid w:val="000E3CC1"/>
    <w:rsid w:val="000F1478"/>
    <w:rsid w:val="000F22F3"/>
    <w:rsid w:val="001047B3"/>
    <w:rsid w:val="00110131"/>
    <w:rsid w:val="001106DE"/>
    <w:rsid w:val="00115981"/>
    <w:rsid w:val="0012379F"/>
    <w:rsid w:val="00131205"/>
    <w:rsid w:val="00132B3E"/>
    <w:rsid w:val="00136C57"/>
    <w:rsid w:val="001424B9"/>
    <w:rsid w:val="00151DBC"/>
    <w:rsid w:val="00153036"/>
    <w:rsid w:val="00163484"/>
    <w:rsid w:val="00185D6F"/>
    <w:rsid w:val="001D0C45"/>
    <w:rsid w:val="001E1AEA"/>
    <w:rsid w:val="001F15D9"/>
    <w:rsid w:val="001F216C"/>
    <w:rsid w:val="001F6CE9"/>
    <w:rsid w:val="00201A75"/>
    <w:rsid w:val="002210A5"/>
    <w:rsid w:val="002216CD"/>
    <w:rsid w:val="00222062"/>
    <w:rsid w:val="0022437F"/>
    <w:rsid w:val="002279E9"/>
    <w:rsid w:val="00250B9C"/>
    <w:rsid w:val="00256CFF"/>
    <w:rsid w:val="0025775B"/>
    <w:rsid w:val="00264BB6"/>
    <w:rsid w:val="00270BFA"/>
    <w:rsid w:val="00272B08"/>
    <w:rsid w:val="00290F42"/>
    <w:rsid w:val="002A2308"/>
    <w:rsid w:val="002B0622"/>
    <w:rsid w:val="002C4D4A"/>
    <w:rsid w:val="002D2895"/>
    <w:rsid w:val="002F57FF"/>
    <w:rsid w:val="003148A1"/>
    <w:rsid w:val="00317B56"/>
    <w:rsid w:val="003268F1"/>
    <w:rsid w:val="00331B75"/>
    <w:rsid w:val="00350EB8"/>
    <w:rsid w:val="0035196F"/>
    <w:rsid w:val="00355ADE"/>
    <w:rsid w:val="003720A6"/>
    <w:rsid w:val="0037592A"/>
    <w:rsid w:val="00376D10"/>
    <w:rsid w:val="00392EB4"/>
    <w:rsid w:val="003B0C63"/>
    <w:rsid w:val="003B3412"/>
    <w:rsid w:val="003B6E3F"/>
    <w:rsid w:val="003C0FCF"/>
    <w:rsid w:val="003C2FE1"/>
    <w:rsid w:val="003C3AEA"/>
    <w:rsid w:val="003E20DF"/>
    <w:rsid w:val="003E3E19"/>
    <w:rsid w:val="003E74A6"/>
    <w:rsid w:val="003F69E5"/>
    <w:rsid w:val="00403503"/>
    <w:rsid w:val="00406E9C"/>
    <w:rsid w:val="00412E07"/>
    <w:rsid w:val="00413433"/>
    <w:rsid w:val="00416D60"/>
    <w:rsid w:val="004266D7"/>
    <w:rsid w:val="00426BD7"/>
    <w:rsid w:val="00427992"/>
    <w:rsid w:val="00433559"/>
    <w:rsid w:val="00456780"/>
    <w:rsid w:val="00456D7B"/>
    <w:rsid w:val="0046130D"/>
    <w:rsid w:val="004634AE"/>
    <w:rsid w:val="00467AD5"/>
    <w:rsid w:val="004800C8"/>
    <w:rsid w:val="00490CD0"/>
    <w:rsid w:val="00491894"/>
    <w:rsid w:val="0049255A"/>
    <w:rsid w:val="004A4386"/>
    <w:rsid w:val="004A68CF"/>
    <w:rsid w:val="004B098B"/>
    <w:rsid w:val="004C2996"/>
    <w:rsid w:val="004C4BB8"/>
    <w:rsid w:val="004D3D2D"/>
    <w:rsid w:val="004E1FE3"/>
    <w:rsid w:val="004E31C7"/>
    <w:rsid w:val="004E3F7E"/>
    <w:rsid w:val="004E72ED"/>
    <w:rsid w:val="00500A17"/>
    <w:rsid w:val="0052425C"/>
    <w:rsid w:val="00530843"/>
    <w:rsid w:val="00535DF8"/>
    <w:rsid w:val="0054559F"/>
    <w:rsid w:val="0055065D"/>
    <w:rsid w:val="005515AD"/>
    <w:rsid w:val="00573A25"/>
    <w:rsid w:val="00573AA6"/>
    <w:rsid w:val="00576897"/>
    <w:rsid w:val="00577D64"/>
    <w:rsid w:val="005A2B52"/>
    <w:rsid w:val="005B30F1"/>
    <w:rsid w:val="005C580F"/>
    <w:rsid w:val="005D002D"/>
    <w:rsid w:val="005D583C"/>
    <w:rsid w:val="005D6405"/>
    <w:rsid w:val="005E0606"/>
    <w:rsid w:val="005E0E50"/>
    <w:rsid w:val="005F11F5"/>
    <w:rsid w:val="0061514E"/>
    <w:rsid w:val="00617BB7"/>
    <w:rsid w:val="006273AA"/>
    <w:rsid w:val="006323EE"/>
    <w:rsid w:val="006454E6"/>
    <w:rsid w:val="00663C25"/>
    <w:rsid w:val="00687012"/>
    <w:rsid w:val="006A39CE"/>
    <w:rsid w:val="006A3B60"/>
    <w:rsid w:val="006A66BA"/>
    <w:rsid w:val="006C2698"/>
    <w:rsid w:val="006D03B0"/>
    <w:rsid w:val="006D0667"/>
    <w:rsid w:val="006D1654"/>
    <w:rsid w:val="006F4FF3"/>
    <w:rsid w:val="00704E48"/>
    <w:rsid w:val="0071032C"/>
    <w:rsid w:val="007151D9"/>
    <w:rsid w:val="00715421"/>
    <w:rsid w:val="00722458"/>
    <w:rsid w:val="007229E8"/>
    <w:rsid w:val="00725628"/>
    <w:rsid w:val="00731136"/>
    <w:rsid w:val="00733135"/>
    <w:rsid w:val="0076656A"/>
    <w:rsid w:val="0076738E"/>
    <w:rsid w:val="00774FB6"/>
    <w:rsid w:val="007810A9"/>
    <w:rsid w:val="007813DC"/>
    <w:rsid w:val="00792DB8"/>
    <w:rsid w:val="00794D84"/>
    <w:rsid w:val="007A1396"/>
    <w:rsid w:val="007B3315"/>
    <w:rsid w:val="007E1D13"/>
    <w:rsid w:val="0081201C"/>
    <w:rsid w:val="00812775"/>
    <w:rsid w:val="00823393"/>
    <w:rsid w:val="00836E66"/>
    <w:rsid w:val="008429D0"/>
    <w:rsid w:val="008454A0"/>
    <w:rsid w:val="008526DD"/>
    <w:rsid w:val="008601A3"/>
    <w:rsid w:val="008701E8"/>
    <w:rsid w:val="0087020E"/>
    <w:rsid w:val="00870797"/>
    <w:rsid w:val="00871756"/>
    <w:rsid w:val="00871B86"/>
    <w:rsid w:val="00877E10"/>
    <w:rsid w:val="00893FF5"/>
    <w:rsid w:val="008A3B72"/>
    <w:rsid w:val="008C5150"/>
    <w:rsid w:val="008D2327"/>
    <w:rsid w:val="008D3F52"/>
    <w:rsid w:val="008D63DD"/>
    <w:rsid w:val="008F4472"/>
    <w:rsid w:val="008F71AF"/>
    <w:rsid w:val="00901263"/>
    <w:rsid w:val="009144BB"/>
    <w:rsid w:val="00920C6A"/>
    <w:rsid w:val="009406D6"/>
    <w:rsid w:val="00942B53"/>
    <w:rsid w:val="009440C3"/>
    <w:rsid w:val="00955BBB"/>
    <w:rsid w:val="00960D5C"/>
    <w:rsid w:val="00973FA5"/>
    <w:rsid w:val="009761B8"/>
    <w:rsid w:val="0099483E"/>
    <w:rsid w:val="009A66BB"/>
    <w:rsid w:val="009A7428"/>
    <w:rsid w:val="009C5098"/>
    <w:rsid w:val="009C653B"/>
    <w:rsid w:val="009D0001"/>
    <w:rsid w:val="009D097F"/>
    <w:rsid w:val="009D0B64"/>
    <w:rsid w:val="009D1B6E"/>
    <w:rsid w:val="009F4267"/>
    <w:rsid w:val="009F42A0"/>
    <w:rsid w:val="00A024FA"/>
    <w:rsid w:val="00A032B1"/>
    <w:rsid w:val="00A13345"/>
    <w:rsid w:val="00A164E5"/>
    <w:rsid w:val="00A2351C"/>
    <w:rsid w:val="00A24EE9"/>
    <w:rsid w:val="00A251CE"/>
    <w:rsid w:val="00A35FA2"/>
    <w:rsid w:val="00A43E42"/>
    <w:rsid w:val="00A56B03"/>
    <w:rsid w:val="00A60EB0"/>
    <w:rsid w:val="00A614FB"/>
    <w:rsid w:val="00A6568E"/>
    <w:rsid w:val="00A85651"/>
    <w:rsid w:val="00A866CC"/>
    <w:rsid w:val="00AB4620"/>
    <w:rsid w:val="00AC2610"/>
    <w:rsid w:val="00AC747B"/>
    <w:rsid w:val="00AE0B03"/>
    <w:rsid w:val="00AE1196"/>
    <w:rsid w:val="00AF0B84"/>
    <w:rsid w:val="00AF19C4"/>
    <w:rsid w:val="00AF1C0B"/>
    <w:rsid w:val="00AF412F"/>
    <w:rsid w:val="00B0068A"/>
    <w:rsid w:val="00B06290"/>
    <w:rsid w:val="00B07952"/>
    <w:rsid w:val="00B31137"/>
    <w:rsid w:val="00B35D73"/>
    <w:rsid w:val="00B43731"/>
    <w:rsid w:val="00B46198"/>
    <w:rsid w:val="00B47164"/>
    <w:rsid w:val="00B80FFF"/>
    <w:rsid w:val="00B82B33"/>
    <w:rsid w:val="00B95E37"/>
    <w:rsid w:val="00BA2A58"/>
    <w:rsid w:val="00BA4581"/>
    <w:rsid w:val="00BC27EC"/>
    <w:rsid w:val="00BE0DB2"/>
    <w:rsid w:val="00BF5D31"/>
    <w:rsid w:val="00C01041"/>
    <w:rsid w:val="00C21A5D"/>
    <w:rsid w:val="00C269B0"/>
    <w:rsid w:val="00C70932"/>
    <w:rsid w:val="00C8341D"/>
    <w:rsid w:val="00C84B72"/>
    <w:rsid w:val="00C87133"/>
    <w:rsid w:val="00C926DD"/>
    <w:rsid w:val="00CA065A"/>
    <w:rsid w:val="00CA6DB3"/>
    <w:rsid w:val="00CB623D"/>
    <w:rsid w:val="00CB7B8E"/>
    <w:rsid w:val="00CC1CD1"/>
    <w:rsid w:val="00CE00E9"/>
    <w:rsid w:val="00CF11D8"/>
    <w:rsid w:val="00CF3334"/>
    <w:rsid w:val="00D0151E"/>
    <w:rsid w:val="00D0700D"/>
    <w:rsid w:val="00D0722A"/>
    <w:rsid w:val="00D3217A"/>
    <w:rsid w:val="00D61BC6"/>
    <w:rsid w:val="00D641D4"/>
    <w:rsid w:val="00D71969"/>
    <w:rsid w:val="00D82520"/>
    <w:rsid w:val="00D84AAF"/>
    <w:rsid w:val="00DA56F0"/>
    <w:rsid w:val="00DB41EA"/>
    <w:rsid w:val="00DC39F8"/>
    <w:rsid w:val="00DD75D3"/>
    <w:rsid w:val="00DF1082"/>
    <w:rsid w:val="00DF35D5"/>
    <w:rsid w:val="00DF3876"/>
    <w:rsid w:val="00DF64EE"/>
    <w:rsid w:val="00E2585C"/>
    <w:rsid w:val="00E40F03"/>
    <w:rsid w:val="00E41107"/>
    <w:rsid w:val="00E52DF6"/>
    <w:rsid w:val="00E56A3D"/>
    <w:rsid w:val="00E64B47"/>
    <w:rsid w:val="00E73C3D"/>
    <w:rsid w:val="00E776F8"/>
    <w:rsid w:val="00E830BD"/>
    <w:rsid w:val="00E9548A"/>
    <w:rsid w:val="00EA0BF0"/>
    <w:rsid w:val="00EC03D5"/>
    <w:rsid w:val="00EC7541"/>
    <w:rsid w:val="00ED0BE7"/>
    <w:rsid w:val="00ED2219"/>
    <w:rsid w:val="00ED729C"/>
    <w:rsid w:val="00EE123C"/>
    <w:rsid w:val="00EE3FC8"/>
    <w:rsid w:val="00EF2ED2"/>
    <w:rsid w:val="00EF78C8"/>
    <w:rsid w:val="00F156DC"/>
    <w:rsid w:val="00F36F19"/>
    <w:rsid w:val="00F5209C"/>
    <w:rsid w:val="00F614EC"/>
    <w:rsid w:val="00F716B5"/>
    <w:rsid w:val="00F869C0"/>
    <w:rsid w:val="00F87893"/>
    <w:rsid w:val="00F908C2"/>
    <w:rsid w:val="00F93356"/>
    <w:rsid w:val="00FD1A58"/>
    <w:rsid w:val="00FD4E42"/>
    <w:rsid w:val="00FD6539"/>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0151E"/>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D0151E"/>
    <w:rPr>
      <w:sz w:val="24"/>
      <w:szCs w:val="24"/>
    </w:rPr>
  </w:style>
  <w:style w:type="paragraph" w:styleId="NormalWeb">
    <w:name w:val="Normal (Web)"/>
    <w:basedOn w:val="Normal"/>
    <w:uiPriority w:val="99"/>
    <w:unhideWhenUsed/>
    <w:rsid w:val="00D0151E"/>
    <w:pPr>
      <w:spacing w:before="100" w:beforeAutospacing="1" w:after="100" w:afterAutospacing="1"/>
    </w:pPr>
  </w:style>
  <w:style w:type="character" w:styleId="Hyperlink">
    <w:name w:val="Hyperlink"/>
    <w:basedOn w:val="DefaultParagraphFont"/>
    <w:rsid w:val="00D0151E"/>
    <w:rPr>
      <w:color w:val="0000FF" w:themeColor="hyperlink"/>
      <w:u w:val="single"/>
    </w:rPr>
  </w:style>
  <w:style w:type="paragraph" w:styleId="Header">
    <w:name w:val="header"/>
    <w:basedOn w:val="Normal"/>
    <w:link w:val="HeaderChar"/>
    <w:rsid w:val="00D0151E"/>
    <w:pPr>
      <w:tabs>
        <w:tab w:val="center" w:pos="4513"/>
        <w:tab w:val="right" w:pos="9026"/>
      </w:tabs>
    </w:pPr>
  </w:style>
  <w:style w:type="character" w:customStyle="1" w:styleId="HeaderChar">
    <w:name w:val="Header Char"/>
    <w:basedOn w:val="DefaultParagraphFont"/>
    <w:link w:val="Header"/>
    <w:rsid w:val="00D0151E"/>
    <w:rPr>
      <w:sz w:val="24"/>
      <w:szCs w:val="24"/>
    </w:rPr>
  </w:style>
  <w:style w:type="paragraph" w:styleId="Footer">
    <w:name w:val="footer"/>
    <w:basedOn w:val="Normal"/>
    <w:link w:val="FooterChar"/>
    <w:rsid w:val="00D0151E"/>
    <w:pPr>
      <w:tabs>
        <w:tab w:val="center" w:pos="4513"/>
        <w:tab w:val="right" w:pos="9026"/>
      </w:tabs>
    </w:pPr>
  </w:style>
  <w:style w:type="character" w:customStyle="1" w:styleId="FooterChar">
    <w:name w:val="Footer Char"/>
    <w:basedOn w:val="DefaultParagraphFont"/>
    <w:link w:val="Footer"/>
    <w:rsid w:val="00D0151E"/>
    <w:rPr>
      <w:sz w:val="24"/>
      <w:szCs w:val="24"/>
    </w:rPr>
  </w:style>
  <w:style w:type="paragraph" w:customStyle="1" w:styleId="Default">
    <w:name w:val="Default"/>
    <w:rsid w:val="008454A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0151E"/>
    <w:pPr>
      <w:ind w:left="720"/>
      <w:contextualSpacing/>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D0151E"/>
    <w:rPr>
      <w:sz w:val="24"/>
      <w:szCs w:val="24"/>
    </w:rPr>
  </w:style>
  <w:style w:type="paragraph" w:styleId="NormalWeb">
    <w:name w:val="Normal (Web)"/>
    <w:basedOn w:val="Normal"/>
    <w:uiPriority w:val="99"/>
    <w:unhideWhenUsed/>
    <w:rsid w:val="00D0151E"/>
    <w:pPr>
      <w:spacing w:before="100" w:beforeAutospacing="1" w:after="100" w:afterAutospacing="1"/>
    </w:pPr>
  </w:style>
  <w:style w:type="character" w:styleId="Hyperlink">
    <w:name w:val="Hyperlink"/>
    <w:basedOn w:val="DefaultParagraphFont"/>
    <w:rsid w:val="00D0151E"/>
    <w:rPr>
      <w:color w:val="0000FF" w:themeColor="hyperlink"/>
      <w:u w:val="single"/>
    </w:rPr>
  </w:style>
  <w:style w:type="paragraph" w:styleId="Header">
    <w:name w:val="header"/>
    <w:basedOn w:val="Normal"/>
    <w:link w:val="HeaderChar"/>
    <w:rsid w:val="00D0151E"/>
    <w:pPr>
      <w:tabs>
        <w:tab w:val="center" w:pos="4513"/>
        <w:tab w:val="right" w:pos="9026"/>
      </w:tabs>
    </w:pPr>
  </w:style>
  <w:style w:type="character" w:customStyle="1" w:styleId="HeaderChar">
    <w:name w:val="Header Char"/>
    <w:basedOn w:val="DefaultParagraphFont"/>
    <w:link w:val="Header"/>
    <w:rsid w:val="00D0151E"/>
    <w:rPr>
      <w:sz w:val="24"/>
      <w:szCs w:val="24"/>
    </w:rPr>
  </w:style>
  <w:style w:type="paragraph" w:styleId="Footer">
    <w:name w:val="footer"/>
    <w:basedOn w:val="Normal"/>
    <w:link w:val="FooterChar"/>
    <w:rsid w:val="00D0151E"/>
    <w:pPr>
      <w:tabs>
        <w:tab w:val="center" w:pos="4513"/>
        <w:tab w:val="right" w:pos="9026"/>
      </w:tabs>
    </w:pPr>
  </w:style>
  <w:style w:type="character" w:customStyle="1" w:styleId="FooterChar">
    <w:name w:val="Footer Char"/>
    <w:basedOn w:val="DefaultParagraphFont"/>
    <w:link w:val="Footer"/>
    <w:rsid w:val="00D0151E"/>
    <w:rPr>
      <w:sz w:val="24"/>
      <w:szCs w:val="24"/>
    </w:rPr>
  </w:style>
  <w:style w:type="paragraph" w:customStyle="1" w:styleId="Default">
    <w:name w:val="Default"/>
    <w:rsid w:val="008454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1058">
      <w:bodyDiv w:val="1"/>
      <w:marLeft w:val="0"/>
      <w:marRight w:val="0"/>
      <w:marTop w:val="0"/>
      <w:marBottom w:val="0"/>
      <w:divBdr>
        <w:top w:val="none" w:sz="0" w:space="0" w:color="auto"/>
        <w:left w:val="none" w:sz="0" w:space="0" w:color="auto"/>
        <w:bottom w:val="none" w:sz="0" w:space="0" w:color="auto"/>
        <w:right w:val="none" w:sz="0" w:space="0" w:color="auto"/>
      </w:divBdr>
      <w:divsChild>
        <w:div w:id="97023545">
          <w:marLeft w:val="0"/>
          <w:marRight w:val="0"/>
          <w:marTop w:val="0"/>
          <w:marBottom w:val="0"/>
          <w:divBdr>
            <w:top w:val="none" w:sz="0" w:space="0" w:color="auto"/>
            <w:left w:val="none" w:sz="0" w:space="0" w:color="auto"/>
            <w:bottom w:val="none" w:sz="0" w:space="0" w:color="auto"/>
            <w:right w:val="none" w:sz="0" w:space="0" w:color="auto"/>
          </w:divBdr>
          <w:divsChild>
            <w:div w:id="2146503647">
              <w:marLeft w:val="0"/>
              <w:marRight w:val="0"/>
              <w:marTop w:val="0"/>
              <w:marBottom w:val="0"/>
              <w:divBdr>
                <w:top w:val="none" w:sz="0" w:space="0" w:color="auto"/>
                <w:left w:val="none" w:sz="0" w:space="0" w:color="auto"/>
                <w:bottom w:val="none" w:sz="0" w:space="0" w:color="auto"/>
                <w:right w:val="none" w:sz="0" w:space="0" w:color="auto"/>
              </w:divBdr>
              <w:divsChild>
                <w:div w:id="356738162">
                  <w:marLeft w:val="0"/>
                  <w:marRight w:val="0"/>
                  <w:marTop w:val="0"/>
                  <w:marBottom w:val="0"/>
                  <w:divBdr>
                    <w:top w:val="none" w:sz="0" w:space="0" w:color="auto"/>
                    <w:left w:val="none" w:sz="0" w:space="0" w:color="auto"/>
                    <w:bottom w:val="none" w:sz="0" w:space="0" w:color="auto"/>
                    <w:right w:val="none" w:sz="0" w:space="0" w:color="auto"/>
                  </w:divBdr>
                  <w:divsChild>
                    <w:div w:id="7266812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06847808">
      <w:bodyDiv w:val="1"/>
      <w:marLeft w:val="0"/>
      <w:marRight w:val="0"/>
      <w:marTop w:val="0"/>
      <w:marBottom w:val="0"/>
      <w:divBdr>
        <w:top w:val="none" w:sz="0" w:space="0" w:color="auto"/>
        <w:left w:val="none" w:sz="0" w:space="0" w:color="auto"/>
        <w:bottom w:val="none" w:sz="0" w:space="0" w:color="auto"/>
        <w:right w:val="none" w:sz="0" w:space="0" w:color="auto"/>
      </w:divBdr>
      <w:divsChild>
        <w:div w:id="874852233">
          <w:marLeft w:val="0"/>
          <w:marRight w:val="0"/>
          <w:marTop w:val="0"/>
          <w:marBottom w:val="0"/>
          <w:divBdr>
            <w:top w:val="none" w:sz="0" w:space="0" w:color="auto"/>
            <w:left w:val="none" w:sz="0" w:space="0" w:color="auto"/>
            <w:bottom w:val="none" w:sz="0" w:space="0" w:color="auto"/>
            <w:right w:val="none" w:sz="0" w:space="0" w:color="auto"/>
          </w:divBdr>
          <w:divsChild>
            <w:div w:id="1803114760">
              <w:marLeft w:val="0"/>
              <w:marRight w:val="0"/>
              <w:marTop w:val="0"/>
              <w:marBottom w:val="0"/>
              <w:divBdr>
                <w:top w:val="none" w:sz="0" w:space="0" w:color="auto"/>
                <w:left w:val="none" w:sz="0" w:space="0" w:color="auto"/>
                <w:bottom w:val="none" w:sz="0" w:space="0" w:color="auto"/>
                <w:right w:val="none" w:sz="0" w:space="0" w:color="auto"/>
              </w:divBdr>
              <w:divsChild>
                <w:div w:id="1592735847">
                  <w:marLeft w:val="0"/>
                  <w:marRight w:val="0"/>
                  <w:marTop w:val="0"/>
                  <w:marBottom w:val="0"/>
                  <w:divBdr>
                    <w:top w:val="none" w:sz="0" w:space="0" w:color="auto"/>
                    <w:left w:val="none" w:sz="0" w:space="0" w:color="auto"/>
                    <w:bottom w:val="none" w:sz="0" w:space="0" w:color="auto"/>
                    <w:right w:val="none" w:sz="0" w:space="0" w:color="auto"/>
                  </w:divBdr>
                  <w:divsChild>
                    <w:div w:id="1116677545">
                      <w:marLeft w:val="0"/>
                      <w:marRight w:val="0"/>
                      <w:marTop w:val="0"/>
                      <w:marBottom w:val="0"/>
                      <w:divBdr>
                        <w:top w:val="none" w:sz="0" w:space="0" w:color="auto"/>
                        <w:left w:val="none" w:sz="0" w:space="0" w:color="auto"/>
                        <w:bottom w:val="none" w:sz="0" w:space="0" w:color="auto"/>
                        <w:right w:val="none" w:sz="0" w:space="0" w:color="auto"/>
                      </w:divBdr>
                      <w:divsChild>
                        <w:div w:id="1202279395">
                          <w:marLeft w:val="0"/>
                          <w:marRight w:val="0"/>
                          <w:marTop w:val="0"/>
                          <w:marBottom w:val="0"/>
                          <w:divBdr>
                            <w:top w:val="none" w:sz="0" w:space="0" w:color="auto"/>
                            <w:left w:val="none" w:sz="0" w:space="0" w:color="auto"/>
                            <w:bottom w:val="none" w:sz="0" w:space="0" w:color="auto"/>
                            <w:right w:val="none" w:sz="0" w:space="0" w:color="auto"/>
                          </w:divBdr>
                          <w:divsChild>
                            <w:div w:id="1118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881494">
      <w:bodyDiv w:val="1"/>
      <w:marLeft w:val="0"/>
      <w:marRight w:val="0"/>
      <w:marTop w:val="0"/>
      <w:marBottom w:val="0"/>
      <w:divBdr>
        <w:top w:val="none" w:sz="0" w:space="0" w:color="auto"/>
        <w:left w:val="none" w:sz="0" w:space="0" w:color="auto"/>
        <w:bottom w:val="none" w:sz="0" w:space="0" w:color="auto"/>
        <w:right w:val="none" w:sz="0" w:space="0" w:color="auto"/>
      </w:divBdr>
      <w:divsChild>
        <w:div w:id="437019814">
          <w:marLeft w:val="0"/>
          <w:marRight w:val="0"/>
          <w:marTop w:val="0"/>
          <w:marBottom w:val="0"/>
          <w:divBdr>
            <w:top w:val="none" w:sz="0" w:space="0" w:color="auto"/>
            <w:left w:val="none" w:sz="0" w:space="0" w:color="auto"/>
            <w:bottom w:val="none" w:sz="0" w:space="0" w:color="auto"/>
            <w:right w:val="none" w:sz="0" w:space="0" w:color="auto"/>
          </w:divBdr>
          <w:divsChild>
            <w:div w:id="134764811">
              <w:marLeft w:val="210"/>
              <w:marRight w:val="210"/>
              <w:marTop w:val="0"/>
              <w:marBottom w:val="0"/>
              <w:divBdr>
                <w:top w:val="none" w:sz="0" w:space="0" w:color="auto"/>
                <w:left w:val="none" w:sz="0" w:space="0" w:color="auto"/>
                <w:bottom w:val="none" w:sz="0" w:space="0" w:color="auto"/>
                <w:right w:val="none" w:sz="0" w:space="0" w:color="auto"/>
              </w:divBdr>
              <w:divsChild>
                <w:div w:id="60104009">
                  <w:marLeft w:val="0"/>
                  <w:marRight w:val="0"/>
                  <w:marTop w:val="0"/>
                  <w:marBottom w:val="0"/>
                  <w:divBdr>
                    <w:top w:val="none" w:sz="0" w:space="0" w:color="auto"/>
                    <w:left w:val="none" w:sz="0" w:space="0" w:color="auto"/>
                    <w:bottom w:val="none" w:sz="0" w:space="0" w:color="auto"/>
                    <w:right w:val="none" w:sz="0" w:space="0" w:color="auto"/>
                  </w:divBdr>
                  <w:divsChild>
                    <w:div w:id="1787461351">
                      <w:marLeft w:val="-300"/>
                      <w:marRight w:val="0"/>
                      <w:marTop w:val="0"/>
                      <w:marBottom w:val="0"/>
                      <w:divBdr>
                        <w:top w:val="none" w:sz="0" w:space="0" w:color="auto"/>
                        <w:left w:val="none" w:sz="0" w:space="0" w:color="auto"/>
                        <w:bottom w:val="none" w:sz="0" w:space="0" w:color="auto"/>
                        <w:right w:val="none" w:sz="0" w:space="0" w:color="auto"/>
                      </w:divBdr>
                      <w:divsChild>
                        <w:div w:id="1107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hared-ownership-and-affordable-homes-programme-2016-to-2021-guidance" TargetMode="External"/><Relationship Id="rId13" Type="http://schemas.openxmlformats.org/officeDocument/2006/relationships/hyperlink" Target="https://www.gov.uk/government/statistics/english-housing-survey-2014-to-2015-first-time-buyers-and-potential-home-owners-report" TargetMode="External"/><Relationship Id="rId18" Type="http://schemas.openxmlformats.org/officeDocument/2006/relationships/hyperlink" Target="https://www.gov.uk/government/statistics/english-housing-survey-2014-to-2015-housing-stock-repor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gov.uk/government/statistics/english-housing-survey-2014-to-2015-smoke-alarms-in-english-homes-report" TargetMode="External"/><Relationship Id="rId7" Type="http://schemas.openxmlformats.org/officeDocument/2006/relationships/endnotes" Target="endnotes.xml"/><Relationship Id="rId12" Type="http://schemas.openxmlformats.org/officeDocument/2006/relationships/hyperlink" Target="http://www.housinglin.org.uk/_library/Resources/Housing/Support_materials/Other_reports_and_guidance/HAPPI3_Report_2016.pdf" TargetMode="External"/><Relationship Id="rId17" Type="http://schemas.openxmlformats.org/officeDocument/2006/relationships/hyperlink" Target="https://www.gov.uk/government/statistics/english-housing-survey-2014-to-2015-adaptations-and-accessibility-of-homes-report" TargetMode="External"/><Relationship Id="rId25" Type="http://schemas.openxmlformats.org/officeDocument/2006/relationships/hyperlink" Target="https://www.gov.uk/government/publications/consumer-regulation-review-2015-to-2016" TargetMode="External"/><Relationship Id="rId2" Type="http://schemas.openxmlformats.org/officeDocument/2006/relationships/styles" Target="styles.xml"/><Relationship Id="rId16" Type="http://schemas.openxmlformats.org/officeDocument/2006/relationships/hyperlink" Target="https://www.gov.uk/government/statistics/english-housing-survey-2014-to-2015-housing-for-older-people-report" TargetMode="External"/><Relationship Id="rId20" Type="http://schemas.openxmlformats.org/officeDocument/2006/relationships/hyperlink" Target="https://www.gov.uk/government/statistics/english-housing-survey-2014-energy-re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locally-led-garden-villages-towns-and-cities" TargetMode="External"/><Relationship Id="rId24" Type="http://schemas.openxmlformats.org/officeDocument/2006/relationships/hyperlink" Target="https://www.gov.uk/government/publications/quarterly-survey-for-q1-april-to-june-2016-to-2017" TargetMode="External"/><Relationship Id="rId5" Type="http://schemas.openxmlformats.org/officeDocument/2006/relationships/webSettings" Target="webSettings.xml"/><Relationship Id="rId15" Type="http://schemas.openxmlformats.org/officeDocument/2006/relationships/hyperlink" Target="https://www.gov.uk/government/statistics/english-housing-survey-2014-to-2015-social-rented-sector-report" TargetMode="External"/><Relationship Id="rId23" Type="http://schemas.openxmlformats.org/officeDocument/2006/relationships/hyperlink" Target="https://www.gov.uk/government/uploads/system/uploads/attachment_data/file/547818/House_Building_Release_June_Qtr_2016.pdf" TargetMode="External"/><Relationship Id="rId28" Type="http://schemas.openxmlformats.org/officeDocument/2006/relationships/footer" Target="footer3.xml"/><Relationship Id="rId10" Type="http://schemas.openxmlformats.org/officeDocument/2006/relationships/hyperlink" Target="https://www.gov.uk/government/publications/starter-homes-unlocking-the-land-fund" TargetMode="External"/><Relationship Id="rId19" Type="http://schemas.openxmlformats.org/officeDocument/2006/relationships/hyperlink" Target="https://www.gov.uk/government/statistics/english-housing-survey-2014-housing-and-well-being-report" TargetMode="External"/><Relationship Id="rId4" Type="http://schemas.openxmlformats.org/officeDocument/2006/relationships/settings" Target="settings.xml"/><Relationship Id="rId9" Type="http://schemas.openxmlformats.org/officeDocument/2006/relationships/hyperlink" Target="https://www.gov.uk/guidance/capital-funding-guide" TargetMode="External"/><Relationship Id="rId14" Type="http://schemas.openxmlformats.org/officeDocument/2006/relationships/hyperlink" Target="https://www.gov.uk/government/statistics/english-housing-survey-2014-to-2015-private-rented-sector-report" TargetMode="External"/><Relationship Id="rId22" Type="http://schemas.openxmlformats.org/officeDocument/2006/relationships/hyperlink" Target="https://www.gov.uk/government/collections/english-housing-survey"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Stoner</dc:creator>
  <cp:lastModifiedBy>Heather Stoner</cp:lastModifiedBy>
  <cp:revision>2</cp:revision>
  <cp:lastPrinted>2016-05-10T14:50:00Z</cp:lastPrinted>
  <dcterms:created xsi:type="dcterms:W3CDTF">2016-09-06T09:52:00Z</dcterms:created>
  <dcterms:modified xsi:type="dcterms:W3CDTF">2016-09-06T09:52:00Z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f1d79f13-b613-4319-92ae-2ec7726b9166</vt:lpwstr>
  </property>
  <property fmtid="{D5CDD505-2E9C-101B-9397-08002B2CF9AE}" pid="3" name="HCADescriptor - Official Sensitive">
    <vt:lpwstr>COMMERCIAL</vt:lpwstr>
  </property>
  <property fmtid="{D5CDD505-2E9C-101B-9397-08002B2CF9AE}" pid="4" name="HCAGPMS">
    <vt:lpwstr>OFFICIAL SENSITIVE</vt:lpwstr>
  </property>
</Properties>
</file>