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Ind w:w="-567" w:type="dxa"/>
        <w:tblLook w:val="04A0" w:firstRow="1" w:lastRow="0" w:firstColumn="1" w:lastColumn="0" w:noHBand="0" w:noVBand="1"/>
      </w:tblPr>
      <w:tblGrid>
        <w:gridCol w:w="733"/>
        <w:gridCol w:w="7"/>
        <w:gridCol w:w="2256"/>
        <w:gridCol w:w="27"/>
        <w:gridCol w:w="4484"/>
        <w:gridCol w:w="174"/>
        <w:gridCol w:w="5189"/>
        <w:gridCol w:w="123"/>
        <w:gridCol w:w="1522"/>
      </w:tblGrid>
      <w:tr w:rsidR="0063531E" w:rsidRPr="000A73CC" w14:paraId="0938DE85" w14:textId="77777777" w:rsidTr="00482D29">
        <w:tc>
          <w:tcPr>
            <w:tcW w:w="14698" w:type="dxa"/>
            <w:gridSpan w:val="9"/>
            <w:shd w:val="clear" w:color="auto" w:fill="D9D9D9" w:themeFill="background1" w:themeFillShade="D9"/>
          </w:tcPr>
          <w:p w14:paraId="4DB571A2" w14:textId="77777777" w:rsidR="0063531E" w:rsidRDefault="0063531E" w:rsidP="0063531E">
            <w:pPr>
              <w:rPr>
                <w:b/>
                <w:sz w:val="24"/>
              </w:rPr>
            </w:pPr>
            <w:bookmarkStart w:id="0" w:name="_GoBack"/>
            <w:bookmarkEnd w:id="0"/>
            <w:r>
              <w:rPr>
                <w:b/>
                <w:sz w:val="24"/>
              </w:rPr>
              <w:t>THEME</w:t>
            </w:r>
            <w:r w:rsidR="00B6196C">
              <w:rPr>
                <w:b/>
                <w:sz w:val="24"/>
              </w:rPr>
              <w:t xml:space="preserve"> ONE</w:t>
            </w:r>
            <w:r>
              <w:rPr>
                <w:b/>
                <w:sz w:val="24"/>
              </w:rPr>
              <w:t>: Health and Wellbeing</w:t>
            </w:r>
          </w:p>
          <w:p w14:paraId="44D5291F" w14:textId="77777777" w:rsidR="0063531E" w:rsidRPr="0063531E" w:rsidRDefault="0063531E" w:rsidP="0063531E">
            <w:pPr>
              <w:rPr>
                <w:i/>
                <w:sz w:val="24"/>
              </w:rPr>
            </w:pPr>
            <w:r>
              <w:rPr>
                <w:b/>
                <w:sz w:val="24"/>
              </w:rPr>
              <w:t xml:space="preserve">Ambition – </w:t>
            </w:r>
            <w:r w:rsidRPr="0063531E">
              <w:rPr>
                <w:i/>
                <w:sz w:val="24"/>
              </w:rPr>
              <w:t>Proactively support ALL communities of Kent and Medway to achieve a higher level of health and wellbeing across all aspects of their lives.</w:t>
            </w:r>
          </w:p>
          <w:p w14:paraId="409758DD" w14:textId="77777777" w:rsidR="0063531E" w:rsidRPr="000A73CC" w:rsidRDefault="0063531E" w:rsidP="0063531E">
            <w:pPr>
              <w:rPr>
                <w:b/>
                <w:sz w:val="24"/>
              </w:rPr>
            </w:pPr>
            <w:r>
              <w:rPr>
                <w:b/>
                <w:sz w:val="24"/>
              </w:rPr>
              <w:t xml:space="preserve">Objective – </w:t>
            </w:r>
            <w:r w:rsidRPr="0063531E">
              <w:rPr>
                <w:i/>
                <w:sz w:val="24"/>
              </w:rPr>
              <w:t>To promote and ensure integration of services and working across Housing, Health and Social Care resulting in healthy places, communities and individuals, making the shift from reactive to proactive practice and services for the benefit of all Kent and Medway residents.</w:t>
            </w:r>
          </w:p>
        </w:tc>
      </w:tr>
      <w:tr w:rsidR="00B6196C" w:rsidRPr="000A73CC" w14:paraId="1A101713" w14:textId="77777777" w:rsidTr="00482D29">
        <w:tc>
          <w:tcPr>
            <w:tcW w:w="862" w:type="dxa"/>
            <w:gridSpan w:val="2"/>
            <w:shd w:val="clear" w:color="auto" w:fill="D9D9D9" w:themeFill="background1" w:themeFillShade="D9"/>
          </w:tcPr>
          <w:p w14:paraId="65BD4BB0" w14:textId="77777777" w:rsidR="00B6196C" w:rsidRDefault="00B6196C" w:rsidP="0063531E">
            <w:pPr>
              <w:rPr>
                <w:b/>
                <w:sz w:val="24"/>
              </w:rPr>
            </w:pPr>
            <w:r>
              <w:rPr>
                <w:b/>
                <w:sz w:val="24"/>
              </w:rPr>
              <w:t>Ref</w:t>
            </w:r>
          </w:p>
        </w:tc>
        <w:tc>
          <w:tcPr>
            <w:tcW w:w="2819" w:type="dxa"/>
            <w:gridSpan w:val="2"/>
            <w:shd w:val="clear" w:color="auto" w:fill="D9D9D9" w:themeFill="background1" w:themeFillShade="D9"/>
          </w:tcPr>
          <w:p w14:paraId="2A0D81B2" w14:textId="77777777" w:rsidR="00B6196C" w:rsidRDefault="00B6196C" w:rsidP="0063531E">
            <w:pPr>
              <w:rPr>
                <w:b/>
                <w:sz w:val="24"/>
              </w:rPr>
            </w:pPr>
            <w:r>
              <w:rPr>
                <w:b/>
                <w:sz w:val="24"/>
              </w:rPr>
              <w:t>Action</w:t>
            </w:r>
          </w:p>
        </w:tc>
        <w:tc>
          <w:tcPr>
            <w:tcW w:w="6112" w:type="dxa"/>
            <w:gridSpan w:val="2"/>
            <w:shd w:val="clear" w:color="auto" w:fill="D9D9D9" w:themeFill="background1" w:themeFillShade="D9"/>
          </w:tcPr>
          <w:p w14:paraId="63354C93" w14:textId="48322C11" w:rsidR="00B6196C" w:rsidRDefault="00482D29" w:rsidP="00482D29">
            <w:pPr>
              <w:rPr>
                <w:b/>
                <w:sz w:val="24"/>
              </w:rPr>
            </w:pPr>
            <w:r>
              <w:rPr>
                <w:b/>
                <w:sz w:val="24"/>
              </w:rPr>
              <w:t>Kent and Medway Strategic Objective</w:t>
            </w:r>
          </w:p>
        </w:tc>
        <w:tc>
          <w:tcPr>
            <w:tcW w:w="3243" w:type="dxa"/>
            <w:gridSpan w:val="2"/>
            <w:shd w:val="clear" w:color="auto" w:fill="D9D9D9" w:themeFill="background1" w:themeFillShade="D9"/>
          </w:tcPr>
          <w:p w14:paraId="0EC7851D" w14:textId="6D2C753F" w:rsidR="00B6196C" w:rsidRDefault="00482D29" w:rsidP="0063531E">
            <w:pPr>
              <w:rPr>
                <w:b/>
                <w:sz w:val="24"/>
              </w:rPr>
            </w:pPr>
            <w:r>
              <w:rPr>
                <w:b/>
                <w:sz w:val="24"/>
              </w:rPr>
              <w:t>HSEG Objective</w:t>
            </w:r>
          </w:p>
        </w:tc>
        <w:tc>
          <w:tcPr>
            <w:tcW w:w="1662" w:type="dxa"/>
            <w:shd w:val="clear" w:color="auto" w:fill="D9D9D9" w:themeFill="background1" w:themeFillShade="D9"/>
          </w:tcPr>
          <w:p w14:paraId="174A579E" w14:textId="77777777" w:rsidR="00B6196C" w:rsidRDefault="00B6196C" w:rsidP="0063531E">
            <w:pPr>
              <w:rPr>
                <w:b/>
                <w:sz w:val="24"/>
              </w:rPr>
            </w:pPr>
            <w:r>
              <w:rPr>
                <w:b/>
                <w:sz w:val="24"/>
              </w:rPr>
              <w:t>Timeframe</w:t>
            </w:r>
          </w:p>
        </w:tc>
      </w:tr>
      <w:tr w:rsidR="00FB69EF" w:rsidRPr="00D72223" w14:paraId="159224C1" w14:textId="77777777" w:rsidTr="00482D29">
        <w:tc>
          <w:tcPr>
            <w:tcW w:w="862" w:type="dxa"/>
            <w:gridSpan w:val="2"/>
          </w:tcPr>
          <w:p w14:paraId="76520319" w14:textId="77777777" w:rsidR="00FB69EF" w:rsidRPr="00D72223" w:rsidRDefault="00FB69EF" w:rsidP="0063531E">
            <w:pPr>
              <w:jc w:val="center"/>
            </w:pPr>
            <w:r w:rsidRPr="00D72223">
              <w:t>1.</w:t>
            </w:r>
          </w:p>
        </w:tc>
        <w:tc>
          <w:tcPr>
            <w:tcW w:w="2819" w:type="dxa"/>
            <w:gridSpan w:val="2"/>
          </w:tcPr>
          <w:p w14:paraId="434DD60F" w14:textId="77777777" w:rsidR="00FB69EF" w:rsidRPr="00D72223" w:rsidRDefault="00FB69EF" w:rsidP="0063531E">
            <w:r w:rsidRPr="00D72223">
              <w:t xml:space="preserve">Improving the Integration between Health, Housing and Social Care Services across Kent </w:t>
            </w:r>
          </w:p>
          <w:p w14:paraId="1C19E095" w14:textId="77777777" w:rsidR="00FB69EF" w:rsidRPr="00D72223" w:rsidRDefault="00FB69EF" w:rsidP="0063531E"/>
        </w:tc>
        <w:tc>
          <w:tcPr>
            <w:tcW w:w="6112" w:type="dxa"/>
            <w:gridSpan w:val="2"/>
          </w:tcPr>
          <w:p w14:paraId="4EB56ED5" w14:textId="77777777" w:rsidR="00382941" w:rsidRDefault="00FB69EF" w:rsidP="0063531E">
            <w:pPr>
              <w:pStyle w:val="ListParagraph"/>
              <w:numPr>
                <w:ilvl w:val="0"/>
                <w:numId w:val="3"/>
              </w:numPr>
              <w:ind w:left="283" w:hanging="283"/>
              <w:jc w:val="both"/>
              <w:rPr>
                <w:i/>
              </w:rPr>
            </w:pPr>
            <w:r w:rsidRPr="00382941">
              <w:rPr>
                <w:i/>
              </w:rPr>
              <w:t>Feed into the work of KPOG and KDG to inform the right types of accommodation is developed ‘homes for life’</w:t>
            </w:r>
          </w:p>
          <w:p w14:paraId="2169D2D3" w14:textId="77777777" w:rsidR="00382941" w:rsidRPr="00382941" w:rsidRDefault="00382941" w:rsidP="00382941">
            <w:pPr>
              <w:pStyle w:val="ListParagraph"/>
              <w:rPr>
                <w:i/>
              </w:rPr>
            </w:pPr>
          </w:p>
          <w:p w14:paraId="7F9FBB60" w14:textId="5D0F5774" w:rsidR="00FB69EF" w:rsidRPr="00241E8E" w:rsidRDefault="00FB69EF" w:rsidP="004D07B6">
            <w:pPr>
              <w:pStyle w:val="ListParagraph"/>
              <w:ind w:left="283"/>
              <w:jc w:val="both"/>
              <w:rPr>
                <w:i/>
              </w:rPr>
            </w:pPr>
          </w:p>
        </w:tc>
        <w:tc>
          <w:tcPr>
            <w:tcW w:w="3243" w:type="dxa"/>
            <w:gridSpan w:val="2"/>
          </w:tcPr>
          <w:p w14:paraId="64605A31" w14:textId="77777777" w:rsidR="00100B89" w:rsidRDefault="00100B89" w:rsidP="00420A10">
            <w:r>
              <w:t xml:space="preserve">Influence and engage with the </w:t>
            </w:r>
            <w:r w:rsidR="005F3728">
              <w:t>development of the Kent Design Guide, how to ensure that actions around the K</w:t>
            </w:r>
            <w:r>
              <w:t xml:space="preserve">ent </w:t>
            </w:r>
            <w:r w:rsidR="005F3728">
              <w:t>R</w:t>
            </w:r>
            <w:r>
              <w:t>esilience Forum</w:t>
            </w:r>
            <w:r w:rsidR="005F3728">
              <w:t xml:space="preserve"> Action Plans across the relevant Recovery Cells and learning from Covid-19 – space for working from </w:t>
            </w:r>
            <w:r>
              <w:t xml:space="preserve">home, and digital agenda are all picked up.  </w:t>
            </w:r>
            <w:r w:rsidR="005F3728">
              <w:t xml:space="preserve">  </w:t>
            </w:r>
          </w:p>
          <w:p w14:paraId="1A65BBEB" w14:textId="3E30775F" w:rsidR="00FB69EF" w:rsidRPr="00D72223" w:rsidRDefault="005F3728" w:rsidP="00420A10">
            <w:r>
              <w:t>Richard Kidd, KCC</w:t>
            </w:r>
            <w:r w:rsidR="00100B89">
              <w:t xml:space="preserve"> is the contact for the Kent Design Guide.</w:t>
            </w:r>
          </w:p>
        </w:tc>
        <w:tc>
          <w:tcPr>
            <w:tcW w:w="1662" w:type="dxa"/>
          </w:tcPr>
          <w:p w14:paraId="55C560E0" w14:textId="77777777" w:rsidR="00FB69EF" w:rsidRPr="00D72223" w:rsidRDefault="00FB69EF" w:rsidP="0063531E">
            <w:pPr>
              <w:jc w:val="center"/>
            </w:pPr>
          </w:p>
          <w:p w14:paraId="102261FF" w14:textId="77777777" w:rsidR="00FB69EF" w:rsidRPr="00D72223" w:rsidRDefault="00FB69EF" w:rsidP="0063531E">
            <w:pPr>
              <w:jc w:val="center"/>
            </w:pPr>
          </w:p>
          <w:p w14:paraId="00FBF22A" w14:textId="77777777" w:rsidR="00FB69EF" w:rsidRPr="00D72223" w:rsidRDefault="00FB69EF" w:rsidP="0063531E">
            <w:pPr>
              <w:jc w:val="center"/>
            </w:pPr>
          </w:p>
          <w:p w14:paraId="5C85D6E6" w14:textId="77777777" w:rsidR="00FB69EF" w:rsidRPr="00D72223" w:rsidRDefault="00FB69EF" w:rsidP="0063531E"/>
        </w:tc>
      </w:tr>
      <w:tr w:rsidR="00FB69EF" w:rsidRPr="00D72223" w14:paraId="78A5A364" w14:textId="77777777" w:rsidTr="00482D29">
        <w:tc>
          <w:tcPr>
            <w:tcW w:w="862" w:type="dxa"/>
            <w:gridSpan w:val="2"/>
          </w:tcPr>
          <w:p w14:paraId="2298ADF9" w14:textId="77777777" w:rsidR="00FB69EF" w:rsidRPr="00D72223" w:rsidRDefault="00FB69EF" w:rsidP="0063531E">
            <w:pPr>
              <w:jc w:val="center"/>
            </w:pPr>
            <w:r w:rsidRPr="00D72223">
              <w:t>2.</w:t>
            </w:r>
          </w:p>
        </w:tc>
        <w:tc>
          <w:tcPr>
            <w:tcW w:w="2819" w:type="dxa"/>
            <w:gridSpan w:val="2"/>
          </w:tcPr>
          <w:p w14:paraId="5656E33A" w14:textId="77777777" w:rsidR="00FB69EF" w:rsidRPr="00D72223" w:rsidRDefault="00FB69EF" w:rsidP="0063531E">
            <w:r w:rsidRPr="00D72223">
              <w:t>Addressing Health and Housing Inequalities</w:t>
            </w:r>
          </w:p>
        </w:tc>
        <w:tc>
          <w:tcPr>
            <w:tcW w:w="6112" w:type="dxa"/>
            <w:gridSpan w:val="2"/>
          </w:tcPr>
          <w:p w14:paraId="7EAAC0B8" w14:textId="12BA6811" w:rsidR="00FB69EF" w:rsidRPr="00482D29" w:rsidRDefault="00FB69EF" w:rsidP="00482D29">
            <w:pPr>
              <w:pStyle w:val="ListParagraph"/>
              <w:numPr>
                <w:ilvl w:val="0"/>
                <w:numId w:val="5"/>
              </w:numPr>
              <w:jc w:val="both"/>
              <w:rPr>
                <w:i/>
              </w:rPr>
            </w:pPr>
            <w:r w:rsidRPr="00497A17">
              <w:rPr>
                <w:i/>
              </w:rPr>
              <w:t xml:space="preserve">KHG will </w:t>
            </w:r>
            <w:r w:rsidR="00497A17">
              <w:rPr>
                <w:i/>
              </w:rPr>
              <w:t xml:space="preserve">support and promote the development of strategy or protocols that </w:t>
            </w:r>
            <w:r w:rsidRPr="00497A17">
              <w:rPr>
                <w:i/>
              </w:rPr>
              <w:t>ensure any protocols developed to support housing delivery include futureproofing for climate change measures and reference the Kent Environment Strategy and linked documents.</w:t>
            </w:r>
          </w:p>
        </w:tc>
        <w:tc>
          <w:tcPr>
            <w:tcW w:w="3243" w:type="dxa"/>
            <w:gridSpan w:val="2"/>
          </w:tcPr>
          <w:p w14:paraId="53D20838" w14:textId="28FFE519" w:rsidR="00420A10" w:rsidRDefault="00420A10" w:rsidP="00420A10">
            <w:r>
              <w:t xml:space="preserve">Include the role of housing delivery and climate change/the environment within the </w:t>
            </w:r>
            <w:r w:rsidR="00100B89">
              <w:t>Kent Design Guide (a</w:t>
            </w:r>
            <w:r>
              <w:t>s referred above)</w:t>
            </w:r>
            <w:r w:rsidR="005F3728">
              <w:t xml:space="preserve">. Engage and support the objectives </w:t>
            </w:r>
            <w:r w:rsidR="00100B89">
              <w:t>withi</w:t>
            </w:r>
            <w:r w:rsidR="005F3728">
              <w:t>n the Kent Environment Strategy and Energy and Low Emissions Strategy.</w:t>
            </w:r>
          </w:p>
          <w:p w14:paraId="47D223D9" w14:textId="12DE3211" w:rsidR="005F3728" w:rsidRPr="00D72223" w:rsidRDefault="00100B89" w:rsidP="00100B89">
            <w:r>
              <w:t>Also remain up to date with the l</w:t>
            </w:r>
            <w:r w:rsidR="005F3728">
              <w:t xml:space="preserve">inks to Kent Public Health work on the impact of Covid-19 on the BAME communities.  </w:t>
            </w:r>
          </w:p>
        </w:tc>
        <w:tc>
          <w:tcPr>
            <w:tcW w:w="1662" w:type="dxa"/>
          </w:tcPr>
          <w:p w14:paraId="3C8C97BB" w14:textId="640A1DD2" w:rsidR="00FB69EF" w:rsidRPr="00D72223" w:rsidRDefault="00FB69EF" w:rsidP="00482D29"/>
        </w:tc>
      </w:tr>
      <w:tr w:rsidR="00FB69EF" w:rsidRPr="00D72223" w14:paraId="4BC6C1FB" w14:textId="77777777" w:rsidTr="00482D29">
        <w:tc>
          <w:tcPr>
            <w:tcW w:w="862" w:type="dxa"/>
            <w:gridSpan w:val="2"/>
          </w:tcPr>
          <w:p w14:paraId="057A37F5" w14:textId="77777777" w:rsidR="00FB69EF" w:rsidRPr="00D72223" w:rsidRDefault="00FB69EF" w:rsidP="0063531E">
            <w:pPr>
              <w:jc w:val="center"/>
            </w:pPr>
            <w:r w:rsidRPr="00D72223">
              <w:t>3.</w:t>
            </w:r>
          </w:p>
        </w:tc>
        <w:tc>
          <w:tcPr>
            <w:tcW w:w="2819" w:type="dxa"/>
            <w:gridSpan w:val="2"/>
          </w:tcPr>
          <w:p w14:paraId="3CC15299" w14:textId="77777777" w:rsidR="00FB69EF" w:rsidRPr="00D72223" w:rsidRDefault="00FB69EF" w:rsidP="0063531E">
            <w:r w:rsidRPr="00D72223">
              <w:t>Housing Vulnerable Groups</w:t>
            </w:r>
          </w:p>
          <w:p w14:paraId="5F8A91F2" w14:textId="77777777" w:rsidR="00FB69EF" w:rsidRPr="00D72223" w:rsidRDefault="00FB69EF" w:rsidP="0063531E"/>
          <w:p w14:paraId="620DCD00" w14:textId="77777777" w:rsidR="00FB69EF" w:rsidRPr="00D72223" w:rsidRDefault="00FB69EF" w:rsidP="0063531E"/>
          <w:p w14:paraId="467E5BE8" w14:textId="77777777" w:rsidR="00FB69EF" w:rsidRPr="00D72223" w:rsidRDefault="00FB69EF" w:rsidP="0063531E"/>
          <w:p w14:paraId="7898A420" w14:textId="77777777" w:rsidR="00FB69EF" w:rsidRPr="00D72223" w:rsidRDefault="00FB69EF" w:rsidP="0063531E"/>
          <w:p w14:paraId="12DD5F75" w14:textId="77777777" w:rsidR="00FB69EF" w:rsidRPr="00D72223" w:rsidRDefault="00FB69EF" w:rsidP="0063531E"/>
          <w:p w14:paraId="51A3BA7C" w14:textId="77777777" w:rsidR="00FB69EF" w:rsidRPr="00D72223" w:rsidRDefault="00FB69EF" w:rsidP="0063531E"/>
          <w:p w14:paraId="1135FC9E" w14:textId="77777777" w:rsidR="00FB69EF" w:rsidRPr="00D72223" w:rsidRDefault="00FB69EF" w:rsidP="0063531E"/>
          <w:p w14:paraId="0007BC7B" w14:textId="77777777" w:rsidR="00FB69EF" w:rsidRPr="00D72223" w:rsidRDefault="00FB69EF" w:rsidP="0063531E">
            <w:r w:rsidRPr="00D72223">
              <w:t>Ageing Population</w:t>
            </w:r>
          </w:p>
        </w:tc>
        <w:tc>
          <w:tcPr>
            <w:tcW w:w="6112" w:type="dxa"/>
            <w:gridSpan w:val="2"/>
          </w:tcPr>
          <w:p w14:paraId="2D21D33F" w14:textId="77777777" w:rsidR="00F45A5B" w:rsidRDefault="00C3187A" w:rsidP="00F45A5B">
            <w:pPr>
              <w:pStyle w:val="ListParagraph"/>
              <w:numPr>
                <w:ilvl w:val="0"/>
                <w:numId w:val="6"/>
              </w:numPr>
              <w:ind w:left="283" w:hanging="283"/>
              <w:jc w:val="both"/>
              <w:rPr>
                <w:i/>
              </w:rPr>
            </w:pPr>
            <w:r w:rsidRPr="00F45A5B">
              <w:rPr>
                <w:i/>
              </w:rPr>
              <w:lastRenderedPageBreak/>
              <w:t xml:space="preserve">KHG will ensure that there is the opportunity to view and influence the </w:t>
            </w:r>
            <w:r w:rsidR="00FB69EF" w:rsidRPr="00F45A5B">
              <w:rPr>
                <w:i/>
              </w:rPr>
              <w:t xml:space="preserve">review </w:t>
            </w:r>
            <w:r w:rsidRPr="00F45A5B">
              <w:rPr>
                <w:i/>
              </w:rPr>
              <w:t xml:space="preserve">of the Kent Social Care Accommodation Strategy, which sets out the county wide (Kent) accommodation and </w:t>
            </w:r>
            <w:r w:rsidRPr="00F45A5B">
              <w:rPr>
                <w:i/>
              </w:rPr>
              <w:lastRenderedPageBreak/>
              <w:t xml:space="preserve">care ambition for adult social care client groups.  This will ensure that planning for delivery of </w:t>
            </w:r>
            <w:r w:rsidR="00FB69EF" w:rsidRPr="00F45A5B">
              <w:rPr>
                <w:i/>
              </w:rPr>
              <w:t xml:space="preserve">specialist housing provision </w:t>
            </w:r>
            <w:r w:rsidRPr="00F45A5B">
              <w:rPr>
                <w:i/>
              </w:rPr>
              <w:t>to meet</w:t>
            </w:r>
            <w:r w:rsidR="00F45A5B" w:rsidRPr="00F45A5B">
              <w:rPr>
                <w:i/>
              </w:rPr>
              <w:t xml:space="preserve"> the</w:t>
            </w:r>
            <w:r w:rsidRPr="00F45A5B">
              <w:rPr>
                <w:i/>
              </w:rPr>
              <w:t xml:space="preserve"> identified need</w:t>
            </w:r>
            <w:r w:rsidR="00F45A5B" w:rsidRPr="00F45A5B">
              <w:rPr>
                <w:i/>
              </w:rPr>
              <w:t xml:space="preserve"> of vulnerable clients groups is undertaken across a wide range of stakeholder organisations</w:t>
            </w:r>
          </w:p>
          <w:p w14:paraId="05B1F4E0" w14:textId="77777777" w:rsidR="00F45A5B" w:rsidRPr="00F45A5B" w:rsidRDefault="00F45A5B" w:rsidP="00F45A5B">
            <w:pPr>
              <w:pStyle w:val="ListParagraph"/>
              <w:rPr>
                <w:i/>
              </w:rPr>
            </w:pPr>
          </w:p>
          <w:p w14:paraId="37D05059" w14:textId="22A52569" w:rsidR="00FB69EF" w:rsidRPr="00420A10" w:rsidRDefault="00FB69EF" w:rsidP="00420A10">
            <w:pPr>
              <w:pStyle w:val="ListParagraph"/>
              <w:numPr>
                <w:ilvl w:val="0"/>
                <w:numId w:val="6"/>
              </w:numPr>
              <w:ind w:left="283" w:hanging="283"/>
              <w:jc w:val="both"/>
              <w:rPr>
                <w:i/>
              </w:rPr>
            </w:pPr>
            <w:r w:rsidRPr="00F45A5B">
              <w:rPr>
                <w:i/>
              </w:rPr>
              <w:t xml:space="preserve">KHG will work to provide </w:t>
            </w:r>
            <w:r w:rsidR="00F45A5B" w:rsidRPr="00F45A5B">
              <w:rPr>
                <w:i/>
              </w:rPr>
              <w:t xml:space="preserve">a </w:t>
            </w:r>
            <w:r w:rsidRPr="00F45A5B">
              <w:rPr>
                <w:i/>
              </w:rPr>
              <w:t>greater choice</w:t>
            </w:r>
            <w:r w:rsidR="00F45A5B" w:rsidRPr="00F45A5B">
              <w:rPr>
                <w:i/>
              </w:rPr>
              <w:t xml:space="preserve"> and appropriate housing offer for older people across </w:t>
            </w:r>
            <w:r w:rsidRPr="00F45A5B">
              <w:rPr>
                <w:i/>
              </w:rPr>
              <w:t>Kent</w:t>
            </w:r>
            <w:r w:rsidR="00F45A5B" w:rsidRPr="00F45A5B">
              <w:rPr>
                <w:i/>
              </w:rPr>
              <w:t xml:space="preserve"> and Medway. Working with KCC, Medway, Planning and Developer representatives KHG will use available data and resources</w:t>
            </w:r>
            <w:r w:rsidRPr="00F45A5B">
              <w:rPr>
                <w:i/>
              </w:rPr>
              <w:t xml:space="preserve"> </w:t>
            </w:r>
            <w:r w:rsidR="00F45A5B" w:rsidRPr="00F45A5B">
              <w:rPr>
                <w:i/>
              </w:rPr>
              <w:t xml:space="preserve">to fully </w:t>
            </w:r>
            <w:r w:rsidRPr="00F45A5B">
              <w:rPr>
                <w:i/>
              </w:rPr>
              <w:t>understand the housing needs of older people, the size, types and affordab</w:t>
            </w:r>
            <w:r w:rsidR="00F45A5B" w:rsidRPr="00F45A5B">
              <w:rPr>
                <w:i/>
              </w:rPr>
              <w:t>ility of accommodation required.  All of which can be used</w:t>
            </w:r>
            <w:r w:rsidRPr="00F45A5B">
              <w:rPr>
                <w:i/>
              </w:rPr>
              <w:t xml:space="preserve"> to feed into Local Plans and ensure new homes developed are suitable fo</w:t>
            </w:r>
            <w:r w:rsidR="00F45A5B" w:rsidRPr="00F45A5B">
              <w:rPr>
                <w:i/>
              </w:rPr>
              <w:t>r the growing ageing population</w:t>
            </w:r>
          </w:p>
        </w:tc>
        <w:tc>
          <w:tcPr>
            <w:tcW w:w="3243" w:type="dxa"/>
            <w:gridSpan w:val="2"/>
          </w:tcPr>
          <w:p w14:paraId="5D8B2A5E" w14:textId="0355F453" w:rsidR="00420A10" w:rsidRDefault="00420A10" w:rsidP="00420A10">
            <w:r>
              <w:lastRenderedPageBreak/>
              <w:t xml:space="preserve">Engage and influence the review of the KCC Accommodation Strategy, which </w:t>
            </w:r>
            <w:r w:rsidR="00100B89">
              <w:t xml:space="preserve">now has </w:t>
            </w:r>
            <w:r>
              <w:t xml:space="preserve">to consider the recovery phase of Covid-19 and the suitable delivery </w:t>
            </w:r>
            <w:r>
              <w:lastRenderedPageBreak/>
              <w:t xml:space="preserve">and offer of accommodation for older people and all other cohorts who require specialist accommodation.  </w:t>
            </w:r>
          </w:p>
          <w:p w14:paraId="1172F042" w14:textId="4B3D1E03" w:rsidR="00E8082D" w:rsidRDefault="00E8082D" w:rsidP="00420A10">
            <w:r>
              <w:t xml:space="preserve">Using local data to evidence planning delivery of accommodation to meet the needs of various vulnerable cohorts.  </w:t>
            </w:r>
          </w:p>
          <w:p w14:paraId="02B52D3D" w14:textId="45E69E5E" w:rsidR="00E8082D" w:rsidRDefault="00E8082D" w:rsidP="00420A10">
            <w:r>
              <w:t xml:space="preserve">Identify whether a need for a specific BAME work in light of Covid-19 </w:t>
            </w:r>
            <w:r w:rsidR="00100B89">
              <w:t xml:space="preserve">across districts and boroughs, how to </w:t>
            </w:r>
            <w:r>
              <w:t>link to Linda Smith, Kent Public Health</w:t>
            </w:r>
            <w:r w:rsidR="00100B89">
              <w:t xml:space="preserve"> who is working on the BAME Covid-19 work streams.</w:t>
            </w:r>
          </w:p>
          <w:p w14:paraId="6B14B441" w14:textId="779273E6" w:rsidR="00BF5F86" w:rsidRDefault="00BF5F86" w:rsidP="00420A10">
            <w:r>
              <w:t>Maximise supported housin</w:t>
            </w:r>
            <w:r w:rsidR="00420A10">
              <w:t xml:space="preserve">g delivery across the </w:t>
            </w:r>
            <w:r w:rsidR="00E8082D">
              <w:t>County based</w:t>
            </w:r>
            <w:r w:rsidR="00420A10">
              <w:t xml:space="preserve"> upon need and influence/shape the market to respond to need.</w:t>
            </w:r>
          </w:p>
          <w:p w14:paraId="05790099" w14:textId="34F34106" w:rsidR="00C708D0" w:rsidRDefault="00420A10" w:rsidP="00420A10">
            <w:r>
              <w:t>Ensure that there is a focus upon remodelling of existing stock as well as delivery through new build</w:t>
            </w:r>
            <w:r w:rsidR="00100B89">
              <w:t>.</w:t>
            </w:r>
          </w:p>
          <w:p w14:paraId="245E419A" w14:textId="5CA4DD98" w:rsidR="00260700" w:rsidRDefault="00100B89" w:rsidP="00420A10">
            <w:r w:rsidRPr="00100B89">
              <w:t xml:space="preserve">Influence and engage about the </w:t>
            </w:r>
            <w:r w:rsidR="00260700" w:rsidRPr="00100B89">
              <w:t>Homes for Hero</w:t>
            </w:r>
            <w:r w:rsidR="002E4354" w:rsidRPr="00100B89">
              <w:t>e</w:t>
            </w:r>
            <w:r w:rsidR="00260700" w:rsidRPr="00100B89">
              <w:t xml:space="preserve">s and Service Personnel </w:t>
            </w:r>
            <w:r w:rsidRPr="00100B89">
              <w:t>agendas</w:t>
            </w:r>
            <w:r w:rsidR="00260700" w:rsidRPr="00100B89">
              <w:t>– the demand and ask – how to prioritise affordable housing for this group, how to exp</w:t>
            </w:r>
            <w:r>
              <w:t>and the access for these groups to maximise housing options.</w:t>
            </w:r>
          </w:p>
          <w:p w14:paraId="267BDFD6" w14:textId="6455C875" w:rsidR="00E8082D" w:rsidRPr="00D72223" w:rsidRDefault="00E8082D" w:rsidP="00420A10">
            <w:r>
              <w:t xml:space="preserve">Need to have consideration of pipeline projects – </w:t>
            </w:r>
            <w:r w:rsidR="00100B89">
              <w:t>whole Kent and/or Market Area Level</w:t>
            </w:r>
          </w:p>
        </w:tc>
        <w:tc>
          <w:tcPr>
            <w:tcW w:w="1662" w:type="dxa"/>
          </w:tcPr>
          <w:p w14:paraId="4D2CD3D0" w14:textId="65EF57D5" w:rsidR="00FB69EF" w:rsidRPr="00D72223" w:rsidRDefault="00FB69EF" w:rsidP="0063531E">
            <w:pPr>
              <w:jc w:val="center"/>
            </w:pPr>
          </w:p>
        </w:tc>
      </w:tr>
      <w:tr w:rsidR="00FB69EF" w:rsidRPr="00D72223" w14:paraId="167A8E71" w14:textId="77777777" w:rsidTr="00482D29">
        <w:tc>
          <w:tcPr>
            <w:tcW w:w="862" w:type="dxa"/>
            <w:gridSpan w:val="2"/>
          </w:tcPr>
          <w:p w14:paraId="64D27E7C" w14:textId="0A959020" w:rsidR="00FB69EF" w:rsidRPr="00D72223" w:rsidRDefault="00482D29" w:rsidP="0063531E">
            <w:pPr>
              <w:jc w:val="center"/>
            </w:pPr>
            <w:r>
              <w:t>4</w:t>
            </w:r>
            <w:r w:rsidR="00FB69EF" w:rsidRPr="00D72223">
              <w:t>.</w:t>
            </w:r>
          </w:p>
        </w:tc>
        <w:tc>
          <w:tcPr>
            <w:tcW w:w="2819" w:type="dxa"/>
            <w:gridSpan w:val="2"/>
          </w:tcPr>
          <w:p w14:paraId="7A4B4C09" w14:textId="77777777" w:rsidR="00FB69EF" w:rsidRPr="00D72223" w:rsidRDefault="00FB69EF" w:rsidP="0063531E">
            <w:r w:rsidRPr="00D72223">
              <w:t>Maintain and Review the Existing KHG Strategies and Protocols</w:t>
            </w:r>
          </w:p>
        </w:tc>
        <w:tc>
          <w:tcPr>
            <w:tcW w:w="6112" w:type="dxa"/>
            <w:gridSpan w:val="2"/>
          </w:tcPr>
          <w:p w14:paraId="312F4A8F" w14:textId="77777777" w:rsidR="00FB69EF" w:rsidRPr="00D72223" w:rsidRDefault="00FB69EF" w:rsidP="00FB69EF">
            <w:pPr>
              <w:pStyle w:val="ListParagraph"/>
              <w:numPr>
                <w:ilvl w:val="0"/>
                <w:numId w:val="1"/>
              </w:numPr>
              <w:spacing w:after="0" w:line="240" w:lineRule="auto"/>
              <w:rPr>
                <w:i/>
              </w:rPr>
            </w:pPr>
            <w:r w:rsidRPr="00D72223">
              <w:rPr>
                <w:i/>
              </w:rPr>
              <w:t>Guide for Developing Affordable Homes in Rural Communities</w:t>
            </w:r>
          </w:p>
          <w:p w14:paraId="463F8D2C" w14:textId="6E6E5C22" w:rsidR="00A400F4" w:rsidRPr="00A400F4" w:rsidRDefault="00A400F4" w:rsidP="00482D29">
            <w:pPr>
              <w:pStyle w:val="ListParagraph"/>
              <w:spacing w:after="0" w:line="240" w:lineRule="auto"/>
              <w:rPr>
                <w:i/>
              </w:rPr>
            </w:pPr>
          </w:p>
        </w:tc>
        <w:tc>
          <w:tcPr>
            <w:tcW w:w="3243" w:type="dxa"/>
            <w:gridSpan w:val="2"/>
          </w:tcPr>
          <w:p w14:paraId="1A9C6B58" w14:textId="184C893B" w:rsidR="00C708D0" w:rsidRDefault="00420A10" w:rsidP="00482D29">
            <w:r>
              <w:t>Finalise the review of the Rural Housing Protocol and agree a review date.</w:t>
            </w:r>
          </w:p>
          <w:p w14:paraId="7DCEC9A2" w14:textId="40C54298" w:rsidR="00C708D0" w:rsidRPr="00D72223" w:rsidRDefault="00420A10" w:rsidP="00420A10">
            <w:r>
              <w:t>Launch the protocol</w:t>
            </w:r>
            <w:r w:rsidR="00100B89">
              <w:t xml:space="preserve"> and publicise</w:t>
            </w:r>
          </w:p>
        </w:tc>
        <w:tc>
          <w:tcPr>
            <w:tcW w:w="1662" w:type="dxa"/>
          </w:tcPr>
          <w:p w14:paraId="2BB9EB09" w14:textId="6A8B5CAA" w:rsidR="00C708D0" w:rsidRPr="00D72223" w:rsidRDefault="00C708D0" w:rsidP="00482D29"/>
        </w:tc>
      </w:tr>
      <w:tr w:rsidR="00464770" w:rsidRPr="000A73CC" w14:paraId="5412E534" w14:textId="77777777" w:rsidTr="00A55E5E">
        <w:tc>
          <w:tcPr>
            <w:tcW w:w="14698" w:type="dxa"/>
            <w:gridSpan w:val="9"/>
            <w:shd w:val="clear" w:color="auto" w:fill="D9D9D9" w:themeFill="background1" w:themeFillShade="D9"/>
          </w:tcPr>
          <w:p w14:paraId="25BAF6B2" w14:textId="77777777" w:rsidR="00464770" w:rsidRDefault="00464770" w:rsidP="009D3FE8">
            <w:pPr>
              <w:rPr>
                <w:b/>
                <w:sz w:val="24"/>
              </w:rPr>
            </w:pPr>
            <w:r>
              <w:rPr>
                <w:b/>
                <w:sz w:val="24"/>
              </w:rPr>
              <w:t xml:space="preserve">THEME TWO: </w:t>
            </w:r>
            <w:r w:rsidR="00A006B5">
              <w:rPr>
                <w:b/>
                <w:sz w:val="24"/>
              </w:rPr>
              <w:t>Working Together For Safer Homes</w:t>
            </w:r>
            <w:r>
              <w:rPr>
                <w:b/>
                <w:sz w:val="24"/>
              </w:rPr>
              <w:t xml:space="preserve"> </w:t>
            </w:r>
          </w:p>
          <w:p w14:paraId="1096E1BC" w14:textId="77777777" w:rsidR="00A006B5" w:rsidRPr="00A006B5" w:rsidRDefault="00464770" w:rsidP="00A006B5">
            <w:pPr>
              <w:rPr>
                <w:i/>
                <w:sz w:val="24"/>
              </w:rPr>
            </w:pPr>
            <w:r>
              <w:rPr>
                <w:b/>
                <w:sz w:val="24"/>
              </w:rPr>
              <w:t>Ambition –</w:t>
            </w:r>
            <w:r w:rsidR="00A006B5">
              <w:rPr>
                <w:b/>
                <w:sz w:val="24"/>
              </w:rPr>
              <w:t xml:space="preserve"> </w:t>
            </w:r>
            <w:r w:rsidR="00A006B5" w:rsidRPr="00A006B5">
              <w:rPr>
                <w:i/>
                <w:sz w:val="24"/>
              </w:rPr>
              <w:t>Facilitate and strengthen partnership arrangements, collective expertise and continuous shared learning to ensure residents can access safe homes across all tenures in Kent &amp; Medway.</w:t>
            </w:r>
          </w:p>
          <w:p w14:paraId="075E9F53" w14:textId="77777777" w:rsidR="00464770" w:rsidRPr="000A73CC" w:rsidRDefault="00464770" w:rsidP="00A006B5">
            <w:pPr>
              <w:rPr>
                <w:b/>
                <w:sz w:val="24"/>
              </w:rPr>
            </w:pPr>
            <w:r>
              <w:rPr>
                <w:b/>
                <w:sz w:val="24"/>
              </w:rPr>
              <w:t xml:space="preserve">Objective – </w:t>
            </w:r>
            <w:r w:rsidR="00A006B5" w:rsidRPr="007A0703">
              <w:rPr>
                <w:i/>
              </w:rPr>
              <w:t>Work across the sector and with wider stakeholders to support our membership’s collective efforts and create shared capacity, ensuring existing and new build housing stock is of a good quality where residents can remain safe and well at home</w:t>
            </w:r>
          </w:p>
        </w:tc>
      </w:tr>
      <w:tr w:rsidR="00464770" w14:paraId="3EC1BB71" w14:textId="77777777" w:rsidTr="00A55E5E">
        <w:tc>
          <w:tcPr>
            <w:tcW w:w="855" w:type="dxa"/>
            <w:shd w:val="clear" w:color="auto" w:fill="D9D9D9" w:themeFill="background1" w:themeFillShade="D9"/>
          </w:tcPr>
          <w:p w14:paraId="73EFE29D" w14:textId="77777777" w:rsidR="00464770" w:rsidRDefault="00464770" w:rsidP="009D3FE8">
            <w:pPr>
              <w:rPr>
                <w:b/>
                <w:sz w:val="24"/>
              </w:rPr>
            </w:pPr>
            <w:r>
              <w:rPr>
                <w:b/>
                <w:sz w:val="24"/>
              </w:rPr>
              <w:t>Ref</w:t>
            </w:r>
          </w:p>
        </w:tc>
        <w:tc>
          <w:tcPr>
            <w:tcW w:w="2792" w:type="dxa"/>
            <w:gridSpan w:val="2"/>
            <w:shd w:val="clear" w:color="auto" w:fill="D9D9D9" w:themeFill="background1" w:themeFillShade="D9"/>
          </w:tcPr>
          <w:p w14:paraId="54D5A25C" w14:textId="77777777" w:rsidR="00464770" w:rsidRDefault="00464770" w:rsidP="009D3FE8">
            <w:pPr>
              <w:rPr>
                <w:b/>
                <w:sz w:val="24"/>
              </w:rPr>
            </w:pPr>
            <w:r>
              <w:rPr>
                <w:b/>
                <w:sz w:val="24"/>
              </w:rPr>
              <w:t>Action</w:t>
            </w:r>
          </w:p>
        </w:tc>
        <w:tc>
          <w:tcPr>
            <w:tcW w:w="6024" w:type="dxa"/>
            <w:gridSpan w:val="2"/>
            <w:shd w:val="clear" w:color="auto" w:fill="D9D9D9" w:themeFill="background1" w:themeFillShade="D9"/>
          </w:tcPr>
          <w:p w14:paraId="22C2910B" w14:textId="77777777" w:rsidR="00464770" w:rsidRDefault="00464770" w:rsidP="009D3FE8">
            <w:pPr>
              <w:rPr>
                <w:b/>
                <w:sz w:val="24"/>
              </w:rPr>
            </w:pPr>
            <w:r>
              <w:rPr>
                <w:b/>
                <w:sz w:val="24"/>
              </w:rPr>
              <w:t xml:space="preserve">How </w:t>
            </w:r>
          </w:p>
        </w:tc>
        <w:tc>
          <w:tcPr>
            <w:tcW w:w="3196" w:type="dxa"/>
            <w:gridSpan w:val="2"/>
            <w:shd w:val="clear" w:color="auto" w:fill="D9D9D9" w:themeFill="background1" w:themeFillShade="D9"/>
          </w:tcPr>
          <w:p w14:paraId="1D4322DF" w14:textId="77777777" w:rsidR="00464770" w:rsidRDefault="00464770" w:rsidP="009D3FE8">
            <w:pPr>
              <w:rPr>
                <w:b/>
                <w:sz w:val="24"/>
              </w:rPr>
            </w:pPr>
            <w:r>
              <w:rPr>
                <w:b/>
                <w:sz w:val="24"/>
              </w:rPr>
              <w:t>Who</w:t>
            </w:r>
          </w:p>
        </w:tc>
        <w:tc>
          <w:tcPr>
            <w:tcW w:w="1831" w:type="dxa"/>
            <w:gridSpan w:val="2"/>
            <w:shd w:val="clear" w:color="auto" w:fill="D9D9D9" w:themeFill="background1" w:themeFillShade="D9"/>
          </w:tcPr>
          <w:p w14:paraId="339D909E" w14:textId="77777777" w:rsidR="00464770" w:rsidRDefault="00464770" w:rsidP="009D3FE8">
            <w:pPr>
              <w:rPr>
                <w:b/>
                <w:sz w:val="24"/>
              </w:rPr>
            </w:pPr>
            <w:r>
              <w:rPr>
                <w:b/>
                <w:sz w:val="24"/>
              </w:rPr>
              <w:t>Timeframe</w:t>
            </w:r>
          </w:p>
        </w:tc>
      </w:tr>
      <w:tr w:rsidR="00464770" w:rsidRPr="00D72223" w14:paraId="21627599" w14:textId="77777777" w:rsidTr="00A55E5E">
        <w:tc>
          <w:tcPr>
            <w:tcW w:w="855" w:type="dxa"/>
          </w:tcPr>
          <w:p w14:paraId="1B1A63FF" w14:textId="77777777" w:rsidR="00464770" w:rsidRPr="00D72223" w:rsidRDefault="00464770" w:rsidP="009D3FE8">
            <w:pPr>
              <w:jc w:val="center"/>
            </w:pPr>
            <w:r w:rsidRPr="00D72223">
              <w:t>3.</w:t>
            </w:r>
          </w:p>
        </w:tc>
        <w:tc>
          <w:tcPr>
            <w:tcW w:w="2792" w:type="dxa"/>
            <w:gridSpan w:val="2"/>
          </w:tcPr>
          <w:p w14:paraId="5E7AF15F" w14:textId="77777777" w:rsidR="00464770" w:rsidRPr="00D72223" w:rsidRDefault="00A006B5" w:rsidP="006F23E0">
            <w:r>
              <w:t xml:space="preserve">Managing the risk of </w:t>
            </w:r>
            <w:r w:rsidR="006F23E0">
              <w:t>Permitted Development</w:t>
            </w:r>
          </w:p>
        </w:tc>
        <w:tc>
          <w:tcPr>
            <w:tcW w:w="6024" w:type="dxa"/>
            <w:gridSpan w:val="2"/>
          </w:tcPr>
          <w:p w14:paraId="2D8AAB25" w14:textId="77777777" w:rsidR="006F23E0" w:rsidRPr="006F23E0" w:rsidRDefault="006F23E0" w:rsidP="006F23E0">
            <w:pPr>
              <w:pStyle w:val="ListParagraph"/>
              <w:numPr>
                <w:ilvl w:val="0"/>
                <w:numId w:val="24"/>
              </w:numPr>
              <w:ind w:left="283" w:hanging="283"/>
              <w:jc w:val="both"/>
              <w:rPr>
                <w:i/>
              </w:rPr>
            </w:pPr>
            <w:r>
              <w:rPr>
                <w:i/>
              </w:rPr>
              <w:t>Explore and consider how to manage and mitigate the risk with regards to c</w:t>
            </w:r>
            <w:r w:rsidR="00A006B5" w:rsidRPr="00A006B5">
              <w:rPr>
                <w:i/>
              </w:rPr>
              <w:t xml:space="preserve">hange of use </w:t>
            </w:r>
            <w:r>
              <w:rPr>
                <w:i/>
              </w:rPr>
              <w:t xml:space="preserve">from </w:t>
            </w:r>
            <w:r w:rsidR="00A006B5" w:rsidRPr="00A006B5">
              <w:rPr>
                <w:i/>
              </w:rPr>
              <w:t>commercial premises</w:t>
            </w:r>
            <w:r>
              <w:rPr>
                <w:i/>
              </w:rPr>
              <w:t xml:space="preserve"> to residential accommodation. To work with planning, developer and Fire Service colleagues to ensure and provide confidence regarding  the </w:t>
            </w:r>
            <w:r w:rsidR="00A006B5" w:rsidRPr="00A006B5">
              <w:rPr>
                <w:i/>
              </w:rPr>
              <w:t>correct compartmentation</w:t>
            </w:r>
            <w:r>
              <w:rPr>
                <w:i/>
              </w:rPr>
              <w:t xml:space="preserve"> of accommodation </w:t>
            </w:r>
            <w:r w:rsidR="00A006B5" w:rsidRPr="00A006B5">
              <w:rPr>
                <w:i/>
              </w:rPr>
              <w:t xml:space="preserve">and </w:t>
            </w:r>
            <w:r>
              <w:rPr>
                <w:i/>
              </w:rPr>
              <w:t>t</w:t>
            </w:r>
            <w:r w:rsidR="00A006B5" w:rsidRPr="00A006B5">
              <w:rPr>
                <w:i/>
              </w:rPr>
              <w:t xml:space="preserve">he </w:t>
            </w:r>
            <w:r>
              <w:rPr>
                <w:i/>
              </w:rPr>
              <w:t xml:space="preserve">appropriate </w:t>
            </w:r>
            <w:r w:rsidR="00A006B5" w:rsidRPr="00A006B5">
              <w:rPr>
                <w:i/>
              </w:rPr>
              <w:t>means of escape and evacu</w:t>
            </w:r>
            <w:r>
              <w:rPr>
                <w:i/>
              </w:rPr>
              <w:t>ation during a fire</w:t>
            </w:r>
          </w:p>
        </w:tc>
        <w:tc>
          <w:tcPr>
            <w:tcW w:w="3196" w:type="dxa"/>
            <w:gridSpan w:val="2"/>
          </w:tcPr>
          <w:p w14:paraId="18DE45B7" w14:textId="03E4DD1D" w:rsidR="0042092F" w:rsidRDefault="0042092F" w:rsidP="00A55E5E">
            <w:r>
              <w:t>Influence improvement of quality and standards of un</w:t>
            </w:r>
            <w:r w:rsidR="00100B89">
              <w:t>its where permitted development is in use,</w:t>
            </w:r>
            <w:r>
              <w:t xml:space="preserve"> in the affordable housing sector.</w:t>
            </w:r>
          </w:p>
          <w:p w14:paraId="77D8EC43" w14:textId="7F03F6CF" w:rsidR="0042092F" w:rsidRDefault="0042092F" w:rsidP="00A55E5E">
            <w:r>
              <w:t>Utilise/maximise the opportunity that permitted development offers to respond to immediate or short term housing need (Temporary accomm</w:t>
            </w:r>
            <w:r w:rsidR="00100B89">
              <w:t>odation/Move on accommodation).  Understand h</w:t>
            </w:r>
            <w:r>
              <w:t>ow to compete with other local authorities (London Boroughs) for this type of accommodat</w:t>
            </w:r>
            <w:r w:rsidR="00100B89">
              <w:t>ion, due to Kent’s proximity to London.</w:t>
            </w:r>
          </w:p>
          <w:p w14:paraId="6109452A" w14:textId="4EC8B2B9" w:rsidR="0042092F" w:rsidRPr="00D72223" w:rsidRDefault="0042092F" w:rsidP="00100B89">
            <w:r>
              <w:t>Link and engage with r</w:t>
            </w:r>
            <w:r w:rsidR="00A55E5E">
              <w:t xml:space="preserve">elevant countywide groups and colleagues ensure/enable deliver of affordable homes and high standards (through </w:t>
            </w:r>
            <w:r w:rsidR="00100B89">
              <w:t>the Kent Design G</w:t>
            </w:r>
            <w:r w:rsidR="00A55E5E">
              <w:t>uide) to ensure a broad o</w:t>
            </w:r>
            <w:r>
              <w:t>ffer to meet local housing need – should Kent and Medway have a set of design standards specifi</w:t>
            </w:r>
            <w:r w:rsidR="00100B89">
              <w:t>cally for Permitted Development and what do they need to include?</w:t>
            </w:r>
          </w:p>
        </w:tc>
        <w:tc>
          <w:tcPr>
            <w:tcW w:w="1831" w:type="dxa"/>
            <w:gridSpan w:val="2"/>
          </w:tcPr>
          <w:p w14:paraId="3BAF5172" w14:textId="77777777" w:rsidR="00464770" w:rsidRDefault="00464770" w:rsidP="009D3FE8">
            <w:pPr>
              <w:jc w:val="center"/>
            </w:pPr>
          </w:p>
          <w:p w14:paraId="4FD45F8D" w14:textId="7E266B8B" w:rsidR="00FE35C7" w:rsidRPr="00D72223" w:rsidRDefault="00FE35C7" w:rsidP="00FE35C7">
            <w:pPr>
              <w:jc w:val="center"/>
            </w:pPr>
          </w:p>
        </w:tc>
      </w:tr>
      <w:tr w:rsidR="00A90EE8" w:rsidRPr="000A73CC" w14:paraId="07BBFD8F" w14:textId="77777777" w:rsidTr="00A55E5E">
        <w:tc>
          <w:tcPr>
            <w:tcW w:w="14698" w:type="dxa"/>
            <w:gridSpan w:val="9"/>
            <w:shd w:val="clear" w:color="auto" w:fill="D9D9D9" w:themeFill="background1" w:themeFillShade="D9"/>
          </w:tcPr>
          <w:p w14:paraId="7ECEC535" w14:textId="77777777" w:rsidR="00A90EE8" w:rsidRDefault="00EF3A29" w:rsidP="00A90EE8">
            <w:pPr>
              <w:rPr>
                <w:b/>
                <w:sz w:val="24"/>
              </w:rPr>
            </w:pPr>
            <w:r>
              <w:rPr>
                <w:b/>
                <w:sz w:val="24"/>
              </w:rPr>
              <w:t>THEME THREE</w:t>
            </w:r>
            <w:r w:rsidR="00A90EE8">
              <w:rPr>
                <w:b/>
                <w:sz w:val="24"/>
              </w:rPr>
              <w:t>: Infrastructure First</w:t>
            </w:r>
          </w:p>
          <w:p w14:paraId="5D706CA7" w14:textId="38777B0B" w:rsidR="00A90EE8" w:rsidRPr="0063531E" w:rsidRDefault="00A90EE8" w:rsidP="00A90EE8">
            <w:pPr>
              <w:rPr>
                <w:i/>
                <w:sz w:val="24"/>
              </w:rPr>
            </w:pPr>
            <w:r>
              <w:rPr>
                <w:b/>
                <w:sz w:val="24"/>
              </w:rPr>
              <w:t xml:space="preserve">Ambition – </w:t>
            </w:r>
            <w:r>
              <w:rPr>
                <w:i/>
                <w:sz w:val="24"/>
              </w:rPr>
              <w:t>Support and influence the delivery of key infrastructure investment into Kent and Medway that will support and compl</w:t>
            </w:r>
            <w:r w:rsidR="00835E01">
              <w:rPr>
                <w:i/>
                <w:sz w:val="24"/>
              </w:rPr>
              <w:t>e</w:t>
            </w:r>
            <w:r>
              <w:rPr>
                <w:i/>
                <w:sz w:val="24"/>
              </w:rPr>
              <w:t>ment planned housing delivery across the county</w:t>
            </w:r>
          </w:p>
          <w:p w14:paraId="3D0519CF" w14:textId="77777777" w:rsidR="00A90EE8" w:rsidRPr="000A73CC" w:rsidRDefault="00A90EE8" w:rsidP="00A90EE8">
            <w:pPr>
              <w:rPr>
                <w:b/>
                <w:sz w:val="24"/>
              </w:rPr>
            </w:pPr>
            <w:r>
              <w:rPr>
                <w:b/>
                <w:sz w:val="24"/>
              </w:rPr>
              <w:t xml:space="preserve">Objective – </w:t>
            </w:r>
            <w:r w:rsidRPr="00A90EE8">
              <w:rPr>
                <w:i/>
                <w:sz w:val="24"/>
              </w:rPr>
              <w:t>To ensure that housing is not delivered in isolation, that investment into appropriate infrastructure (education, health and transport) is aligned to housing delivery that will enable communities to thrive</w:t>
            </w:r>
          </w:p>
        </w:tc>
      </w:tr>
      <w:tr w:rsidR="00A90EE8" w14:paraId="73F350D6" w14:textId="77777777" w:rsidTr="00A55E5E">
        <w:tc>
          <w:tcPr>
            <w:tcW w:w="855" w:type="dxa"/>
            <w:shd w:val="clear" w:color="auto" w:fill="D9D9D9" w:themeFill="background1" w:themeFillShade="D9"/>
          </w:tcPr>
          <w:p w14:paraId="51FB04E1" w14:textId="77777777" w:rsidR="00A90EE8" w:rsidRDefault="00A90EE8" w:rsidP="00A90EE8">
            <w:pPr>
              <w:rPr>
                <w:b/>
                <w:sz w:val="24"/>
              </w:rPr>
            </w:pPr>
            <w:r>
              <w:rPr>
                <w:b/>
                <w:sz w:val="24"/>
              </w:rPr>
              <w:t>Ref</w:t>
            </w:r>
          </w:p>
        </w:tc>
        <w:tc>
          <w:tcPr>
            <w:tcW w:w="2792" w:type="dxa"/>
            <w:gridSpan w:val="2"/>
            <w:shd w:val="clear" w:color="auto" w:fill="D9D9D9" w:themeFill="background1" w:themeFillShade="D9"/>
          </w:tcPr>
          <w:p w14:paraId="25F712D7" w14:textId="77777777" w:rsidR="00A90EE8" w:rsidRDefault="00A90EE8" w:rsidP="00A90EE8">
            <w:pPr>
              <w:rPr>
                <w:b/>
                <w:sz w:val="24"/>
              </w:rPr>
            </w:pPr>
            <w:r>
              <w:rPr>
                <w:b/>
                <w:sz w:val="24"/>
              </w:rPr>
              <w:t>Action</w:t>
            </w:r>
          </w:p>
        </w:tc>
        <w:tc>
          <w:tcPr>
            <w:tcW w:w="6024" w:type="dxa"/>
            <w:gridSpan w:val="2"/>
            <w:shd w:val="clear" w:color="auto" w:fill="D9D9D9" w:themeFill="background1" w:themeFillShade="D9"/>
          </w:tcPr>
          <w:p w14:paraId="129A998D" w14:textId="77777777" w:rsidR="00A90EE8" w:rsidRDefault="00A90EE8" w:rsidP="00A90EE8">
            <w:pPr>
              <w:rPr>
                <w:b/>
                <w:sz w:val="24"/>
              </w:rPr>
            </w:pPr>
            <w:r>
              <w:rPr>
                <w:b/>
                <w:sz w:val="24"/>
              </w:rPr>
              <w:t xml:space="preserve">How </w:t>
            </w:r>
          </w:p>
        </w:tc>
        <w:tc>
          <w:tcPr>
            <w:tcW w:w="3196" w:type="dxa"/>
            <w:gridSpan w:val="2"/>
            <w:shd w:val="clear" w:color="auto" w:fill="D9D9D9" w:themeFill="background1" w:themeFillShade="D9"/>
          </w:tcPr>
          <w:p w14:paraId="500168B9" w14:textId="77777777" w:rsidR="00A90EE8" w:rsidRDefault="00A90EE8" w:rsidP="00A90EE8">
            <w:pPr>
              <w:rPr>
                <w:b/>
                <w:sz w:val="24"/>
              </w:rPr>
            </w:pPr>
            <w:r>
              <w:rPr>
                <w:b/>
                <w:sz w:val="24"/>
              </w:rPr>
              <w:t>Who</w:t>
            </w:r>
          </w:p>
        </w:tc>
        <w:tc>
          <w:tcPr>
            <w:tcW w:w="1831" w:type="dxa"/>
            <w:gridSpan w:val="2"/>
            <w:shd w:val="clear" w:color="auto" w:fill="D9D9D9" w:themeFill="background1" w:themeFillShade="D9"/>
          </w:tcPr>
          <w:p w14:paraId="611B6B61" w14:textId="77777777" w:rsidR="00A90EE8" w:rsidRDefault="00A90EE8" w:rsidP="00A90EE8">
            <w:pPr>
              <w:rPr>
                <w:b/>
                <w:sz w:val="24"/>
              </w:rPr>
            </w:pPr>
            <w:r>
              <w:rPr>
                <w:b/>
                <w:sz w:val="24"/>
              </w:rPr>
              <w:t>Timeframe</w:t>
            </w:r>
          </w:p>
        </w:tc>
      </w:tr>
      <w:tr w:rsidR="006B6E5D" w:rsidRPr="00D72223" w14:paraId="718E37BA" w14:textId="77777777" w:rsidTr="00A55E5E">
        <w:tc>
          <w:tcPr>
            <w:tcW w:w="855" w:type="dxa"/>
          </w:tcPr>
          <w:p w14:paraId="37BF19CE" w14:textId="52A8206F" w:rsidR="006B6E5D" w:rsidRPr="00D72223" w:rsidRDefault="00A55E5E" w:rsidP="00A55E5E">
            <w:r>
              <w:t>1</w:t>
            </w:r>
            <w:r w:rsidR="006B6E5D" w:rsidRPr="00D72223">
              <w:t>.</w:t>
            </w:r>
          </w:p>
        </w:tc>
        <w:tc>
          <w:tcPr>
            <w:tcW w:w="2792" w:type="dxa"/>
            <w:gridSpan w:val="2"/>
          </w:tcPr>
          <w:p w14:paraId="394DC954" w14:textId="77777777" w:rsidR="006B6E5D" w:rsidRPr="00D72223" w:rsidRDefault="006B6E5D" w:rsidP="006B6E5D">
            <w:r w:rsidRPr="00D72223">
              <w:t>Addressing the Practical Issues of Developing</w:t>
            </w:r>
          </w:p>
        </w:tc>
        <w:tc>
          <w:tcPr>
            <w:tcW w:w="6024" w:type="dxa"/>
            <w:gridSpan w:val="2"/>
          </w:tcPr>
          <w:p w14:paraId="78317F04" w14:textId="77777777" w:rsidR="006B6E5D" w:rsidRPr="00D72223" w:rsidRDefault="006B6E5D" w:rsidP="006B6E5D">
            <w:pPr>
              <w:pStyle w:val="ListParagraph"/>
              <w:numPr>
                <w:ilvl w:val="0"/>
                <w:numId w:val="8"/>
              </w:numPr>
              <w:ind w:left="283" w:hanging="283"/>
              <w:jc w:val="both"/>
            </w:pPr>
            <w:r w:rsidRPr="006B6E5D">
              <w:rPr>
                <w:i/>
              </w:rPr>
              <w:t>KHG will explore the development of an Investment Protocol with the aim to understand and manage the practical issues of delivering new housing developments. This protocol would look to include procurement, construction, transport and infrastructure and utilities. It would complement the Growth and Infrastructure Framework objectives and take into account the findings of the Letwin review. The intention is not impose new restrictions or requirements that will add complexity or cost</w:t>
            </w:r>
          </w:p>
        </w:tc>
        <w:tc>
          <w:tcPr>
            <w:tcW w:w="3196" w:type="dxa"/>
            <w:gridSpan w:val="2"/>
          </w:tcPr>
          <w:p w14:paraId="1FAE3C4C" w14:textId="593A59D3" w:rsidR="006B6E5D" w:rsidRDefault="00A55E5E" w:rsidP="00A55E5E">
            <w:r>
              <w:t xml:space="preserve">Engage and influence the context of an Investment Protocol for Kent and Medway </w:t>
            </w:r>
          </w:p>
          <w:p w14:paraId="4D1FAB7B" w14:textId="74C1F7CB" w:rsidR="006B6E5D" w:rsidRDefault="00A55E5E" w:rsidP="00A55E5E">
            <w:r>
              <w:t>Remain up to date with and engage with any update of the K&amp;M GIF</w:t>
            </w:r>
            <w:r w:rsidR="00100B89">
              <w:t>.</w:t>
            </w:r>
          </w:p>
          <w:p w14:paraId="7EA66441" w14:textId="36FC5FF1" w:rsidR="0042092F" w:rsidRDefault="0042092F" w:rsidP="00A55E5E">
            <w:r>
              <w:t>KCC Affordable Housing Select Committee have recommended inclusion of evidence/numbers against the level of affordable housing required and investment required to deliver i</w:t>
            </w:r>
            <w:r w:rsidR="00100B89">
              <w:t>t, HSEG to remain engaged with the recommendations and the role of the group in achieving these.</w:t>
            </w:r>
          </w:p>
          <w:p w14:paraId="2F13E232" w14:textId="13D47894" w:rsidR="0036450B" w:rsidRDefault="0036450B" w:rsidP="00A55E5E">
            <w:r>
              <w:t xml:space="preserve">Need to understand the </w:t>
            </w:r>
            <w:r w:rsidR="00100B89">
              <w:t>data/</w:t>
            </w:r>
            <w:r>
              <w:t>numbers an</w:t>
            </w:r>
            <w:r w:rsidR="00100B89">
              <w:t>d where they are extracted from to inform policy or protocol development,</w:t>
            </w:r>
            <w:r>
              <w:t xml:space="preserve"> to enable response by local authorities</w:t>
            </w:r>
            <w:r w:rsidR="00100B89">
              <w:t xml:space="preserve"> when challenged by an external organisation or individual.</w:t>
            </w:r>
          </w:p>
          <w:p w14:paraId="04B2A207" w14:textId="2C42E626" w:rsidR="009D57A8" w:rsidRPr="00D72223" w:rsidRDefault="00100B89" w:rsidP="00A55E5E">
            <w:r>
              <w:t xml:space="preserve">To remain up to date and to </w:t>
            </w:r>
            <w:r w:rsidR="009D57A8">
              <w:t>support and engage with the Growth &amp; Infrast</w:t>
            </w:r>
            <w:r>
              <w:t>ructure Proposition work for Kent and Medway, which includes working with</w:t>
            </w:r>
            <w:r w:rsidR="009D57A8">
              <w:t xml:space="preserve"> MHCLG and Homes England.  </w:t>
            </w:r>
          </w:p>
          <w:p w14:paraId="2060F94D" w14:textId="43F98B11" w:rsidR="006B6E5D" w:rsidRPr="00D72223" w:rsidRDefault="006B6E5D" w:rsidP="006B6E5D"/>
        </w:tc>
        <w:tc>
          <w:tcPr>
            <w:tcW w:w="1831" w:type="dxa"/>
            <w:gridSpan w:val="2"/>
          </w:tcPr>
          <w:p w14:paraId="56FE36EE" w14:textId="77777777" w:rsidR="006B6E5D" w:rsidRPr="00D72223" w:rsidRDefault="006B6E5D" w:rsidP="00A55E5E">
            <w:pPr>
              <w:jc w:val="center"/>
            </w:pPr>
          </w:p>
        </w:tc>
      </w:tr>
      <w:tr w:rsidR="006B6E5D" w:rsidRPr="00D72223" w14:paraId="098A0B75" w14:textId="77777777" w:rsidTr="00A55E5E">
        <w:tc>
          <w:tcPr>
            <w:tcW w:w="855" w:type="dxa"/>
          </w:tcPr>
          <w:p w14:paraId="7615FB49" w14:textId="0C7A2500" w:rsidR="006B6E5D" w:rsidRPr="00D72223" w:rsidRDefault="00482D29" w:rsidP="006B6E5D">
            <w:pPr>
              <w:jc w:val="center"/>
            </w:pPr>
            <w:r>
              <w:t>2</w:t>
            </w:r>
            <w:r w:rsidR="006B6E5D">
              <w:t>.</w:t>
            </w:r>
          </w:p>
        </w:tc>
        <w:tc>
          <w:tcPr>
            <w:tcW w:w="2792" w:type="dxa"/>
            <w:gridSpan w:val="2"/>
          </w:tcPr>
          <w:p w14:paraId="44560DBD" w14:textId="77777777" w:rsidR="006B6E5D" w:rsidRPr="00D72223" w:rsidRDefault="000406BD" w:rsidP="006B6E5D">
            <w:r>
              <w:t xml:space="preserve">Access </w:t>
            </w:r>
            <w:r w:rsidR="006B6E5D" w:rsidRPr="00D72223">
              <w:t>to Finance</w:t>
            </w:r>
          </w:p>
        </w:tc>
        <w:tc>
          <w:tcPr>
            <w:tcW w:w="6024" w:type="dxa"/>
            <w:gridSpan w:val="2"/>
          </w:tcPr>
          <w:p w14:paraId="3459ECFE" w14:textId="77777777" w:rsidR="006B6E5D" w:rsidRPr="006B6E5D" w:rsidRDefault="006B6E5D" w:rsidP="006B6E5D">
            <w:pPr>
              <w:pStyle w:val="ListParagraph"/>
              <w:numPr>
                <w:ilvl w:val="0"/>
                <w:numId w:val="10"/>
              </w:numPr>
              <w:jc w:val="both"/>
              <w:rPr>
                <w:i/>
              </w:rPr>
            </w:pPr>
            <w:r w:rsidRPr="006B6E5D">
              <w:rPr>
                <w:i/>
              </w:rPr>
              <w:t>KHG will provide a forum through their programme of events to share best practice and discuss finance for new homes. This will include Local Housing Companies, RP funding methods, exploring institutional investment and developing more understanding amongst members of Social Impact Funds.</w:t>
            </w:r>
          </w:p>
        </w:tc>
        <w:tc>
          <w:tcPr>
            <w:tcW w:w="3196" w:type="dxa"/>
            <w:gridSpan w:val="2"/>
          </w:tcPr>
          <w:p w14:paraId="5E2B2039" w14:textId="0DC8C03A" w:rsidR="00B43BF3" w:rsidRDefault="00A55E5E" w:rsidP="00A55E5E">
            <w:r>
              <w:t>Support and participate in sharing good practice to enable local authorities to develop new council housing in Kent and Medway.</w:t>
            </w:r>
          </w:p>
          <w:p w14:paraId="69833494" w14:textId="0D1CFC38" w:rsidR="0036450B" w:rsidRDefault="0036450B" w:rsidP="00A55E5E">
            <w:r>
              <w:t xml:space="preserve">Sharing opportunities to access funding. LGA Report – Delivery of Council Housing a Stimulus Package Post Pandemic – the value of investment in homes, economic benefit of social housing are two areas. </w:t>
            </w:r>
          </w:p>
          <w:p w14:paraId="2C04A385" w14:textId="22948EF4" w:rsidR="00223161" w:rsidRDefault="0036617F" w:rsidP="00A55E5E">
            <w:hyperlink r:id="rId8" w:history="1">
              <w:r w:rsidR="00223161">
                <w:rPr>
                  <w:rStyle w:val="Hyperlink"/>
                  <w:sz w:val="36"/>
                  <w:szCs w:val="36"/>
                </w:rPr>
                <w:t>https://www.local.gov.uk/delivery-council-housing-stimulus-package-post-pandemic</w:t>
              </w:r>
            </w:hyperlink>
          </w:p>
          <w:p w14:paraId="0FA84A87" w14:textId="0987136E" w:rsidR="00A55E5E" w:rsidRDefault="00A55E5E" w:rsidP="00A55E5E">
            <w:r>
              <w:t>Understand, lobby and influence how to access funding to enable delivery of additional units through council house development</w:t>
            </w:r>
            <w:r w:rsidR="0087578D">
              <w:t>.</w:t>
            </w:r>
          </w:p>
          <w:p w14:paraId="78E5A43C" w14:textId="30379A5E" w:rsidR="00A55E5E" w:rsidRPr="00D72223" w:rsidRDefault="00A55E5E" w:rsidP="00A55E5E">
            <w:r>
              <w:t>Consider a Good Practice Guide/Protocol for council house d</w:t>
            </w:r>
            <w:r w:rsidR="0087578D">
              <w:t>evelopment in Kent and Medway.</w:t>
            </w:r>
          </w:p>
        </w:tc>
        <w:tc>
          <w:tcPr>
            <w:tcW w:w="1831" w:type="dxa"/>
            <w:gridSpan w:val="2"/>
          </w:tcPr>
          <w:p w14:paraId="1CDA9B71" w14:textId="35D5D75B" w:rsidR="006B6E5D" w:rsidRPr="00D72223" w:rsidRDefault="006B6E5D" w:rsidP="006B6E5D">
            <w:pPr>
              <w:jc w:val="center"/>
            </w:pPr>
          </w:p>
        </w:tc>
      </w:tr>
      <w:tr w:rsidR="001766CF" w:rsidRPr="00D72223" w14:paraId="09795DE1" w14:textId="77777777" w:rsidTr="00A55E5E">
        <w:tc>
          <w:tcPr>
            <w:tcW w:w="855" w:type="dxa"/>
          </w:tcPr>
          <w:p w14:paraId="0FE62CF9" w14:textId="0FD0BC50" w:rsidR="001766CF" w:rsidRPr="00D72223" w:rsidRDefault="00482D29" w:rsidP="001766CF">
            <w:pPr>
              <w:jc w:val="center"/>
            </w:pPr>
            <w:r>
              <w:t>3</w:t>
            </w:r>
            <w:r w:rsidR="001766CF" w:rsidRPr="00D72223">
              <w:t>.</w:t>
            </w:r>
          </w:p>
        </w:tc>
        <w:tc>
          <w:tcPr>
            <w:tcW w:w="2792" w:type="dxa"/>
            <w:gridSpan w:val="2"/>
          </w:tcPr>
          <w:p w14:paraId="0C57F90B" w14:textId="77777777" w:rsidR="001766CF" w:rsidRPr="00D72223" w:rsidRDefault="001766CF" w:rsidP="001766CF">
            <w:r w:rsidRPr="00D72223">
              <w:t>Maintain and Review Existing Kent Housing Group Strategies and Protocols</w:t>
            </w:r>
          </w:p>
          <w:p w14:paraId="25F9D165" w14:textId="77777777" w:rsidR="001766CF" w:rsidRPr="00D72223" w:rsidRDefault="001766CF" w:rsidP="001766CF"/>
        </w:tc>
        <w:tc>
          <w:tcPr>
            <w:tcW w:w="6024" w:type="dxa"/>
            <w:gridSpan w:val="2"/>
          </w:tcPr>
          <w:p w14:paraId="7BE2E495" w14:textId="77777777" w:rsidR="001766CF" w:rsidRPr="00203E5B" w:rsidRDefault="001766CF" w:rsidP="00203E5B">
            <w:pPr>
              <w:pStyle w:val="ListParagraph"/>
              <w:numPr>
                <w:ilvl w:val="0"/>
                <w:numId w:val="10"/>
              </w:numPr>
              <w:jc w:val="both"/>
              <w:rPr>
                <w:i/>
              </w:rPr>
            </w:pPr>
            <w:r w:rsidRPr="00203E5B">
              <w:rPr>
                <w:i/>
              </w:rPr>
              <w:t>Support the implementation and also the review of the Growth and Infrastructure Framework, as required.</w:t>
            </w:r>
          </w:p>
        </w:tc>
        <w:tc>
          <w:tcPr>
            <w:tcW w:w="3196" w:type="dxa"/>
            <w:gridSpan w:val="2"/>
          </w:tcPr>
          <w:p w14:paraId="4A68209D" w14:textId="450B6EDE" w:rsidR="001766CF" w:rsidRPr="00D72223" w:rsidRDefault="00A55E5E" w:rsidP="00A55E5E">
            <w:r>
              <w:t>Participate in a review</w:t>
            </w:r>
            <w:r w:rsidR="00260700">
              <w:t>/update</w:t>
            </w:r>
            <w:r>
              <w:t xml:space="preserve"> as required</w:t>
            </w:r>
            <w:r w:rsidR="00260700">
              <w:t xml:space="preserve"> – </w:t>
            </w:r>
            <w:r w:rsidR="0087578D">
              <w:t xml:space="preserve">Kent and Medway </w:t>
            </w:r>
            <w:r w:rsidR="00260700">
              <w:t>GIF</w:t>
            </w:r>
            <w:r w:rsidR="0087578D">
              <w:t xml:space="preserve"> is now</w:t>
            </w:r>
            <w:r w:rsidR="00260700">
              <w:t xml:space="preserve"> likely to be a live working document and updated as required virtually.</w:t>
            </w:r>
          </w:p>
        </w:tc>
        <w:tc>
          <w:tcPr>
            <w:tcW w:w="1831" w:type="dxa"/>
            <w:gridSpan w:val="2"/>
          </w:tcPr>
          <w:p w14:paraId="17B803E0" w14:textId="2B88AD83" w:rsidR="001766CF" w:rsidRPr="00D72223" w:rsidRDefault="001766CF" w:rsidP="001766CF">
            <w:pPr>
              <w:jc w:val="center"/>
            </w:pPr>
          </w:p>
        </w:tc>
      </w:tr>
      <w:tr w:rsidR="00304B46" w:rsidRPr="000A73CC" w14:paraId="280CE677" w14:textId="77777777" w:rsidTr="00482D29">
        <w:tc>
          <w:tcPr>
            <w:tcW w:w="14698" w:type="dxa"/>
            <w:gridSpan w:val="9"/>
            <w:shd w:val="clear" w:color="auto" w:fill="D9D9D9" w:themeFill="background1" w:themeFillShade="D9"/>
          </w:tcPr>
          <w:p w14:paraId="7C9FE785" w14:textId="77777777" w:rsidR="00304B46" w:rsidRDefault="00EF3A29" w:rsidP="00304B46">
            <w:pPr>
              <w:rPr>
                <w:b/>
                <w:sz w:val="24"/>
              </w:rPr>
            </w:pPr>
            <w:r>
              <w:rPr>
                <w:b/>
                <w:sz w:val="24"/>
              </w:rPr>
              <w:t>THEME FOUR</w:t>
            </w:r>
            <w:r w:rsidR="00304B46">
              <w:rPr>
                <w:b/>
                <w:sz w:val="24"/>
              </w:rPr>
              <w:t>: Accelerating Housing Delivery</w:t>
            </w:r>
          </w:p>
          <w:p w14:paraId="1D81D88C" w14:textId="77777777" w:rsidR="00304B46" w:rsidRPr="0063531E" w:rsidRDefault="00304B46" w:rsidP="00304B46">
            <w:pPr>
              <w:rPr>
                <w:i/>
                <w:sz w:val="24"/>
              </w:rPr>
            </w:pPr>
            <w:r>
              <w:rPr>
                <w:b/>
                <w:sz w:val="24"/>
              </w:rPr>
              <w:t xml:space="preserve">Ambition – </w:t>
            </w:r>
            <w:r>
              <w:rPr>
                <w:i/>
                <w:sz w:val="24"/>
              </w:rPr>
              <w:t>To support planned housing delivery across Kent and Medway</w:t>
            </w:r>
          </w:p>
          <w:p w14:paraId="195D36D2" w14:textId="77777777" w:rsidR="00304B46" w:rsidRPr="000A73CC" w:rsidRDefault="00304B46" w:rsidP="00304B46">
            <w:pPr>
              <w:rPr>
                <w:b/>
                <w:sz w:val="24"/>
              </w:rPr>
            </w:pPr>
            <w:r>
              <w:rPr>
                <w:b/>
                <w:sz w:val="24"/>
              </w:rPr>
              <w:t xml:space="preserve">Objective – </w:t>
            </w:r>
            <w:r w:rsidRPr="00A90EE8">
              <w:rPr>
                <w:i/>
                <w:sz w:val="24"/>
              </w:rPr>
              <w:t xml:space="preserve">To </w:t>
            </w:r>
            <w:r>
              <w:rPr>
                <w:i/>
                <w:sz w:val="24"/>
              </w:rPr>
              <w:t>deliver the right type, tenure and location of good quality affordable housing that will meet the identified housing need of Kent and Medway residents, through maximising the opportunities presented through partnership working across all sectors and organisations</w:t>
            </w:r>
          </w:p>
        </w:tc>
      </w:tr>
      <w:tr w:rsidR="00304B46" w14:paraId="1FE1778C" w14:textId="77777777" w:rsidTr="00482D29">
        <w:tc>
          <w:tcPr>
            <w:tcW w:w="862" w:type="dxa"/>
            <w:gridSpan w:val="2"/>
            <w:shd w:val="clear" w:color="auto" w:fill="D9D9D9" w:themeFill="background1" w:themeFillShade="D9"/>
          </w:tcPr>
          <w:p w14:paraId="11F22459" w14:textId="77777777" w:rsidR="00304B46" w:rsidRDefault="00304B46" w:rsidP="00304B46">
            <w:pPr>
              <w:rPr>
                <w:b/>
                <w:sz w:val="24"/>
              </w:rPr>
            </w:pPr>
            <w:r>
              <w:rPr>
                <w:b/>
                <w:sz w:val="24"/>
              </w:rPr>
              <w:t>Ref</w:t>
            </w:r>
          </w:p>
        </w:tc>
        <w:tc>
          <w:tcPr>
            <w:tcW w:w="2819" w:type="dxa"/>
            <w:gridSpan w:val="2"/>
            <w:shd w:val="clear" w:color="auto" w:fill="D9D9D9" w:themeFill="background1" w:themeFillShade="D9"/>
          </w:tcPr>
          <w:p w14:paraId="116917E4" w14:textId="77777777" w:rsidR="00304B46" w:rsidRDefault="00304B46" w:rsidP="00304B46">
            <w:pPr>
              <w:rPr>
                <w:b/>
                <w:sz w:val="24"/>
              </w:rPr>
            </w:pPr>
            <w:r>
              <w:rPr>
                <w:b/>
                <w:sz w:val="24"/>
              </w:rPr>
              <w:t>Action</w:t>
            </w:r>
          </w:p>
        </w:tc>
        <w:tc>
          <w:tcPr>
            <w:tcW w:w="6112" w:type="dxa"/>
            <w:gridSpan w:val="2"/>
            <w:shd w:val="clear" w:color="auto" w:fill="D9D9D9" w:themeFill="background1" w:themeFillShade="D9"/>
          </w:tcPr>
          <w:p w14:paraId="07C64A17" w14:textId="77777777" w:rsidR="00304B46" w:rsidRDefault="00304B46" w:rsidP="00304B46">
            <w:pPr>
              <w:rPr>
                <w:b/>
                <w:sz w:val="24"/>
              </w:rPr>
            </w:pPr>
            <w:r>
              <w:rPr>
                <w:b/>
                <w:sz w:val="24"/>
              </w:rPr>
              <w:t xml:space="preserve">How </w:t>
            </w:r>
          </w:p>
        </w:tc>
        <w:tc>
          <w:tcPr>
            <w:tcW w:w="3243" w:type="dxa"/>
            <w:gridSpan w:val="2"/>
            <w:shd w:val="clear" w:color="auto" w:fill="D9D9D9" w:themeFill="background1" w:themeFillShade="D9"/>
          </w:tcPr>
          <w:p w14:paraId="5D151A0A" w14:textId="77777777" w:rsidR="00304B46" w:rsidRDefault="00304B46" w:rsidP="00304B46">
            <w:pPr>
              <w:rPr>
                <w:b/>
                <w:sz w:val="24"/>
              </w:rPr>
            </w:pPr>
            <w:r>
              <w:rPr>
                <w:b/>
                <w:sz w:val="24"/>
              </w:rPr>
              <w:t>Who</w:t>
            </w:r>
          </w:p>
        </w:tc>
        <w:tc>
          <w:tcPr>
            <w:tcW w:w="1662" w:type="dxa"/>
            <w:shd w:val="clear" w:color="auto" w:fill="D9D9D9" w:themeFill="background1" w:themeFillShade="D9"/>
          </w:tcPr>
          <w:p w14:paraId="0D94C8A1" w14:textId="77777777" w:rsidR="00304B46" w:rsidRDefault="00304B46" w:rsidP="00304B46">
            <w:pPr>
              <w:rPr>
                <w:b/>
                <w:sz w:val="24"/>
              </w:rPr>
            </w:pPr>
            <w:r>
              <w:rPr>
                <w:b/>
                <w:sz w:val="24"/>
              </w:rPr>
              <w:t>Timeframe</w:t>
            </w:r>
          </w:p>
        </w:tc>
      </w:tr>
      <w:tr w:rsidR="00304B46" w:rsidRPr="00D72223" w14:paraId="26BCDD6A" w14:textId="77777777" w:rsidTr="00482D29">
        <w:tc>
          <w:tcPr>
            <w:tcW w:w="862" w:type="dxa"/>
            <w:gridSpan w:val="2"/>
          </w:tcPr>
          <w:p w14:paraId="27B3EC09" w14:textId="77777777" w:rsidR="00304B46" w:rsidRPr="00D72223" w:rsidRDefault="00304B46" w:rsidP="00304B46">
            <w:pPr>
              <w:jc w:val="center"/>
            </w:pPr>
            <w:r w:rsidRPr="00D72223">
              <w:t>1.</w:t>
            </w:r>
          </w:p>
        </w:tc>
        <w:tc>
          <w:tcPr>
            <w:tcW w:w="2819" w:type="dxa"/>
            <w:gridSpan w:val="2"/>
          </w:tcPr>
          <w:p w14:paraId="3C72D542" w14:textId="77777777" w:rsidR="00304B46" w:rsidRPr="00D72223" w:rsidRDefault="000406BD" w:rsidP="000406BD">
            <w:r>
              <w:t>Working in Partnership with</w:t>
            </w:r>
            <w:r w:rsidR="00304B46" w:rsidRPr="00D72223">
              <w:t xml:space="preserve"> Planning</w:t>
            </w:r>
            <w:r>
              <w:t xml:space="preserve"> to Meet Identified Housing and Infrastructure Need</w:t>
            </w:r>
          </w:p>
        </w:tc>
        <w:tc>
          <w:tcPr>
            <w:tcW w:w="6112" w:type="dxa"/>
            <w:gridSpan w:val="2"/>
          </w:tcPr>
          <w:p w14:paraId="1C6C2377" w14:textId="4AC79368" w:rsidR="00304B46" w:rsidRPr="00312B6F" w:rsidRDefault="00675C9A" w:rsidP="00304B46">
            <w:pPr>
              <w:pStyle w:val="ListParagraph"/>
              <w:numPr>
                <w:ilvl w:val="0"/>
                <w:numId w:val="10"/>
              </w:numPr>
              <w:jc w:val="both"/>
              <w:rPr>
                <w:i/>
              </w:rPr>
            </w:pPr>
            <w:r w:rsidRPr="00312B6F">
              <w:rPr>
                <w:i/>
              </w:rPr>
              <w:t>KHG</w:t>
            </w:r>
            <w:r w:rsidR="00304B46" w:rsidRPr="00312B6F">
              <w:rPr>
                <w:i/>
              </w:rPr>
              <w:t xml:space="preserve"> will establish a task group, the Housing Delivery Task Group (HDTG), pooling expertise from across KHG members and partner organisations, to carry out the action points to accelerate housing delivery</w:t>
            </w:r>
            <w:r w:rsidR="00190272" w:rsidRPr="00312B6F">
              <w:rPr>
                <w:i/>
              </w:rPr>
              <w:t xml:space="preserve"> with those members who want to do so</w:t>
            </w:r>
          </w:p>
          <w:p w14:paraId="7B994193" w14:textId="77777777" w:rsidR="00304B46" w:rsidRPr="00312B6F" w:rsidRDefault="00304B46" w:rsidP="00304B46">
            <w:pPr>
              <w:pStyle w:val="ListParagraph"/>
              <w:ind w:left="283"/>
              <w:jc w:val="both"/>
              <w:rPr>
                <w:i/>
              </w:rPr>
            </w:pPr>
          </w:p>
          <w:p w14:paraId="4175B131" w14:textId="77777777" w:rsidR="00675C9A" w:rsidRPr="00312B6F" w:rsidRDefault="00304B46" w:rsidP="00675C9A">
            <w:pPr>
              <w:pStyle w:val="ListParagraph"/>
              <w:numPr>
                <w:ilvl w:val="0"/>
                <w:numId w:val="10"/>
              </w:numPr>
              <w:jc w:val="both"/>
              <w:rPr>
                <w:i/>
              </w:rPr>
            </w:pPr>
            <w:r w:rsidRPr="00312B6F">
              <w:rPr>
                <w:i/>
              </w:rPr>
              <w:t>Work</w:t>
            </w:r>
            <w:r w:rsidR="00675C9A" w:rsidRPr="00312B6F">
              <w:rPr>
                <w:i/>
              </w:rPr>
              <w:t>ing</w:t>
            </w:r>
            <w:r w:rsidRPr="00312B6F">
              <w:rPr>
                <w:i/>
              </w:rPr>
              <w:t xml:space="preserve"> with Kent Planning Officers Group</w:t>
            </w:r>
            <w:r w:rsidR="00675C9A" w:rsidRPr="00312B6F">
              <w:rPr>
                <w:i/>
              </w:rPr>
              <w:t xml:space="preserve"> and the Kent Developers Group, </w:t>
            </w:r>
            <w:r w:rsidRPr="00312B6F">
              <w:rPr>
                <w:i/>
              </w:rPr>
              <w:t xml:space="preserve">the HDTG will review the </w:t>
            </w:r>
            <w:r w:rsidR="00675C9A" w:rsidRPr="00312B6F">
              <w:rPr>
                <w:i/>
              </w:rPr>
              <w:t xml:space="preserve">existing KHG </w:t>
            </w:r>
            <w:r w:rsidRPr="00312B6F">
              <w:rPr>
                <w:i/>
              </w:rPr>
              <w:t>Viability Protocol, acknowledging the details within the NPPF and PPG. The review will include an assessment of the approach to strategic sites viability assessments, the mechanisms for viability reviews / reassessment through the construction and sales periods to protect affordable housing delivery, as well as the requir</w:t>
            </w:r>
            <w:r w:rsidR="00675C9A" w:rsidRPr="00312B6F">
              <w:rPr>
                <w:i/>
              </w:rPr>
              <w:t>ements of developers across Kent</w:t>
            </w:r>
          </w:p>
          <w:p w14:paraId="5B1B8A54" w14:textId="77777777" w:rsidR="00675C9A" w:rsidRPr="00312B6F" w:rsidRDefault="00675C9A" w:rsidP="00675C9A">
            <w:pPr>
              <w:pStyle w:val="ListParagraph"/>
              <w:rPr>
                <w:i/>
              </w:rPr>
            </w:pPr>
          </w:p>
          <w:p w14:paraId="3C99683D" w14:textId="39002EB3" w:rsidR="00304B46" w:rsidRPr="00482D29" w:rsidRDefault="00675C9A" w:rsidP="00482D29">
            <w:pPr>
              <w:pStyle w:val="ListParagraph"/>
              <w:numPr>
                <w:ilvl w:val="0"/>
                <w:numId w:val="10"/>
              </w:numPr>
              <w:jc w:val="both"/>
              <w:rPr>
                <w:i/>
              </w:rPr>
            </w:pPr>
            <w:r w:rsidRPr="00312B6F">
              <w:rPr>
                <w:i/>
              </w:rPr>
              <w:t>The</w:t>
            </w:r>
            <w:r w:rsidR="00304B46" w:rsidRPr="00312B6F">
              <w:rPr>
                <w:i/>
              </w:rPr>
              <w:t xml:space="preserve"> HDTG will</w:t>
            </w:r>
            <w:r w:rsidRPr="00312B6F">
              <w:rPr>
                <w:i/>
              </w:rPr>
              <w:t xml:space="preserve"> explore the value in the </w:t>
            </w:r>
            <w:r w:rsidR="00304B46" w:rsidRPr="00312B6F">
              <w:rPr>
                <w:i/>
              </w:rPr>
              <w:t>develop</w:t>
            </w:r>
            <w:r w:rsidRPr="00312B6F">
              <w:rPr>
                <w:i/>
              </w:rPr>
              <w:t>ment of a</w:t>
            </w:r>
            <w:r w:rsidR="00304B46" w:rsidRPr="00312B6F">
              <w:rPr>
                <w:i/>
              </w:rPr>
              <w:t xml:space="preserve"> Kent S106 Housing Guide (similar in principle to the Kent Design Guide with a scope to be agreed across members, excluding CIL), to empower and support </w:t>
            </w:r>
            <w:r w:rsidR="00203E5B" w:rsidRPr="00312B6F">
              <w:rPr>
                <w:i/>
              </w:rPr>
              <w:t>Local Planning A</w:t>
            </w:r>
            <w:r w:rsidR="00304B46" w:rsidRPr="00312B6F">
              <w:rPr>
                <w:i/>
              </w:rPr>
              <w:t>uthorities across Kent wh</w:t>
            </w:r>
            <w:r w:rsidRPr="00312B6F">
              <w:rPr>
                <w:i/>
              </w:rPr>
              <w:t>en granting planning permission</w:t>
            </w:r>
          </w:p>
        </w:tc>
        <w:tc>
          <w:tcPr>
            <w:tcW w:w="3243" w:type="dxa"/>
            <w:gridSpan w:val="2"/>
          </w:tcPr>
          <w:p w14:paraId="22D38CDD" w14:textId="4612CE00" w:rsidR="00304B46" w:rsidRPr="00D72223" w:rsidRDefault="00A55E5E" w:rsidP="00A55E5E">
            <w:r>
              <w:t>Support and Engage with the HDTG where appropriate</w:t>
            </w:r>
          </w:p>
          <w:p w14:paraId="28CFD207" w14:textId="77777777" w:rsidR="00304B46" w:rsidRPr="00D72223" w:rsidRDefault="00304B46" w:rsidP="00304B46">
            <w:pPr>
              <w:jc w:val="center"/>
            </w:pPr>
          </w:p>
          <w:p w14:paraId="1E784E6B" w14:textId="02F3A6CA" w:rsidR="00A55E5E" w:rsidRDefault="00A55E5E" w:rsidP="00304B46">
            <w:pPr>
              <w:jc w:val="center"/>
            </w:pPr>
          </w:p>
          <w:p w14:paraId="58525492" w14:textId="4B8E6E57" w:rsidR="0004137A" w:rsidRDefault="0004137A" w:rsidP="00304B46">
            <w:pPr>
              <w:jc w:val="center"/>
            </w:pPr>
          </w:p>
          <w:p w14:paraId="322BED27" w14:textId="77777777" w:rsidR="0004137A" w:rsidRDefault="0004137A" w:rsidP="00304B46">
            <w:pPr>
              <w:jc w:val="center"/>
            </w:pPr>
          </w:p>
          <w:p w14:paraId="29B68905" w14:textId="6BC6063F" w:rsidR="0004137A" w:rsidRDefault="00A55E5E" w:rsidP="00A55E5E">
            <w:r>
              <w:t>Support and engage with the review of the Kent and Medway Viability Protocol, in conjunction with KDG and KPOG.</w:t>
            </w:r>
            <w:r w:rsidR="0004137A">
              <w:t xml:space="preserve">  Being looked as part of the refresh of the Kent Planning Protocol. </w:t>
            </w:r>
          </w:p>
          <w:p w14:paraId="30CE5B7E" w14:textId="77777777" w:rsidR="0004137A" w:rsidRDefault="0004137A" w:rsidP="00A55E5E"/>
          <w:p w14:paraId="65D964A5" w14:textId="34FC2BEE" w:rsidR="00A55E5E" w:rsidRDefault="00A55E5E" w:rsidP="00A55E5E"/>
          <w:p w14:paraId="492E2BD7" w14:textId="219A308B" w:rsidR="00A55E5E" w:rsidRDefault="00A55E5E" w:rsidP="00A55E5E"/>
          <w:p w14:paraId="334515DF" w14:textId="4CD71E4F" w:rsidR="00A55E5E" w:rsidRDefault="00A55E5E" w:rsidP="00A55E5E"/>
          <w:p w14:paraId="5D87005E" w14:textId="4D03A535" w:rsidR="0004137A" w:rsidRPr="00D72223" w:rsidRDefault="0004137A" w:rsidP="0004137A">
            <w:r>
              <w:t xml:space="preserve">Support and engage with the work to undertake this work (KDG and KPOG leading on this work).  </w:t>
            </w:r>
            <w:r w:rsidRPr="0004137A">
              <w:t xml:space="preserve">Also sits within the refresh of the Kent Planning Protocol, including a template s106 to be shared across local authorities.  </w:t>
            </w:r>
          </w:p>
        </w:tc>
        <w:tc>
          <w:tcPr>
            <w:tcW w:w="1662" w:type="dxa"/>
          </w:tcPr>
          <w:p w14:paraId="3A7D048C" w14:textId="77777777" w:rsidR="00675C9A" w:rsidRDefault="00675C9A" w:rsidP="00304B46">
            <w:pPr>
              <w:jc w:val="center"/>
            </w:pPr>
          </w:p>
          <w:p w14:paraId="69243F8E" w14:textId="77777777" w:rsidR="00675C9A" w:rsidRDefault="00675C9A" w:rsidP="00304B46">
            <w:pPr>
              <w:jc w:val="center"/>
            </w:pPr>
          </w:p>
          <w:p w14:paraId="2EA71C7A" w14:textId="77777777" w:rsidR="00675C9A" w:rsidRDefault="00675C9A" w:rsidP="00304B46">
            <w:pPr>
              <w:jc w:val="center"/>
            </w:pPr>
          </w:p>
          <w:p w14:paraId="5BFC51C1" w14:textId="77777777" w:rsidR="00675C9A" w:rsidRDefault="00675C9A" w:rsidP="00304B46">
            <w:pPr>
              <w:jc w:val="center"/>
            </w:pPr>
          </w:p>
          <w:p w14:paraId="1F6D0AD2" w14:textId="77777777" w:rsidR="00304B46" w:rsidRPr="00D72223" w:rsidRDefault="00304B46" w:rsidP="00304B46">
            <w:pPr>
              <w:jc w:val="center"/>
            </w:pPr>
          </w:p>
          <w:p w14:paraId="00D28174" w14:textId="53EDD853" w:rsidR="00304B46" w:rsidRPr="00D72223" w:rsidRDefault="00304B46" w:rsidP="00482D29"/>
        </w:tc>
      </w:tr>
      <w:tr w:rsidR="00675C9A" w:rsidRPr="00D72223" w14:paraId="7E18F590" w14:textId="77777777" w:rsidTr="00482D29">
        <w:tc>
          <w:tcPr>
            <w:tcW w:w="862" w:type="dxa"/>
            <w:gridSpan w:val="2"/>
          </w:tcPr>
          <w:p w14:paraId="3686EDAC" w14:textId="77777777" w:rsidR="00675C9A" w:rsidRPr="00D72223" w:rsidRDefault="00675C9A" w:rsidP="00675C9A">
            <w:pPr>
              <w:jc w:val="center"/>
            </w:pPr>
            <w:r w:rsidRPr="00D72223">
              <w:t>2.</w:t>
            </w:r>
          </w:p>
        </w:tc>
        <w:tc>
          <w:tcPr>
            <w:tcW w:w="2819" w:type="dxa"/>
            <w:gridSpan w:val="2"/>
          </w:tcPr>
          <w:p w14:paraId="7158AD5F" w14:textId="77777777" w:rsidR="00675C9A" w:rsidRPr="00D72223" w:rsidRDefault="00675C9A" w:rsidP="00675C9A">
            <w:r w:rsidRPr="00D72223">
              <w:t>Increasing Capacity</w:t>
            </w:r>
            <w:r w:rsidR="000406BD">
              <w:t xml:space="preserve"> of Membership Organisations to Meet Housing Need</w:t>
            </w:r>
          </w:p>
        </w:tc>
        <w:tc>
          <w:tcPr>
            <w:tcW w:w="6112" w:type="dxa"/>
            <w:gridSpan w:val="2"/>
          </w:tcPr>
          <w:p w14:paraId="155A88E1" w14:textId="65267484" w:rsidR="00675C9A" w:rsidRPr="00190272" w:rsidRDefault="00675C9A" w:rsidP="00675C9A">
            <w:pPr>
              <w:pStyle w:val="ListParagraph"/>
              <w:numPr>
                <w:ilvl w:val="0"/>
                <w:numId w:val="12"/>
              </w:numPr>
              <w:jc w:val="both"/>
              <w:rPr>
                <w:i/>
              </w:rPr>
            </w:pPr>
            <w:r w:rsidRPr="00190272">
              <w:rPr>
                <w:i/>
              </w:rPr>
              <w:t>Over the course of the strategy, KHG will s</w:t>
            </w:r>
            <w:r w:rsidR="00203E5B" w:rsidRPr="00190272">
              <w:rPr>
                <w:i/>
              </w:rPr>
              <w:t>eek to increase capacity within Local A</w:t>
            </w:r>
            <w:r w:rsidRPr="00190272">
              <w:rPr>
                <w:i/>
              </w:rPr>
              <w:t>uthorities and RP partners by:</w:t>
            </w:r>
          </w:p>
          <w:p w14:paraId="4D41C99F" w14:textId="77777777" w:rsidR="00675C9A" w:rsidRPr="00675C9A" w:rsidRDefault="00203E5B" w:rsidP="00675C9A">
            <w:pPr>
              <w:pStyle w:val="ListParagraph"/>
              <w:numPr>
                <w:ilvl w:val="0"/>
                <w:numId w:val="13"/>
              </w:numPr>
              <w:jc w:val="both"/>
              <w:rPr>
                <w:i/>
              </w:rPr>
            </w:pPr>
            <w:r>
              <w:rPr>
                <w:i/>
              </w:rPr>
              <w:t>Supporting Local A</w:t>
            </w:r>
            <w:r w:rsidR="00675C9A" w:rsidRPr="00675C9A">
              <w:rPr>
                <w:i/>
              </w:rPr>
              <w:t>uthorities to partner with RPs to understand the development of affordable housing, including funding (including RTB receipts) skills and resource requirements;</w:t>
            </w:r>
          </w:p>
          <w:p w14:paraId="6FE0C734" w14:textId="77777777" w:rsidR="00675C9A" w:rsidRPr="00675C9A" w:rsidRDefault="00675C9A" w:rsidP="00675C9A">
            <w:pPr>
              <w:pStyle w:val="ListParagraph"/>
              <w:numPr>
                <w:ilvl w:val="0"/>
                <w:numId w:val="13"/>
              </w:numPr>
              <w:jc w:val="both"/>
              <w:rPr>
                <w:i/>
              </w:rPr>
            </w:pPr>
            <w:r w:rsidRPr="00675C9A">
              <w:rPr>
                <w:i/>
              </w:rPr>
              <w:t>Co-ordinating peer support to understand the acquisition and development process will be provided by partnering authorities together;</w:t>
            </w:r>
          </w:p>
          <w:p w14:paraId="1D470C0E" w14:textId="77777777" w:rsidR="00675C9A" w:rsidRPr="00675C9A" w:rsidRDefault="00675C9A" w:rsidP="00675C9A">
            <w:pPr>
              <w:pStyle w:val="ListParagraph"/>
              <w:numPr>
                <w:ilvl w:val="0"/>
                <w:numId w:val="13"/>
              </w:numPr>
              <w:jc w:val="both"/>
              <w:rPr>
                <w:i/>
              </w:rPr>
            </w:pPr>
            <w:r w:rsidRPr="00675C9A">
              <w:rPr>
                <w:i/>
              </w:rPr>
              <w:t>Providing information and examples of the establishment of joint ventures across Kent to deliver housing;</w:t>
            </w:r>
          </w:p>
          <w:p w14:paraId="49A639CB" w14:textId="77777777" w:rsidR="00675C9A" w:rsidRPr="00675C9A" w:rsidRDefault="00675C9A" w:rsidP="00675C9A">
            <w:pPr>
              <w:pStyle w:val="ListParagraph"/>
              <w:numPr>
                <w:ilvl w:val="0"/>
                <w:numId w:val="13"/>
              </w:numPr>
              <w:jc w:val="both"/>
              <w:rPr>
                <w:i/>
              </w:rPr>
            </w:pPr>
            <w:r w:rsidRPr="00675C9A">
              <w:rPr>
                <w:i/>
              </w:rPr>
              <w:t>Providing opportunities throughout the term of this strategy to share experience and learning, procedures, legal and procurement advice.</w:t>
            </w:r>
          </w:p>
        </w:tc>
        <w:tc>
          <w:tcPr>
            <w:tcW w:w="3243" w:type="dxa"/>
            <w:gridSpan w:val="2"/>
          </w:tcPr>
          <w:p w14:paraId="452576A5" w14:textId="77777777" w:rsidR="00B43BF3" w:rsidRDefault="00B43BF3" w:rsidP="00A55E5E">
            <w:r>
              <w:t>A</w:t>
            </w:r>
            <w:r w:rsidR="00A55E5E">
              <w:t>ssist in co-</w:t>
            </w:r>
            <w:r>
              <w:t>ordinating events and protocols to accelerate delivery of affordable housing including joint venture compan</w:t>
            </w:r>
            <w:r w:rsidR="00A55E5E">
              <w:t>ies/Councils building homes.</w:t>
            </w:r>
          </w:p>
          <w:p w14:paraId="210AC997" w14:textId="77777777" w:rsidR="00032230" w:rsidRDefault="00032230" w:rsidP="00A55E5E">
            <w:r>
              <w:t xml:space="preserve">Engage with Homes England and their role as the strategic enabler, supportive role and investment into delivery of new housing. </w:t>
            </w:r>
          </w:p>
          <w:p w14:paraId="3FBF1E8A" w14:textId="63789F73" w:rsidR="00032230" w:rsidRPr="00D72223" w:rsidRDefault="00032230" w:rsidP="00A55E5E">
            <w:r>
              <w:t>Ensure that the HSEG Table of Products remains up to date and is shared on a frequent basis.</w:t>
            </w:r>
          </w:p>
        </w:tc>
        <w:tc>
          <w:tcPr>
            <w:tcW w:w="1662" w:type="dxa"/>
          </w:tcPr>
          <w:p w14:paraId="79C3EDEF" w14:textId="77777777" w:rsidR="00675C9A" w:rsidRPr="00D72223" w:rsidRDefault="00675C9A" w:rsidP="00675C9A">
            <w:pPr>
              <w:jc w:val="center"/>
            </w:pPr>
          </w:p>
          <w:p w14:paraId="6C8BEB39" w14:textId="77777777" w:rsidR="00675C9A" w:rsidRPr="00D72223" w:rsidRDefault="00675C9A" w:rsidP="00675C9A">
            <w:pPr>
              <w:jc w:val="center"/>
            </w:pPr>
          </w:p>
          <w:p w14:paraId="4ECBDE38" w14:textId="1EAF4E73" w:rsidR="00675C9A" w:rsidRPr="00D72223" w:rsidRDefault="00675C9A" w:rsidP="00675C9A">
            <w:pPr>
              <w:jc w:val="center"/>
            </w:pPr>
          </w:p>
        </w:tc>
      </w:tr>
      <w:tr w:rsidR="00675C9A" w:rsidRPr="00D72223" w14:paraId="7930D649" w14:textId="77777777" w:rsidTr="00482D29">
        <w:tc>
          <w:tcPr>
            <w:tcW w:w="862" w:type="dxa"/>
            <w:gridSpan w:val="2"/>
          </w:tcPr>
          <w:p w14:paraId="1E9192BF" w14:textId="77777777" w:rsidR="00675C9A" w:rsidRPr="00D72223" w:rsidRDefault="00675C9A" w:rsidP="00675C9A">
            <w:pPr>
              <w:jc w:val="center"/>
            </w:pPr>
            <w:r w:rsidRPr="00D72223">
              <w:t>3.</w:t>
            </w:r>
          </w:p>
        </w:tc>
        <w:tc>
          <w:tcPr>
            <w:tcW w:w="2819" w:type="dxa"/>
            <w:gridSpan w:val="2"/>
          </w:tcPr>
          <w:p w14:paraId="51B75F8F" w14:textId="77777777" w:rsidR="00675C9A" w:rsidRPr="00D72223" w:rsidRDefault="00675C9A" w:rsidP="00675C9A">
            <w:r w:rsidRPr="00D72223">
              <w:t>Improving the Delivery Process</w:t>
            </w:r>
          </w:p>
        </w:tc>
        <w:tc>
          <w:tcPr>
            <w:tcW w:w="6112" w:type="dxa"/>
            <w:gridSpan w:val="2"/>
          </w:tcPr>
          <w:p w14:paraId="195BFA68" w14:textId="6BAF2DF6" w:rsidR="00675C9A" w:rsidRPr="00482D29" w:rsidRDefault="004B6430" w:rsidP="00482D29">
            <w:pPr>
              <w:pStyle w:val="ListParagraph"/>
              <w:numPr>
                <w:ilvl w:val="0"/>
                <w:numId w:val="14"/>
              </w:numPr>
              <w:ind w:left="283" w:hanging="283"/>
              <w:jc w:val="both"/>
              <w:rPr>
                <w:i/>
              </w:rPr>
            </w:pPr>
            <w:r w:rsidRPr="004B6430">
              <w:rPr>
                <w:i/>
              </w:rPr>
              <w:t xml:space="preserve">In partnership with the Kent Developers Group KHG will undertake </w:t>
            </w:r>
            <w:r w:rsidR="00675C9A" w:rsidRPr="004B6430">
              <w:rPr>
                <w:i/>
              </w:rPr>
              <w:t>research and explore how modern methods of construction could accelerate housing delivery</w:t>
            </w:r>
            <w:r w:rsidRPr="004B6430">
              <w:rPr>
                <w:i/>
              </w:rPr>
              <w:t>. This will include exploration and consideration of the to accelerate housing delivery supply with access to an</w:t>
            </w:r>
            <w:r w:rsidR="00675C9A" w:rsidRPr="004B6430">
              <w:rPr>
                <w:i/>
              </w:rPr>
              <w:t xml:space="preserve"> off-site construction factory in Kent</w:t>
            </w:r>
            <w:r w:rsidRPr="004B6430">
              <w:rPr>
                <w:i/>
              </w:rPr>
              <w:t xml:space="preserve">, </w:t>
            </w:r>
            <w:r w:rsidR="00675C9A" w:rsidRPr="004B6430">
              <w:rPr>
                <w:i/>
              </w:rPr>
              <w:t>support</w:t>
            </w:r>
            <w:r w:rsidRPr="004B6430">
              <w:rPr>
                <w:i/>
              </w:rPr>
              <w:t>ed by a confirmed</w:t>
            </w:r>
            <w:r w:rsidR="00203E5B">
              <w:rPr>
                <w:i/>
              </w:rPr>
              <w:t xml:space="preserve"> L</w:t>
            </w:r>
            <w:r w:rsidR="00675C9A" w:rsidRPr="004B6430">
              <w:rPr>
                <w:i/>
              </w:rPr>
              <w:t xml:space="preserve">ocal </w:t>
            </w:r>
            <w:r w:rsidR="00203E5B">
              <w:rPr>
                <w:i/>
              </w:rPr>
              <w:t>A</w:t>
            </w:r>
            <w:r w:rsidR="00675C9A" w:rsidRPr="004B6430">
              <w:rPr>
                <w:i/>
              </w:rPr>
              <w:t xml:space="preserve">uthority and RP </w:t>
            </w:r>
            <w:r w:rsidRPr="004B6430">
              <w:rPr>
                <w:i/>
              </w:rPr>
              <w:t>pipeli</w:t>
            </w:r>
            <w:r w:rsidR="00482D29">
              <w:rPr>
                <w:i/>
              </w:rPr>
              <w:t>ne, through an options appraisal</w:t>
            </w:r>
          </w:p>
        </w:tc>
        <w:tc>
          <w:tcPr>
            <w:tcW w:w="3243" w:type="dxa"/>
            <w:gridSpan w:val="2"/>
          </w:tcPr>
          <w:p w14:paraId="47990C8E" w14:textId="3E09063E" w:rsidR="00675C9A" w:rsidRDefault="00251E26" w:rsidP="00A55E5E">
            <w:r>
              <w:t>Remain engaged with the progress of MMC and direction from Government, through Homes England and other more local groups/bodies (KDG/KPOG).  Use a ‘case study’ approach to share learning and experience to inform exploration of MMC for Kent and Medway.</w:t>
            </w:r>
          </w:p>
          <w:p w14:paraId="5268965F" w14:textId="23F6A15C" w:rsidR="00251E26" w:rsidRPr="00D72223" w:rsidRDefault="00251E26" w:rsidP="00A55E5E"/>
        </w:tc>
        <w:tc>
          <w:tcPr>
            <w:tcW w:w="1662" w:type="dxa"/>
          </w:tcPr>
          <w:p w14:paraId="4F793D48" w14:textId="737BF21E" w:rsidR="00675C9A" w:rsidRPr="00D72223" w:rsidRDefault="00675C9A" w:rsidP="00A55E5E">
            <w:pPr>
              <w:jc w:val="center"/>
            </w:pPr>
          </w:p>
        </w:tc>
      </w:tr>
      <w:tr w:rsidR="00B02067" w:rsidRPr="000A73CC" w14:paraId="06105EEC" w14:textId="77777777" w:rsidTr="00482D29">
        <w:tc>
          <w:tcPr>
            <w:tcW w:w="14698" w:type="dxa"/>
            <w:gridSpan w:val="9"/>
            <w:shd w:val="clear" w:color="auto" w:fill="D9D9D9" w:themeFill="background1" w:themeFillShade="D9"/>
          </w:tcPr>
          <w:p w14:paraId="33761DA0" w14:textId="77777777" w:rsidR="00B02067" w:rsidRDefault="00EF3A29" w:rsidP="00660B9F">
            <w:pPr>
              <w:rPr>
                <w:b/>
                <w:sz w:val="24"/>
              </w:rPr>
            </w:pPr>
            <w:r>
              <w:rPr>
                <w:b/>
                <w:sz w:val="24"/>
              </w:rPr>
              <w:t>THEME FIVE</w:t>
            </w:r>
            <w:r w:rsidR="00B02067">
              <w:rPr>
                <w:b/>
                <w:sz w:val="24"/>
              </w:rPr>
              <w:t xml:space="preserve">: </w:t>
            </w:r>
            <w:r>
              <w:rPr>
                <w:b/>
                <w:sz w:val="24"/>
              </w:rPr>
              <w:t xml:space="preserve">Affordability </w:t>
            </w:r>
          </w:p>
          <w:p w14:paraId="555B40CA" w14:textId="77777777" w:rsidR="00B02067" w:rsidRPr="0063531E" w:rsidRDefault="00B02067" w:rsidP="00660B9F">
            <w:pPr>
              <w:rPr>
                <w:i/>
                <w:sz w:val="24"/>
              </w:rPr>
            </w:pPr>
            <w:r>
              <w:rPr>
                <w:b/>
                <w:sz w:val="24"/>
              </w:rPr>
              <w:t xml:space="preserve">Ambition – </w:t>
            </w:r>
            <w:r>
              <w:rPr>
                <w:i/>
                <w:sz w:val="24"/>
              </w:rPr>
              <w:t>Support the provision of good quality affordable housing across all tenures in Kent and Medway, meeting local housing need and aspiration.</w:t>
            </w:r>
          </w:p>
          <w:p w14:paraId="28D17208" w14:textId="77777777" w:rsidR="00B02067" w:rsidRPr="000A73CC" w:rsidRDefault="00B02067" w:rsidP="00B02067">
            <w:pPr>
              <w:rPr>
                <w:b/>
                <w:sz w:val="24"/>
              </w:rPr>
            </w:pPr>
            <w:r>
              <w:rPr>
                <w:b/>
                <w:sz w:val="24"/>
              </w:rPr>
              <w:t xml:space="preserve">Objective – </w:t>
            </w:r>
            <w:r>
              <w:rPr>
                <w:i/>
                <w:sz w:val="24"/>
              </w:rPr>
              <w:t>To deliver the right type, tenure and location of affordable housing that will meet the identified housing need of Kent and Medway residents, supporting everyone to realise independence and choice with regards to housing.</w:t>
            </w:r>
          </w:p>
        </w:tc>
      </w:tr>
      <w:tr w:rsidR="00B02067" w14:paraId="255E1FC8" w14:textId="77777777" w:rsidTr="00482D29">
        <w:tc>
          <w:tcPr>
            <w:tcW w:w="862" w:type="dxa"/>
            <w:gridSpan w:val="2"/>
            <w:shd w:val="clear" w:color="auto" w:fill="D9D9D9" w:themeFill="background1" w:themeFillShade="D9"/>
          </w:tcPr>
          <w:p w14:paraId="3D16382F" w14:textId="77777777" w:rsidR="00B02067" w:rsidRDefault="00B02067" w:rsidP="00660B9F">
            <w:pPr>
              <w:rPr>
                <w:b/>
                <w:sz w:val="24"/>
              </w:rPr>
            </w:pPr>
            <w:r>
              <w:rPr>
                <w:b/>
                <w:sz w:val="24"/>
              </w:rPr>
              <w:t>Ref</w:t>
            </w:r>
          </w:p>
        </w:tc>
        <w:tc>
          <w:tcPr>
            <w:tcW w:w="2819" w:type="dxa"/>
            <w:gridSpan w:val="2"/>
            <w:shd w:val="clear" w:color="auto" w:fill="D9D9D9" w:themeFill="background1" w:themeFillShade="D9"/>
          </w:tcPr>
          <w:p w14:paraId="1876429C" w14:textId="77777777" w:rsidR="00B02067" w:rsidRDefault="00B02067" w:rsidP="00660B9F">
            <w:pPr>
              <w:rPr>
                <w:b/>
                <w:sz w:val="24"/>
              </w:rPr>
            </w:pPr>
            <w:r>
              <w:rPr>
                <w:b/>
                <w:sz w:val="24"/>
              </w:rPr>
              <w:t>Action</w:t>
            </w:r>
          </w:p>
        </w:tc>
        <w:tc>
          <w:tcPr>
            <w:tcW w:w="6112" w:type="dxa"/>
            <w:gridSpan w:val="2"/>
            <w:shd w:val="clear" w:color="auto" w:fill="D9D9D9" w:themeFill="background1" w:themeFillShade="D9"/>
          </w:tcPr>
          <w:p w14:paraId="0BE624DB" w14:textId="77777777" w:rsidR="00B02067" w:rsidRDefault="00B02067" w:rsidP="00660B9F">
            <w:pPr>
              <w:rPr>
                <w:b/>
                <w:sz w:val="24"/>
              </w:rPr>
            </w:pPr>
            <w:r>
              <w:rPr>
                <w:b/>
                <w:sz w:val="24"/>
              </w:rPr>
              <w:t xml:space="preserve">How </w:t>
            </w:r>
          </w:p>
        </w:tc>
        <w:tc>
          <w:tcPr>
            <w:tcW w:w="3243" w:type="dxa"/>
            <w:gridSpan w:val="2"/>
            <w:shd w:val="clear" w:color="auto" w:fill="D9D9D9" w:themeFill="background1" w:themeFillShade="D9"/>
          </w:tcPr>
          <w:p w14:paraId="1720924B" w14:textId="77777777" w:rsidR="00B02067" w:rsidRDefault="00B02067" w:rsidP="00660B9F">
            <w:pPr>
              <w:rPr>
                <w:b/>
                <w:sz w:val="24"/>
              </w:rPr>
            </w:pPr>
            <w:r>
              <w:rPr>
                <w:b/>
                <w:sz w:val="24"/>
              </w:rPr>
              <w:t>Who</w:t>
            </w:r>
          </w:p>
        </w:tc>
        <w:tc>
          <w:tcPr>
            <w:tcW w:w="1662" w:type="dxa"/>
            <w:shd w:val="clear" w:color="auto" w:fill="D9D9D9" w:themeFill="background1" w:themeFillShade="D9"/>
          </w:tcPr>
          <w:p w14:paraId="57990B94" w14:textId="77777777" w:rsidR="00B02067" w:rsidRDefault="00B02067" w:rsidP="00660B9F">
            <w:pPr>
              <w:rPr>
                <w:b/>
                <w:sz w:val="24"/>
              </w:rPr>
            </w:pPr>
            <w:r>
              <w:rPr>
                <w:b/>
                <w:sz w:val="24"/>
              </w:rPr>
              <w:t>Timeframe</w:t>
            </w:r>
          </w:p>
        </w:tc>
      </w:tr>
      <w:tr w:rsidR="00660B9F" w:rsidRPr="00D72223" w14:paraId="21C03922" w14:textId="77777777" w:rsidTr="00482D29">
        <w:tc>
          <w:tcPr>
            <w:tcW w:w="862" w:type="dxa"/>
            <w:gridSpan w:val="2"/>
          </w:tcPr>
          <w:p w14:paraId="26F60E87" w14:textId="77777777" w:rsidR="00660B9F" w:rsidRPr="00D72223" w:rsidRDefault="00660B9F" w:rsidP="00660B9F">
            <w:pPr>
              <w:jc w:val="center"/>
            </w:pPr>
            <w:r w:rsidRPr="00D72223">
              <w:t>1.</w:t>
            </w:r>
          </w:p>
        </w:tc>
        <w:tc>
          <w:tcPr>
            <w:tcW w:w="2819" w:type="dxa"/>
            <w:gridSpan w:val="2"/>
          </w:tcPr>
          <w:p w14:paraId="489826D6" w14:textId="77777777" w:rsidR="00660B9F" w:rsidRPr="00D72223" w:rsidRDefault="00660B9F" w:rsidP="00660B9F">
            <w:r w:rsidRPr="00D72223">
              <w:t>Ensuring Affordable Housing is Affordable</w:t>
            </w:r>
          </w:p>
        </w:tc>
        <w:tc>
          <w:tcPr>
            <w:tcW w:w="6112" w:type="dxa"/>
            <w:gridSpan w:val="2"/>
          </w:tcPr>
          <w:p w14:paraId="13C38349" w14:textId="73B83447" w:rsidR="00190272" w:rsidRPr="00482D29" w:rsidRDefault="00660B9F" w:rsidP="00482D29">
            <w:pPr>
              <w:pStyle w:val="ListParagraph"/>
              <w:numPr>
                <w:ilvl w:val="0"/>
                <w:numId w:val="17"/>
              </w:numPr>
              <w:ind w:left="283" w:hanging="283"/>
              <w:jc w:val="both"/>
              <w:rPr>
                <w:i/>
              </w:rPr>
            </w:pPr>
            <w:r>
              <w:rPr>
                <w:i/>
              </w:rPr>
              <w:t>KHG will facilitate the r</w:t>
            </w:r>
            <w:r w:rsidRPr="00660B9F">
              <w:rPr>
                <w:i/>
              </w:rPr>
              <w:t>eview and research</w:t>
            </w:r>
            <w:r>
              <w:rPr>
                <w:i/>
              </w:rPr>
              <w:t xml:space="preserve"> of</w:t>
            </w:r>
            <w:r w:rsidRPr="00660B9F">
              <w:rPr>
                <w:i/>
              </w:rPr>
              <w:t xml:space="preserve"> intermediate housing products, including intermediate market rent and shared ownership (and issues such as </w:t>
            </w:r>
            <w:r>
              <w:rPr>
                <w:i/>
              </w:rPr>
              <w:t xml:space="preserve">stair casing and </w:t>
            </w:r>
            <w:r w:rsidR="00D92CC3">
              <w:rPr>
                <w:i/>
              </w:rPr>
              <w:t>mortgage ability</w:t>
            </w:r>
            <w:r>
              <w:rPr>
                <w:i/>
              </w:rPr>
              <w:t xml:space="preserve">) with aim </w:t>
            </w:r>
            <w:r w:rsidRPr="00660B9F">
              <w:rPr>
                <w:i/>
              </w:rPr>
              <w:t>to ensure what is being developed is the right type of intermediate housing and meeting</w:t>
            </w:r>
            <w:r>
              <w:rPr>
                <w:i/>
              </w:rPr>
              <w:t xml:space="preserve"> local housing need</w:t>
            </w:r>
          </w:p>
        </w:tc>
        <w:tc>
          <w:tcPr>
            <w:tcW w:w="3243" w:type="dxa"/>
            <w:gridSpan w:val="2"/>
          </w:tcPr>
          <w:p w14:paraId="78E11034" w14:textId="77777777" w:rsidR="00660B9F" w:rsidRDefault="00A55E5E" w:rsidP="00A55E5E">
            <w:r>
              <w:t xml:space="preserve">Ensure that housing delivery protocols, including the Rural Housing Protocol enable delivery of affordable housing for local people with an identified need.  </w:t>
            </w:r>
          </w:p>
          <w:p w14:paraId="34985C4D" w14:textId="5CD2B7B2" w:rsidR="00A55E5E" w:rsidRDefault="00A55E5E" w:rsidP="00A55E5E">
            <w:r>
              <w:t xml:space="preserve">Keep </w:t>
            </w:r>
            <w:r w:rsidR="00251E26">
              <w:t xml:space="preserve">up to date with all available investment funding </w:t>
            </w:r>
            <w:r>
              <w:t xml:space="preserve">from Government departments </w:t>
            </w:r>
            <w:r w:rsidR="00251E26">
              <w:t>and agencies.</w:t>
            </w:r>
          </w:p>
          <w:p w14:paraId="247A2650" w14:textId="037F09C8" w:rsidR="00432AC6" w:rsidRDefault="00432AC6" w:rsidP="00A55E5E">
            <w:r>
              <w:t>Promotion of delivery of social rent accommodation.  Recognising the connection between what is delivered and the work around the viability protocol.</w:t>
            </w:r>
          </w:p>
          <w:p w14:paraId="11C95E31" w14:textId="5317B5BF" w:rsidR="00A55E5E" w:rsidRPr="00D72223" w:rsidRDefault="00A55E5E" w:rsidP="00A55E5E">
            <w:r>
              <w:t>Continue engagement with SELEP and Homes England to understand regional and national priorities around housing products</w:t>
            </w:r>
            <w:r w:rsidR="00432AC6">
              <w:t>.</w:t>
            </w:r>
          </w:p>
        </w:tc>
        <w:tc>
          <w:tcPr>
            <w:tcW w:w="1662" w:type="dxa"/>
          </w:tcPr>
          <w:p w14:paraId="39483258" w14:textId="77777777" w:rsidR="00660B9F" w:rsidRPr="00D72223" w:rsidRDefault="00660B9F" w:rsidP="00482D29"/>
        </w:tc>
      </w:tr>
    </w:tbl>
    <w:p w14:paraId="3BAFE00E" w14:textId="77777777" w:rsidR="00B02067" w:rsidRDefault="00B02067" w:rsidP="00304B46">
      <w:pPr>
        <w:spacing w:after="200" w:line="276" w:lineRule="auto"/>
      </w:pPr>
    </w:p>
    <w:sectPr w:rsidR="00B02067" w:rsidSect="00FB69EF">
      <w:headerReference w:type="even" r:id="rId9"/>
      <w:headerReference w:type="default" r:id="rId10"/>
      <w:footerReference w:type="even" r:id="rId11"/>
      <w:footerReference w:type="default" r:id="rId12"/>
      <w:headerReference w:type="first" r:id="rId13"/>
      <w:footerReference w:type="firs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3E4832" w14:textId="77777777" w:rsidR="00831EA0" w:rsidRDefault="00831EA0" w:rsidP="00EF3A29">
      <w:pPr>
        <w:spacing w:after="0" w:line="240" w:lineRule="auto"/>
      </w:pPr>
      <w:r>
        <w:separator/>
      </w:r>
    </w:p>
  </w:endnote>
  <w:endnote w:type="continuationSeparator" w:id="0">
    <w:p w14:paraId="4E756DB0" w14:textId="77777777" w:rsidR="00831EA0" w:rsidRDefault="00831EA0" w:rsidP="00EF3A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A11D0" w14:textId="77777777" w:rsidR="00A55E5E" w:rsidRDefault="00A55E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05482089"/>
      <w:docPartObj>
        <w:docPartGallery w:val="Page Numbers (Bottom of Page)"/>
        <w:docPartUnique/>
      </w:docPartObj>
    </w:sdtPr>
    <w:sdtEndPr>
      <w:rPr>
        <w:noProof/>
      </w:rPr>
    </w:sdtEndPr>
    <w:sdtContent>
      <w:p w14:paraId="7FFED12A" w14:textId="1355C609" w:rsidR="00ED08D9" w:rsidRDefault="00ED08D9">
        <w:pPr>
          <w:pStyle w:val="Footer"/>
          <w:jc w:val="right"/>
        </w:pPr>
        <w:r>
          <w:fldChar w:fldCharType="begin"/>
        </w:r>
        <w:r>
          <w:instrText xml:space="preserve"> PAGE   \* MERGEFORMAT </w:instrText>
        </w:r>
        <w:r>
          <w:fldChar w:fldCharType="separate"/>
        </w:r>
        <w:r w:rsidR="0036617F">
          <w:rPr>
            <w:noProof/>
          </w:rPr>
          <w:t>1</w:t>
        </w:r>
        <w:r>
          <w:rPr>
            <w:noProof/>
          </w:rPr>
          <w:fldChar w:fldCharType="end"/>
        </w:r>
      </w:p>
    </w:sdtContent>
  </w:sdt>
  <w:p w14:paraId="6DAB3BFB" w14:textId="77777777" w:rsidR="00ED08D9" w:rsidRDefault="00ED08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6C3B7" w14:textId="77777777" w:rsidR="00A55E5E" w:rsidRDefault="00A55E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BCA62D" w14:textId="77777777" w:rsidR="00831EA0" w:rsidRDefault="00831EA0" w:rsidP="00EF3A29">
      <w:pPr>
        <w:spacing w:after="0" w:line="240" w:lineRule="auto"/>
      </w:pPr>
      <w:r>
        <w:separator/>
      </w:r>
    </w:p>
  </w:footnote>
  <w:footnote w:type="continuationSeparator" w:id="0">
    <w:p w14:paraId="16FC6FD6" w14:textId="77777777" w:rsidR="00831EA0" w:rsidRDefault="00831EA0" w:rsidP="00EF3A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F3FB12" w14:textId="77777777" w:rsidR="00A55E5E" w:rsidRDefault="00A55E5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C0F8F1" w14:textId="32BF402D" w:rsidR="00ED08D9" w:rsidRPr="00B15EF1" w:rsidRDefault="0036617F" w:rsidP="00B15EF1">
    <w:pPr>
      <w:ind w:left="-567"/>
      <w:rPr>
        <w:b/>
        <w:sz w:val="24"/>
        <w:u w:val="single"/>
      </w:rPr>
    </w:pPr>
    <w:sdt>
      <w:sdtPr>
        <w:rPr>
          <w:b/>
          <w:sz w:val="24"/>
        </w:rPr>
        <w:id w:val="-1302379330"/>
        <w:docPartObj>
          <w:docPartGallery w:val="Watermarks"/>
          <w:docPartUnique/>
        </w:docPartObj>
      </w:sdtPr>
      <w:sdtEndPr/>
      <w:sdtContent>
        <w:r>
          <w:rPr>
            <w:b/>
            <w:noProof/>
            <w:sz w:val="24"/>
            <w:lang w:val="en-US"/>
          </w:rPr>
          <w:pict w14:anchorId="7B04010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left:0;text-align:left;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D07B6">
      <w:rPr>
        <w:b/>
        <w:sz w:val="24"/>
      </w:rPr>
      <w:t>DRAFT HSEG Action Plan – (2020-2021?)</w:t>
    </w:r>
  </w:p>
  <w:p w14:paraId="601B0ABE" w14:textId="77777777" w:rsidR="00ED08D9" w:rsidRDefault="00ED08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887BD4" w14:textId="77777777" w:rsidR="00A55E5E" w:rsidRDefault="00A55E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B5558"/>
    <w:multiLevelType w:val="hybridMultilevel"/>
    <w:tmpl w:val="D2905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CE1903"/>
    <w:multiLevelType w:val="hybridMultilevel"/>
    <w:tmpl w:val="9CE68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403B7A"/>
    <w:multiLevelType w:val="hybridMultilevel"/>
    <w:tmpl w:val="E126F338"/>
    <w:lvl w:ilvl="0" w:tplc="08090001">
      <w:start w:val="1"/>
      <w:numFmt w:val="bullet"/>
      <w:lvlText w:val=""/>
      <w:lvlJc w:val="left"/>
      <w:pPr>
        <w:ind w:left="283" w:hanging="360"/>
      </w:pPr>
      <w:rPr>
        <w:rFonts w:ascii="Symbol" w:hAnsi="Symbol" w:hint="default"/>
      </w:rPr>
    </w:lvl>
    <w:lvl w:ilvl="1" w:tplc="08090003" w:tentative="1">
      <w:start w:val="1"/>
      <w:numFmt w:val="bullet"/>
      <w:lvlText w:val="o"/>
      <w:lvlJc w:val="left"/>
      <w:pPr>
        <w:ind w:left="1003" w:hanging="360"/>
      </w:pPr>
      <w:rPr>
        <w:rFonts w:ascii="Courier New" w:hAnsi="Courier New" w:cs="Courier New" w:hint="default"/>
      </w:rPr>
    </w:lvl>
    <w:lvl w:ilvl="2" w:tplc="08090005" w:tentative="1">
      <w:start w:val="1"/>
      <w:numFmt w:val="bullet"/>
      <w:lvlText w:val=""/>
      <w:lvlJc w:val="left"/>
      <w:pPr>
        <w:ind w:left="1723" w:hanging="360"/>
      </w:pPr>
      <w:rPr>
        <w:rFonts w:ascii="Wingdings" w:hAnsi="Wingdings" w:hint="default"/>
      </w:rPr>
    </w:lvl>
    <w:lvl w:ilvl="3" w:tplc="08090001" w:tentative="1">
      <w:start w:val="1"/>
      <w:numFmt w:val="bullet"/>
      <w:lvlText w:val=""/>
      <w:lvlJc w:val="left"/>
      <w:pPr>
        <w:ind w:left="2443" w:hanging="360"/>
      </w:pPr>
      <w:rPr>
        <w:rFonts w:ascii="Symbol" w:hAnsi="Symbol" w:hint="default"/>
      </w:rPr>
    </w:lvl>
    <w:lvl w:ilvl="4" w:tplc="08090003" w:tentative="1">
      <w:start w:val="1"/>
      <w:numFmt w:val="bullet"/>
      <w:lvlText w:val="o"/>
      <w:lvlJc w:val="left"/>
      <w:pPr>
        <w:ind w:left="3163" w:hanging="360"/>
      </w:pPr>
      <w:rPr>
        <w:rFonts w:ascii="Courier New" w:hAnsi="Courier New" w:cs="Courier New" w:hint="default"/>
      </w:rPr>
    </w:lvl>
    <w:lvl w:ilvl="5" w:tplc="08090005" w:tentative="1">
      <w:start w:val="1"/>
      <w:numFmt w:val="bullet"/>
      <w:lvlText w:val=""/>
      <w:lvlJc w:val="left"/>
      <w:pPr>
        <w:ind w:left="3883" w:hanging="360"/>
      </w:pPr>
      <w:rPr>
        <w:rFonts w:ascii="Wingdings" w:hAnsi="Wingdings" w:hint="default"/>
      </w:rPr>
    </w:lvl>
    <w:lvl w:ilvl="6" w:tplc="08090001" w:tentative="1">
      <w:start w:val="1"/>
      <w:numFmt w:val="bullet"/>
      <w:lvlText w:val=""/>
      <w:lvlJc w:val="left"/>
      <w:pPr>
        <w:ind w:left="4603" w:hanging="360"/>
      </w:pPr>
      <w:rPr>
        <w:rFonts w:ascii="Symbol" w:hAnsi="Symbol" w:hint="default"/>
      </w:rPr>
    </w:lvl>
    <w:lvl w:ilvl="7" w:tplc="08090003" w:tentative="1">
      <w:start w:val="1"/>
      <w:numFmt w:val="bullet"/>
      <w:lvlText w:val="o"/>
      <w:lvlJc w:val="left"/>
      <w:pPr>
        <w:ind w:left="5323" w:hanging="360"/>
      </w:pPr>
      <w:rPr>
        <w:rFonts w:ascii="Courier New" w:hAnsi="Courier New" w:cs="Courier New" w:hint="default"/>
      </w:rPr>
    </w:lvl>
    <w:lvl w:ilvl="8" w:tplc="08090005" w:tentative="1">
      <w:start w:val="1"/>
      <w:numFmt w:val="bullet"/>
      <w:lvlText w:val=""/>
      <w:lvlJc w:val="left"/>
      <w:pPr>
        <w:ind w:left="6043" w:hanging="360"/>
      </w:pPr>
      <w:rPr>
        <w:rFonts w:ascii="Wingdings" w:hAnsi="Wingdings" w:hint="default"/>
      </w:rPr>
    </w:lvl>
  </w:abstractNum>
  <w:abstractNum w:abstractNumId="3" w15:restartNumberingAfterBreak="0">
    <w:nsid w:val="139C68FD"/>
    <w:multiLevelType w:val="hybridMultilevel"/>
    <w:tmpl w:val="CCF8E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1F0E83"/>
    <w:multiLevelType w:val="hybridMultilevel"/>
    <w:tmpl w:val="2064E6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DC3B0B"/>
    <w:multiLevelType w:val="hybridMultilevel"/>
    <w:tmpl w:val="A32C4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F4530A7"/>
    <w:multiLevelType w:val="hybridMultilevel"/>
    <w:tmpl w:val="649E8856"/>
    <w:lvl w:ilvl="0" w:tplc="D31217DE">
      <w:start w:val="1"/>
      <w:numFmt w:val="bullet"/>
      <w:lvlText w:val=""/>
      <w:lvlJc w:val="left"/>
      <w:pPr>
        <w:tabs>
          <w:tab w:val="num" w:pos="720"/>
        </w:tabs>
        <w:ind w:left="720" w:hanging="360"/>
      </w:pPr>
      <w:rPr>
        <w:rFonts w:ascii="Wingdings" w:hAnsi="Wingdings" w:hint="default"/>
      </w:rPr>
    </w:lvl>
    <w:lvl w:ilvl="1" w:tplc="1BAAA40A" w:tentative="1">
      <w:start w:val="1"/>
      <w:numFmt w:val="bullet"/>
      <w:lvlText w:val=""/>
      <w:lvlJc w:val="left"/>
      <w:pPr>
        <w:tabs>
          <w:tab w:val="num" w:pos="1440"/>
        </w:tabs>
        <w:ind w:left="1440" w:hanging="360"/>
      </w:pPr>
      <w:rPr>
        <w:rFonts w:ascii="Wingdings" w:hAnsi="Wingdings" w:hint="default"/>
      </w:rPr>
    </w:lvl>
    <w:lvl w:ilvl="2" w:tplc="C40A47B2" w:tentative="1">
      <w:start w:val="1"/>
      <w:numFmt w:val="bullet"/>
      <w:lvlText w:val=""/>
      <w:lvlJc w:val="left"/>
      <w:pPr>
        <w:tabs>
          <w:tab w:val="num" w:pos="2160"/>
        </w:tabs>
        <w:ind w:left="2160" w:hanging="360"/>
      </w:pPr>
      <w:rPr>
        <w:rFonts w:ascii="Wingdings" w:hAnsi="Wingdings" w:hint="default"/>
      </w:rPr>
    </w:lvl>
    <w:lvl w:ilvl="3" w:tplc="D7601456" w:tentative="1">
      <w:start w:val="1"/>
      <w:numFmt w:val="bullet"/>
      <w:lvlText w:val=""/>
      <w:lvlJc w:val="left"/>
      <w:pPr>
        <w:tabs>
          <w:tab w:val="num" w:pos="2880"/>
        </w:tabs>
        <w:ind w:left="2880" w:hanging="360"/>
      </w:pPr>
      <w:rPr>
        <w:rFonts w:ascii="Wingdings" w:hAnsi="Wingdings" w:hint="default"/>
      </w:rPr>
    </w:lvl>
    <w:lvl w:ilvl="4" w:tplc="AD703870" w:tentative="1">
      <w:start w:val="1"/>
      <w:numFmt w:val="bullet"/>
      <w:lvlText w:val=""/>
      <w:lvlJc w:val="left"/>
      <w:pPr>
        <w:tabs>
          <w:tab w:val="num" w:pos="3600"/>
        </w:tabs>
        <w:ind w:left="3600" w:hanging="360"/>
      </w:pPr>
      <w:rPr>
        <w:rFonts w:ascii="Wingdings" w:hAnsi="Wingdings" w:hint="default"/>
      </w:rPr>
    </w:lvl>
    <w:lvl w:ilvl="5" w:tplc="7FCE86BA" w:tentative="1">
      <w:start w:val="1"/>
      <w:numFmt w:val="bullet"/>
      <w:lvlText w:val=""/>
      <w:lvlJc w:val="left"/>
      <w:pPr>
        <w:tabs>
          <w:tab w:val="num" w:pos="4320"/>
        </w:tabs>
        <w:ind w:left="4320" w:hanging="360"/>
      </w:pPr>
      <w:rPr>
        <w:rFonts w:ascii="Wingdings" w:hAnsi="Wingdings" w:hint="default"/>
      </w:rPr>
    </w:lvl>
    <w:lvl w:ilvl="6" w:tplc="19368176" w:tentative="1">
      <w:start w:val="1"/>
      <w:numFmt w:val="bullet"/>
      <w:lvlText w:val=""/>
      <w:lvlJc w:val="left"/>
      <w:pPr>
        <w:tabs>
          <w:tab w:val="num" w:pos="5040"/>
        </w:tabs>
        <w:ind w:left="5040" w:hanging="360"/>
      </w:pPr>
      <w:rPr>
        <w:rFonts w:ascii="Wingdings" w:hAnsi="Wingdings" w:hint="default"/>
      </w:rPr>
    </w:lvl>
    <w:lvl w:ilvl="7" w:tplc="34EEE030" w:tentative="1">
      <w:start w:val="1"/>
      <w:numFmt w:val="bullet"/>
      <w:lvlText w:val=""/>
      <w:lvlJc w:val="left"/>
      <w:pPr>
        <w:tabs>
          <w:tab w:val="num" w:pos="5760"/>
        </w:tabs>
        <w:ind w:left="5760" w:hanging="360"/>
      </w:pPr>
      <w:rPr>
        <w:rFonts w:ascii="Wingdings" w:hAnsi="Wingdings" w:hint="default"/>
      </w:rPr>
    </w:lvl>
    <w:lvl w:ilvl="8" w:tplc="2528B9C2"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43214EE"/>
    <w:multiLevelType w:val="hybridMultilevel"/>
    <w:tmpl w:val="61BCDDA6"/>
    <w:lvl w:ilvl="0" w:tplc="08090001">
      <w:start w:val="1"/>
      <w:numFmt w:val="bullet"/>
      <w:lvlText w:val=""/>
      <w:lvlJc w:val="left"/>
      <w:pPr>
        <w:ind w:left="283" w:hanging="360"/>
      </w:pPr>
      <w:rPr>
        <w:rFonts w:ascii="Symbol" w:hAnsi="Symbol" w:hint="default"/>
      </w:rPr>
    </w:lvl>
    <w:lvl w:ilvl="1" w:tplc="08090003" w:tentative="1">
      <w:start w:val="1"/>
      <w:numFmt w:val="bullet"/>
      <w:lvlText w:val="o"/>
      <w:lvlJc w:val="left"/>
      <w:pPr>
        <w:ind w:left="1003" w:hanging="360"/>
      </w:pPr>
      <w:rPr>
        <w:rFonts w:ascii="Courier New" w:hAnsi="Courier New" w:cs="Courier New" w:hint="default"/>
      </w:rPr>
    </w:lvl>
    <w:lvl w:ilvl="2" w:tplc="08090005" w:tentative="1">
      <w:start w:val="1"/>
      <w:numFmt w:val="bullet"/>
      <w:lvlText w:val=""/>
      <w:lvlJc w:val="left"/>
      <w:pPr>
        <w:ind w:left="1723" w:hanging="360"/>
      </w:pPr>
      <w:rPr>
        <w:rFonts w:ascii="Wingdings" w:hAnsi="Wingdings" w:hint="default"/>
      </w:rPr>
    </w:lvl>
    <w:lvl w:ilvl="3" w:tplc="08090001" w:tentative="1">
      <w:start w:val="1"/>
      <w:numFmt w:val="bullet"/>
      <w:lvlText w:val=""/>
      <w:lvlJc w:val="left"/>
      <w:pPr>
        <w:ind w:left="2443" w:hanging="360"/>
      </w:pPr>
      <w:rPr>
        <w:rFonts w:ascii="Symbol" w:hAnsi="Symbol" w:hint="default"/>
      </w:rPr>
    </w:lvl>
    <w:lvl w:ilvl="4" w:tplc="08090003" w:tentative="1">
      <w:start w:val="1"/>
      <w:numFmt w:val="bullet"/>
      <w:lvlText w:val="o"/>
      <w:lvlJc w:val="left"/>
      <w:pPr>
        <w:ind w:left="3163" w:hanging="360"/>
      </w:pPr>
      <w:rPr>
        <w:rFonts w:ascii="Courier New" w:hAnsi="Courier New" w:cs="Courier New" w:hint="default"/>
      </w:rPr>
    </w:lvl>
    <w:lvl w:ilvl="5" w:tplc="08090005" w:tentative="1">
      <w:start w:val="1"/>
      <w:numFmt w:val="bullet"/>
      <w:lvlText w:val=""/>
      <w:lvlJc w:val="left"/>
      <w:pPr>
        <w:ind w:left="3883" w:hanging="360"/>
      </w:pPr>
      <w:rPr>
        <w:rFonts w:ascii="Wingdings" w:hAnsi="Wingdings" w:hint="default"/>
      </w:rPr>
    </w:lvl>
    <w:lvl w:ilvl="6" w:tplc="08090001" w:tentative="1">
      <w:start w:val="1"/>
      <w:numFmt w:val="bullet"/>
      <w:lvlText w:val=""/>
      <w:lvlJc w:val="left"/>
      <w:pPr>
        <w:ind w:left="4603" w:hanging="360"/>
      </w:pPr>
      <w:rPr>
        <w:rFonts w:ascii="Symbol" w:hAnsi="Symbol" w:hint="default"/>
      </w:rPr>
    </w:lvl>
    <w:lvl w:ilvl="7" w:tplc="08090003" w:tentative="1">
      <w:start w:val="1"/>
      <w:numFmt w:val="bullet"/>
      <w:lvlText w:val="o"/>
      <w:lvlJc w:val="left"/>
      <w:pPr>
        <w:ind w:left="5323" w:hanging="360"/>
      </w:pPr>
      <w:rPr>
        <w:rFonts w:ascii="Courier New" w:hAnsi="Courier New" w:cs="Courier New" w:hint="default"/>
      </w:rPr>
    </w:lvl>
    <w:lvl w:ilvl="8" w:tplc="08090005" w:tentative="1">
      <w:start w:val="1"/>
      <w:numFmt w:val="bullet"/>
      <w:lvlText w:val=""/>
      <w:lvlJc w:val="left"/>
      <w:pPr>
        <w:ind w:left="6043" w:hanging="360"/>
      </w:pPr>
      <w:rPr>
        <w:rFonts w:ascii="Wingdings" w:hAnsi="Wingdings" w:hint="default"/>
      </w:rPr>
    </w:lvl>
  </w:abstractNum>
  <w:abstractNum w:abstractNumId="8" w15:restartNumberingAfterBreak="0">
    <w:nsid w:val="34BA053F"/>
    <w:multiLevelType w:val="hybridMultilevel"/>
    <w:tmpl w:val="D5FEF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941BC2"/>
    <w:multiLevelType w:val="hybridMultilevel"/>
    <w:tmpl w:val="373680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70525"/>
    <w:multiLevelType w:val="hybridMultilevel"/>
    <w:tmpl w:val="FFA2A6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A1C07FF"/>
    <w:multiLevelType w:val="hybridMultilevel"/>
    <w:tmpl w:val="F55A2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8B0D0C"/>
    <w:multiLevelType w:val="hybridMultilevel"/>
    <w:tmpl w:val="52725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B91331"/>
    <w:multiLevelType w:val="hybridMultilevel"/>
    <w:tmpl w:val="D2966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0106C68"/>
    <w:multiLevelType w:val="hybridMultilevel"/>
    <w:tmpl w:val="4FD65D66"/>
    <w:lvl w:ilvl="0" w:tplc="08090001">
      <w:start w:val="1"/>
      <w:numFmt w:val="bullet"/>
      <w:lvlText w:val=""/>
      <w:lvlJc w:val="left"/>
      <w:pPr>
        <w:ind w:left="283" w:hanging="360"/>
      </w:pPr>
      <w:rPr>
        <w:rFonts w:ascii="Symbol" w:hAnsi="Symbol" w:hint="default"/>
      </w:rPr>
    </w:lvl>
    <w:lvl w:ilvl="1" w:tplc="08090003" w:tentative="1">
      <w:start w:val="1"/>
      <w:numFmt w:val="bullet"/>
      <w:lvlText w:val="o"/>
      <w:lvlJc w:val="left"/>
      <w:pPr>
        <w:ind w:left="1003" w:hanging="360"/>
      </w:pPr>
      <w:rPr>
        <w:rFonts w:ascii="Courier New" w:hAnsi="Courier New" w:cs="Courier New" w:hint="default"/>
      </w:rPr>
    </w:lvl>
    <w:lvl w:ilvl="2" w:tplc="08090005" w:tentative="1">
      <w:start w:val="1"/>
      <w:numFmt w:val="bullet"/>
      <w:lvlText w:val=""/>
      <w:lvlJc w:val="left"/>
      <w:pPr>
        <w:ind w:left="1723" w:hanging="360"/>
      </w:pPr>
      <w:rPr>
        <w:rFonts w:ascii="Wingdings" w:hAnsi="Wingdings" w:hint="default"/>
      </w:rPr>
    </w:lvl>
    <w:lvl w:ilvl="3" w:tplc="08090001" w:tentative="1">
      <w:start w:val="1"/>
      <w:numFmt w:val="bullet"/>
      <w:lvlText w:val=""/>
      <w:lvlJc w:val="left"/>
      <w:pPr>
        <w:ind w:left="2443" w:hanging="360"/>
      </w:pPr>
      <w:rPr>
        <w:rFonts w:ascii="Symbol" w:hAnsi="Symbol" w:hint="default"/>
      </w:rPr>
    </w:lvl>
    <w:lvl w:ilvl="4" w:tplc="08090003" w:tentative="1">
      <w:start w:val="1"/>
      <w:numFmt w:val="bullet"/>
      <w:lvlText w:val="o"/>
      <w:lvlJc w:val="left"/>
      <w:pPr>
        <w:ind w:left="3163" w:hanging="360"/>
      </w:pPr>
      <w:rPr>
        <w:rFonts w:ascii="Courier New" w:hAnsi="Courier New" w:cs="Courier New" w:hint="default"/>
      </w:rPr>
    </w:lvl>
    <w:lvl w:ilvl="5" w:tplc="08090005" w:tentative="1">
      <w:start w:val="1"/>
      <w:numFmt w:val="bullet"/>
      <w:lvlText w:val=""/>
      <w:lvlJc w:val="left"/>
      <w:pPr>
        <w:ind w:left="3883" w:hanging="360"/>
      </w:pPr>
      <w:rPr>
        <w:rFonts w:ascii="Wingdings" w:hAnsi="Wingdings" w:hint="default"/>
      </w:rPr>
    </w:lvl>
    <w:lvl w:ilvl="6" w:tplc="08090001" w:tentative="1">
      <w:start w:val="1"/>
      <w:numFmt w:val="bullet"/>
      <w:lvlText w:val=""/>
      <w:lvlJc w:val="left"/>
      <w:pPr>
        <w:ind w:left="4603" w:hanging="360"/>
      </w:pPr>
      <w:rPr>
        <w:rFonts w:ascii="Symbol" w:hAnsi="Symbol" w:hint="default"/>
      </w:rPr>
    </w:lvl>
    <w:lvl w:ilvl="7" w:tplc="08090003" w:tentative="1">
      <w:start w:val="1"/>
      <w:numFmt w:val="bullet"/>
      <w:lvlText w:val="o"/>
      <w:lvlJc w:val="left"/>
      <w:pPr>
        <w:ind w:left="5323" w:hanging="360"/>
      </w:pPr>
      <w:rPr>
        <w:rFonts w:ascii="Courier New" w:hAnsi="Courier New" w:cs="Courier New" w:hint="default"/>
      </w:rPr>
    </w:lvl>
    <w:lvl w:ilvl="8" w:tplc="08090005" w:tentative="1">
      <w:start w:val="1"/>
      <w:numFmt w:val="bullet"/>
      <w:lvlText w:val=""/>
      <w:lvlJc w:val="left"/>
      <w:pPr>
        <w:ind w:left="6043" w:hanging="360"/>
      </w:pPr>
      <w:rPr>
        <w:rFonts w:ascii="Wingdings" w:hAnsi="Wingdings" w:hint="default"/>
      </w:rPr>
    </w:lvl>
  </w:abstractNum>
  <w:abstractNum w:abstractNumId="15" w15:restartNumberingAfterBreak="0">
    <w:nsid w:val="41DD79CA"/>
    <w:multiLevelType w:val="hybridMultilevel"/>
    <w:tmpl w:val="0D7CC61A"/>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6" w15:restartNumberingAfterBreak="0">
    <w:nsid w:val="46BF56F6"/>
    <w:multiLevelType w:val="hybridMultilevel"/>
    <w:tmpl w:val="414E9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C081A24"/>
    <w:multiLevelType w:val="hybridMultilevel"/>
    <w:tmpl w:val="13B6A260"/>
    <w:lvl w:ilvl="0" w:tplc="08090001">
      <w:start w:val="1"/>
      <w:numFmt w:val="bullet"/>
      <w:lvlText w:val=""/>
      <w:lvlJc w:val="left"/>
      <w:pPr>
        <w:ind w:left="1003" w:hanging="360"/>
      </w:pPr>
      <w:rPr>
        <w:rFonts w:ascii="Symbol" w:hAnsi="Symbo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18" w15:restartNumberingAfterBreak="0">
    <w:nsid w:val="55DC33D9"/>
    <w:multiLevelType w:val="hybridMultilevel"/>
    <w:tmpl w:val="6D385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FCB2D07"/>
    <w:multiLevelType w:val="hybridMultilevel"/>
    <w:tmpl w:val="40509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17C1BC5"/>
    <w:multiLevelType w:val="hybridMultilevel"/>
    <w:tmpl w:val="22E8994E"/>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8223F79"/>
    <w:multiLevelType w:val="hybridMultilevel"/>
    <w:tmpl w:val="AE7EA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116F47"/>
    <w:multiLevelType w:val="hybridMultilevel"/>
    <w:tmpl w:val="814CA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CBE12BB"/>
    <w:multiLevelType w:val="hybridMultilevel"/>
    <w:tmpl w:val="76EA6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965BA3"/>
    <w:multiLevelType w:val="hybridMultilevel"/>
    <w:tmpl w:val="71565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1"/>
  </w:num>
  <w:num w:numId="4">
    <w:abstractNumId w:val="8"/>
  </w:num>
  <w:num w:numId="5">
    <w:abstractNumId w:val="14"/>
  </w:num>
  <w:num w:numId="6">
    <w:abstractNumId w:val="5"/>
  </w:num>
  <w:num w:numId="7">
    <w:abstractNumId w:val="23"/>
  </w:num>
  <w:num w:numId="8">
    <w:abstractNumId w:val="3"/>
  </w:num>
  <w:num w:numId="9">
    <w:abstractNumId w:val="0"/>
  </w:num>
  <w:num w:numId="10">
    <w:abstractNumId w:val="7"/>
  </w:num>
  <w:num w:numId="11">
    <w:abstractNumId w:val="11"/>
  </w:num>
  <w:num w:numId="12">
    <w:abstractNumId w:val="2"/>
  </w:num>
  <w:num w:numId="13">
    <w:abstractNumId w:val="20"/>
  </w:num>
  <w:num w:numId="14">
    <w:abstractNumId w:val="1"/>
  </w:num>
  <w:num w:numId="15">
    <w:abstractNumId w:val="10"/>
  </w:num>
  <w:num w:numId="16">
    <w:abstractNumId w:val="9"/>
  </w:num>
  <w:num w:numId="17">
    <w:abstractNumId w:val="16"/>
  </w:num>
  <w:num w:numId="18">
    <w:abstractNumId w:val="12"/>
  </w:num>
  <w:num w:numId="19">
    <w:abstractNumId w:val="18"/>
  </w:num>
  <w:num w:numId="20">
    <w:abstractNumId w:val="22"/>
  </w:num>
  <w:num w:numId="21">
    <w:abstractNumId w:val="13"/>
  </w:num>
  <w:num w:numId="22">
    <w:abstractNumId w:val="6"/>
  </w:num>
  <w:num w:numId="23">
    <w:abstractNumId w:val="17"/>
  </w:num>
  <w:num w:numId="24">
    <w:abstractNumId w:val="15"/>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9EF"/>
    <w:rsid w:val="00032230"/>
    <w:rsid w:val="000406BD"/>
    <w:rsid w:val="0004137A"/>
    <w:rsid w:val="00100B89"/>
    <w:rsid w:val="00153027"/>
    <w:rsid w:val="001766CF"/>
    <w:rsid w:val="00190272"/>
    <w:rsid w:val="001B2CB9"/>
    <w:rsid w:val="00202176"/>
    <w:rsid w:val="00203E5B"/>
    <w:rsid w:val="00221349"/>
    <w:rsid w:val="00223161"/>
    <w:rsid w:val="00234915"/>
    <w:rsid w:val="00241E8E"/>
    <w:rsid w:val="00251E26"/>
    <w:rsid w:val="00260700"/>
    <w:rsid w:val="002B0457"/>
    <w:rsid w:val="002E4354"/>
    <w:rsid w:val="00304B46"/>
    <w:rsid w:val="00312B6F"/>
    <w:rsid w:val="0033007C"/>
    <w:rsid w:val="0036450B"/>
    <w:rsid w:val="0036617F"/>
    <w:rsid w:val="00382941"/>
    <w:rsid w:val="0042092F"/>
    <w:rsid w:val="00420A10"/>
    <w:rsid w:val="00432AC6"/>
    <w:rsid w:val="00464770"/>
    <w:rsid w:val="00482D29"/>
    <w:rsid w:val="00497A17"/>
    <w:rsid w:val="004B371B"/>
    <w:rsid w:val="004B6430"/>
    <w:rsid w:val="004D07B6"/>
    <w:rsid w:val="005656EC"/>
    <w:rsid w:val="005A213D"/>
    <w:rsid w:val="005F3728"/>
    <w:rsid w:val="0063531E"/>
    <w:rsid w:val="00660B9F"/>
    <w:rsid w:val="00675C9A"/>
    <w:rsid w:val="006B6E5D"/>
    <w:rsid w:val="006F23E0"/>
    <w:rsid w:val="00747259"/>
    <w:rsid w:val="007E69CA"/>
    <w:rsid w:val="0083100F"/>
    <w:rsid w:val="00831EA0"/>
    <w:rsid w:val="00835E01"/>
    <w:rsid w:val="0087578D"/>
    <w:rsid w:val="008A5CF0"/>
    <w:rsid w:val="008B41FD"/>
    <w:rsid w:val="00944684"/>
    <w:rsid w:val="009C4E3A"/>
    <w:rsid w:val="009C5A7B"/>
    <w:rsid w:val="009D3FE8"/>
    <w:rsid w:val="009D57A8"/>
    <w:rsid w:val="00A006B5"/>
    <w:rsid w:val="00A26B6E"/>
    <w:rsid w:val="00A400F4"/>
    <w:rsid w:val="00A55E5E"/>
    <w:rsid w:val="00A90EE8"/>
    <w:rsid w:val="00AC4F3F"/>
    <w:rsid w:val="00B02067"/>
    <w:rsid w:val="00B15EF1"/>
    <w:rsid w:val="00B43BF3"/>
    <w:rsid w:val="00B6196C"/>
    <w:rsid w:val="00BC77D4"/>
    <w:rsid w:val="00BF5F86"/>
    <w:rsid w:val="00C03057"/>
    <w:rsid w:val="00C3187A"/>
    <w:rsid w:val="00C708D0"/>
    <w:rsid w:val="00C70F50"/>
    <w:rsid w:val="00CD583D"/>
    <w:rsid w:val="00D92CC3"/>
    <w:rsid w:val="00D951B0"/>
    <w:rsid w:val="00E04DEE"/>
    <w:rsid w:val="00E8082D"/>
    <w:rsid w:val="00ED08D9"/>
    <w:rsid w:val="00EF3A29"/>
    <w:rsid w:val="00F2298D"/>
    <w:rsid w:val="00F45A5B"/>
    <w:rsid w:val="00FB69EF"/>
    <w:rsid w:val="00FE35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3DE29CA"/>
  <w15:docId w15:val="{3A3B1E57-DAF4-459B-AACC-5D6546546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77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9EF"/>
    <w:pPr>
      <w:ind w:left="720"/>
      <w:contextualSpacing/>
    </w:pPr>
  </w:style>
  <w:style w:type="table" w:styleId="TableGrid">
    <w:name w:val="Table Grid"/>
    <w:basedOn w:val="TableNormal"/>
    <w:uiPriority w:val="39"/>
    <w:rsid w:val="00FB69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3531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531E"/>
    <w:rPr>
      <w:rFonts w:ascii="Segoe UI" w:hAnsi="Segoe UI" w:cs="Segoe UI"/>
      <w:sz w:val="18"/>
      <w:szCs w:val="18"/>
    </w:rPr>
  </w:style>
  <w:style w:type="paragraph" w:styleId="Header">
    <w:name w:val="header"/>
    <w:basedOn w:val="Normal"/>
    <w:link w:val="HeaderChar"/>
    <w:uiPriority w:val="99"/>
    <w:unhideWhenUsed/>
    <w:rsid w:val="00EF3A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3A29"/>
  </w:style>
  <w:style w:type="paragraph" w:styleId="Footer">
    <w:name w:val="footer"/>
    <w:basedOn w:val="Normal"/>
    <w:link w:val="FooterChar"/>
    <w:uiPriority w:val="99"/>
    <w:unhideWhenUsed/>
    <w:rsid w:val="00EF3A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3A29"/>
  </w:style>
  <w:style w:type="character" w:styleId="Hyperlink">
    <w:name w:val="Hyperlink"/>
    <w:basedOn w:val="DefaultParagraphFont"/>
    <w:uiPriority w:val="99"/>
    <w:semiHidden/>
    <w:unhideWhenUsed/>
    <w:rsid w:val="00223161"/>
    <w:rPr>
      <w:color w:val="0000FF"/>
      <w:u w:val="single"/>
    </w:rPr>
  </w:style>
  <w:style w:type="character" w:styleId="FollowedHyperlink">
    <w:name w:val="FollowedHyperlink"/>
    <w:basedOn w:val="DefaultParagraphFont"/>
    <w:uiPriority w:val="99"/>
    <w:semiHidden/>
    <w:unhideWhenUsed/>
    <w:rsid w:val="009446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al.gov.uk/delivery-council-housing-stimulus-package-post-pandemic" TargetMode="Externa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5257563A0994949B2E51DFA6383474C" ma:contentTypeVersion="4" ma:contentTypeDescription="Create a new document." ma:contentTypeScope="" ma:versionID="dc7bd61bfc3962e879f00e03d7fdd083">
  <xsd:schema xmlns:xsd="http://www.w3.org/2001/XMLSchema" xmlns:xs="http://www.w3.org/2001/XMLSchema" xmlns:p="http://schemas.microsoft.com/office/2006/metadata/properties" xmlns:ns2="1de81c19-0895-4efc-b747-8c9e5bcc3cf2" targetNamespace="http://schemas.microsoft.com/office/2006/metadata/properties" ma:root="true" ma:fieldsID="c4cfae6bf412d4ded8ff15c9f6e83214" ns2:_="">
    <xsd:import namespace="1de81c19-0895-4efc-b747-8c9e5bcc3cf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81c19-0895-4efc-b747-8c9e5bcc3cf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B609F9C-00BE-494A-8D25-0042308CFA0E}">
  <ds:schemaRefs>
    <ds:schemaRef ds:uri="http://schemas.openxmlformats.org/officeDocument/2006/bibliography"/>
  </ds:schemaRefs>
</ds:datastoreItem>
</file>

<file path=customXml/itemProps2.xml><?xml version="1.0" encoding="utf-8"?>
<ds:datastoreItem xmlns:ds="http://schemas.openxmlformats.org/officeDocument/2006/customXml" ds:itemID="{CD35A165-DA73-47B2-9D4F-F74B13F0113D}"/>
</file>

<file path=customXml/itemProps3.xml><?xml version="1.0" encoding="utf-8"?>
<ds:datastoreItem xmlns:ds="http://schemas.openxmlformats.org/officeDocument/2006/customXml" ds:itemID="{C782D84F-00C9-4469-8B0E-A32B5FBB279D}"/>
</file>

<file path=customXml/itemProps4.xml><?xml version="1.0" encoding="utf-8"?>
<ds:datastoreItem xmlns:ds="http://schemas.openxmlformats.org/officeDocument/2006/customXml" ds:itemID="{BCB186A9-D0F1-4406-9BCF-448448E13BEB}"/>
</file>

<file path=docProps/app.xml><?xml version="1.0" encoding="utf-8"?>
<Properties xmlns="http://schemas.openxmlformats.org/officeDocument/2006/extended-properties" xmlns:vt="http://schemas.openxmlformats.org/officeDocument/2006/docPropsVTypes">
  <Template>Normal.dotm</Template>
  <TotalTime>0</TotalTime>
  <Pages>8</Pages>
  <Words>2087</Words>
  <Characters>11898</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Smith</dc:creator>
  <cp:lastModifiedBy>Rebecca Smith</cp:lastModifiedBy>
  <cp:revision>2</cp:revision>
  <cp:lastPrinted>2020-01-23T14:59:00Z</cp:lastPrinted>
  <dcterms:created xsi:type="dcterms:W3CDTF">2021-05-05T13:11:00Z</dcterms:created>
  <dcterms:modified xsi:type="dcterms:W3CDTF">2021-05-05T13:11:00Z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0x01010035257563A0994949B2E51DFA6383474C</vt:lpwstr>
  </property>
</Properties>
</file>