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37" w:rsidRDefault="00C60AFB">
      <w:r>
        <w:rPr>
          <w:noProof/>
          <w:lang w:eastAsia="en-GB"/>
        </w:rPr>
        <w:drawing>
          <wp:anchor distT="0" distB="0" distL="114300" distR="114300" simplePos="0" relativeHeight="251658240" behindDoc="1" locked="0" layoutInCell="1" allowOverlap="1">
            <wp:simplePos x="0" y="0"/>
            <wp:positionH relativeFrom="margin">
              <wp:posOffset>4682490</wp:posOffset>
            </wp:positionH>
            <wp:positionV relativeFrom="paragraph">
              <wp:posOffset>213360</wp:posOffset>
            </wp:positionV>
            <wp:extent cx="1640205" cy="586740"/>
            <wp:effectExtent l="0" t="0" r="0" b="3810"/>
            <wp:wrapTight wrapText="bothSides">
              <wp:wrapPolygon edited="0">
                <wp:start x="0" y="0"/>
                <wp:lineTo x="0" y="21039"/>
                <wp:lineTo x="21324" y="21039"/>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205" cy="586740"/>
                    </a:xfrm>
                    <a:prstGeom prst="rect">
                      <a:avLst/>
                    </a:prstGeom>
                    <a:noFill/>
                  </pic:spPr>
                </pic:pic>
              </a:graphicData>
            </a:graphic>
            <wp14:sizeRelH relativeFrom="page">
              <wp14:pctWidth>0</wp14:pctWidth>
            </wp14:sizeRelH>
            <wp14:sizeRelV relativeFrom="page">
              <wp14:pctHeight>0</wp14:pctHeight>
            </wp14:sizeRelV>
          </wp:anchor>
        </w:drawing>
      </w:r>
    </w:p>
    <w:p w:rsidR="002735E1" w:rsidRDefault="002735E1"/>
    <w:p w:rsidR="002735E1" w:rsidRDefault="002735E1" w:rsidP="004F61E1">
      <w:pPr>
        <w:ind w:left="2160"/>
        <w:rPr>
          <w:b/>
          <w:sz w:val="36"/>
        </w:rPr>
      </w:pPr>
      <w:r w:rsidRPr="002735E1">
        <w:rPr>
          <w:b/>
          <w:sz w:val="36"/>
        </w:rPr>
        <w:t>AGENDA</w:t>
      </w:r>
      <w:r w:rsidR="004F61E1">
        <w:rPr>
          <w:b/>
          <w:sz w:val="36"/>
        </w:rPr>
        <w:t xml:space="preserve"> – 30</w:t>
      </w:r>
      <w:r w:rsidR="004F61E1" w:rsidRPr="004F61E1">
        <w:rPr>
          <w:b/>
          <w:sz w:val="36"/>
          <w:vertAlign w:val="superscript"/>
        </w:rPr>
        <w:t>th</w:t>
      </w:r>
      <w:r w:rsidR="004F61E1">
        <w:rPr>
          <w:b/>
          <w:sz w:val="36"/>
        </w:rPr>
        <w:t xml:space="preserve"> June 2021</w:t>
      </w:r>
    </w:p>
    <w:p w:rsidR="004F61E1" w:rsidRPr="004F61E1" w:rsidRDefault="004F61E1" w:rsidP="004F61E1">
      <w:pPr>
        <w:ind w:left="2160"/>
        <w:rPr>
          <w:b/>
          <w:sz w:val="24"/>
        </w:rPr>
      </w:pPr>
      <w:r w:rsidRPr="004F61E1">
        <w:rPr>
          <w:b/>
          <w:sz w:val="24"/>
        </w:rPr>
        <w:t>09.30am to 11.30am, via Teams</w:t>
      </w:r>
    </w:p>
    <w:p w:rsidR="002735E1" w:rsidRPr="00C60AFB" w:rsidRDefault="002735E1" w:rsidP="002735E1">
      <w:pPr>
        <w:jc w:val="center"/>
        <w:rPr>
          <w:sz w:val="2"/>
        </w:rPr>
      </w:pPr>
    </w:p>
    <w:p w:rsidR="002735E1" w:rsidRDefault="002735E1" w:rsidP="002735E1">
      <w:r>
        <w:tab/>
      </w:r>
      <w:r w:rsidR="00C60AFB" w:rsidRPr="004F61E1">
        <w:rPr>
          <w:b/>
        </w:rPr>
        <w:t>9.30am</w:t>
      </w:r>
      <w:r w:rsidR="00C60AFB">
        <w:t xml:space="preserve"> - </w:t>
      </w:r>
      <w:r w:rsidR="004F61E1">
        <w:t xml:space="preserve">   </w:t>
      </w:r>
      <w:r>
        <w:t>Welcome &amp; Introductions to Speakers – Neil Diddams, West Kent HA</w:t>
      </w:r>
    </w:p>
    <w:p w:rsidR="002735E1" w:rsidRPr="00C60AFB" w:rsidRDefault="002735E1" w:rsidP="002735E1">
      <w:pPr>
        <w:rPr>
          <w:sz w:val="4"/>
        </w:rPr>
      </w:pPr>
      <w:r>
        <w:tab/>
      </w:r>
    </w:p>
    <w:p w:rsidR="00AA7A38" w:rsidRDefault="00C60AFB" w:rsidP="00C60AFB">
      <w:pPr>
        <w:ind w:firstLine="720"/>
      </w:pPr>
      <w:r w:rsidRPr="004F61E1">
        <w:rPr>
          <w:b/>
        </w:rPr>
        <w:t>9.35am</w:t>
      </w:r>
      <w:r>
        <w:t xml:space="preserve"> - </w:t>
      </w:r>
      <w:r w:rsidR="00AA7A38">
        <w:t xml:space="preserve">   </w:t>
      </w:r>
      <w:r w:rsidR="002735E1">
        <w:t>Neil Diddams</w:t>
      </w:r>
      <w:r w:rsidR="00AA7A38">
        <w:t xml:space="preserve">, WKHA </w:t>
      </w:r>
    </w:p>
    <w:p w:rsidR="002735E1" w:rsidRPr="004F61E1" w:rsidRDefault="00AA7A38" w:rsidP="00AA7A38">
      <w:pPr>
        <w:ind w:left="981" w:firstLine="720"/>
        <w:rPr>
          <w:i/>
        </w:rPr>
      </w:pPr>
      <w:r w:rsidRPr="004F61E1">
        <w:rPr>
          <w:i/>
        </w:rPr>
        <w:t>West Kent’s approach to Building Safety and the Green Agenda</w:t>
      </w:r>
    </w:p>
    <w:p w:rsidR="00C60AFB" w:rsidRPr="00C60AFB" w:rsidRDefault="00C60AFB" w:rsidP="00C60AFB">
      <w:pPr>
        <w:rPr>
          <w:sz w:val="8"/>
        </w:rPr>
      </w:pPr>
    </w:p>
    <w:p w:rsidR="00C60AFB" w:rsidRDefault="00C60AFB" w:rsidP="00C60AFB">
      <w:pPr>
        <w:ind w:left="1701" w:hanging="981"/>
      </w:pPr>
      <w:r w:rsidRPr="004F61E1">
        <w:rPr>
          <w:b/>
        </w:rPr>
        <w:t>10.00am</w:t>
      </w:r>
      <w:r>
        <w:t xml:space="preserve"> - </w:t>
      </w:r>
      <w:r w:rsidR="004F61E1">
        <w:t>Richard Barwick, WKHA</w:t>
      </w:r>
    </w:p>
    <w:p w:rsidR="004F61E1" w:rsidRPr="004F61E1" w:rsidRDefault="004F61E1" w:rsidP="004F61E1">
      <w:pPr>
        <w:ind w:left="1701"/>
        <w:jc w:val="both"/>
        <w:rPr>
          <w:i/>
        </w:rPr>
      </w:pPr>
      <w:r w:rsidRPr="004F61E1">
        <w:rPr>
          <w:i/>
        </w:rPr>
        <w:t xml:space="preserve">The retrofit agenda. What retrofit standard should you be working to, and how might the different options impact your long term (30 year) asset management strategy? </w:t>
      </w:r>
    </w:p>
    <w:p w:rsidR="00C60AFB" w:rsidRPr="00C60AFB" w:rsidRDefault="00C60AFB" w:rsidP="00C60AFB">
      <w:pPr>
        <w:ind w:left="1128"/>
        <w:rPr>
          <w:sz w:val="4"/>
        </w:rPr>
      </w:pPr>
    </w:p>
    <w:p w:rsidR="00C60AFB" w:rsidRPr="00C60AFB" w:rsidRDefault="00C60AFB" w:rsidP="00C60AFB">
      <w:pPr>
        <w:ind w:left="720"/>
        <w:rPr>
          <w:b/>
        </w:rPr>
      </w:pPr>
      <w:r w:rsidRPr="00C60AFB">
        <w:rPr>
          <w:b/>
        </w:rPr>
        <w:t>10.20am – Comfort Break (10 mins)</w:t>
      </w:r>
    </w:p>
    <w:p w:rsidR="00C60AFB" w:rsidRPr="00C60AFB" w:rsidRDefault="00C60AFB" w:rsidP="00C60AFB">
      <w:pPr>
        <w:ind w:left="720"/>
        <w:rPr>
          <w:sz w:val="8"/>
        </w:rPr>
      </w:pPr>
    </w:p>
    <w:p w:rsidR="00C60AFB" w:rsidRDefault="00C60AFB" w:rsidP="00C60AFB">
      <w:pPr>
        <w:ind w:left="1701" w:hanging="981"/>
      </w:pPr>
      <w:r w:rsidRPr="004F61E1">
        <w:rPr>
          <w:b/>
        </w:rPr>
        <w:t>10.30am</w:t>
      </w:r>
      <w:r>
        <w:t xml:space="preserve"> - S</w:t>
      </w:r>
      <w:r w:rsidR="004F61E1">
        <w:t>teve Stratford, Golding Homes</w:t>
      </w:r>
    </w:p>
    <w:p w:rsidR="004F61E1" w:rsidRPr="004F61E1" w:rsidRDefault="004F61E1" w:rsidP="00C60AFB">
      <w:pPr>
        <w:ind w:left="1701" w:hanging="981"/>
        <w:rPr>
          <w:i/>
        </w:rPr>
      </w:pPr>
      <w:r>
        <w:tab/>
      </w:r>
      <w:r w:rsidRPr="004F61E1">
        <w:rPr>
          <w:i/>
        </w:rPr>
        <w:t>Development and current progress of Golding Homes Asset Management Strategy</w:t>
      </w:r>
    </w:p>
    <w:p w:rsidR="00C60AFB" w:rsidRPr="00C60AFB" w:rsidRDefault="00C60AFB" w:rsidP="00C60AFB">
      <w:pPr>
        <w:pStyle w:val="ListParagraph"/>
        <w:ind w:left="1128"/>
        <w:rPr>
          <w:sz w:val="8"/>
        </w:rPr>
      </w:pPr>
    </w:p>
    <w:p w:rsidR="002735E1" w:rsidRDefault="00C60AFB" w:rsidP="00C60AFB">
      <w:pPr>
        <w:ind w:left="1701" w:hanging="981"/>
      </w:pPr>
      <w:r w:rsidRPr="004F61E1">
        <w:rPr>
          <w:b/>
        </w:rPr>
        <w:t>10.50am</w:t>
      </w:r>
      <w:r>
        <w:t xml:space="preserve"> - </w:t>
      </w:r>
      <w:r w:rsidR="00224435">
        <w:t>David Ashby, South East Consortium</w:t>
      </w:r>
      <w:bookmarkStart w:id="0" w:name="_GoBack"/>
      <w:bookmarkEnd w:id="0"/>
    </w:p>
    <w:p w:rsidR="004F61E1" w:rsidRPr="004F61E1" w:rsidRDefault="004F61E1" w:rsidP="004F61E1">
      <w:pPr>
        <w:ind w:left="1701" w:hanging="981"/>
        <w:jc w:val="both"/>
        <w:rPr>
          <w:i/>
        </w:rPr>
      </w:pPr>
      <w:r>
        <w:tab/>
      </w:r>
      <w:r w:rsidRPr="004F61E1">
        <w:rPr>
          <w:i/>
        </w:rPr>
        <w:t>SEC has formed a building safety working group consisting of a number of Housing Directors, contractors, consultants and members of Professional organisations. The objective of the building safety group is to develop practical procurement guidance for members in respect of the proposed Building Safety Act and related legislation/regulation, enforcing quality through the appointment of reputable organisations. The aim of the guidance is to be clear, succinct and easy to read/use. David Ashby is the lead for SEC and he will update on the progress so far on the working group.</w:t>
      </w:r>
    </w:p>
    <w:p w:rsidR="00C60AFB" w:rsidRDefault="00C60AFB" w:rsidP="00C60AFB">
      <w:pPr>
        <w:ind w:left="720"/>
      </w:pPr>
      <w:r w:rsidRPr="004F61E1">
        <w:rPr>
          <w:b/>
        </w:rPr>
        <w:t>11.10am</w:t>
      </w:r>
      <w:r>
        <w:t xml:space="preserve"> – Questions</w:t>
      </w:r>
    </w:p>
    <w:p w:rsidR="00C60AFB" w:rsidRDefault="004F61E1" w:rsidP="00C60AFB">
      <w:pPr>
        <w:ind w:left="720"/>
      </w:pPr>
      <w:r w:rsidRPr="004F61E1">
        <w:rPr>
          <w:b/>
          <w:noProof/>
          <w:sz w:val="36"/>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257810</wp:posOffset>
            </wp:positionV>
            <wp:extent cx="2407920" cy="1203960"/>
            <wp:effectExtent l="0" t="0" r="0" b="0"/>
            <wp:wrapTight wrapText="bothSides">
              <wp:wrapPolygon edited="0">
                <wp:start x="0" y="0"/>
                <wp:lineTo x="0" y="21190"/>
                <wp:lineTo x="21361" y="21190"/>
                <wp:lineTo x="213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1203960"/>
                    </a:xfrm>
                    <a:prstGeom prst="rect">
                      <a:avLst/>
                    </a:prstGeom>
                    <a:noFill/>
                  </pic:spPr>
                </pic:pic>
              </a:graphicData>
            </a:graphic>
            <wp14:sizeRelH relativeFrom="page">
              <wp14:pctWidth>0</wp14:pctWidth>
            </wp14:sizeRelH>
            <wp14:sizeRelV relativeFrom="page">
              <wp14:pctHeight>0</wp14:pctHeight>
            </wp14:sizeRelV>
          </wp:anchor>
        </w:drawing>
      </w:r>
      <w:r w:rsidR="00C60AFB" w:rsidRPr="004F61E1">
        <w:rPr>
          <w:b/>
        </w:rPr>
        <w:t>11.30am</w:t>
      </w:r>
      <w:r w:rsidR="00C60AFB">
        <w:t xml:space="preserve"> – Session to Close</w:t>
      </w:r>
    </w:p>
    <w:p w:rsidR="00C60AFB" w:rsidRDefault="004F61E1" w:rsidP="00C60AFB">
      <w:pPr>
        <w:ind w:left="720"/>
      </w:pPr>
      <w:r w:rsidRPr="002735E1">
        <w:rPr>
          <w:b/>
          <w:noProof/>
          <w:sz w:val="36"/>
          <w:lang w:eastAsia="en-GB"/>
        </w:rPr>
        <w:drawing>
          <wp:anchor distT="0" distB="0" distL="114300" distR="114300" simplePos="0" relativeHeight="251661312" behindDoc="1" locked="0" layoutInCell="1" allowOverlap="1">
            <wp:simplePos x="0" y="0"/>
            <wp:positionH relativeFrom="column">
              <wp:posOffset>4023360</wp:posOffset>
            </wp:positionH>
            <wp:positionV relativeFrom="paragraph">
              <wp:posOffset>150495</wp:posOffset>
            </wp:positionV>
            <wp:extent cx="2080260" cy="1034415"/>
            <wp:effectExtent l="0" t="0" r="0" b="0"/>
            <wp:wrapTight wrapText="bothSides">
              <wp:wrapPolygon edited="0">
                <wp:start x="0" y="0"/>
                <wp:lineTo x="0" y="21083"/>
                <wp:lineTo x="21363" y="2108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1034415"/>
                    </a:xfrm>
                    <a:prstGeom prst="rect">
                      <a:avLst/>
                    </a:prstGeom>
                    <a:noFill/>
                  </pic:spPr>
                </pic:pic>
              </a:graphicData>
            </a:graphic>
            <wp14:sizeRelH relativeFrom="page">
              <wp14:pctWidth>0</wp14:pctWidth>
            </wp14:sizeRelH>
            <wp14:sizeRelV relativeFrom="page">
              <wp14:pctHeight>0</wp14:pctHeight>
            </wp14:sizeRelV>
          </wp:anchor>
        </w:drawing>
      </w:r>
      <w:r w:rsidRPr="002735E1">
        <w:rPr>
          <w:b/>
          <w:noProof/>
          <w:sz w:val="36"/>
          <w:lang w:eastAsia="en-GB"/>
        </w:rPr>
        <w:drawing>
          <wp:anchor distT="0" distB="0" distL="114300" distR="114300" simplePos="0" relativeHeight="251660288" behindDoc="1" locked="0" layoutInCell="1" allowOverlap="1">
            <wp:simplePos x="0" y="0"/>
            <wp:positionH relativeFrom="column">
              <wp:posOffset>-495300</wp:posOffset>
            </wp:positionH>
            <wp:positionV relativeFrom="paragraph">
              <wp:posOffset>336550</wp:posOffset>
            </wp:positionV>
            <wp:extent cx="1790700" cy="692785"/>
            <wp:effectExtent l="0" t="0" r="0" b="0"/>
            <wp:wrapTight wrapText="bothSides">
              <wp:wrapPolygon edited="0">
                <wp:start x="0" y="0"/>
                <wp:lineTo x="0" y="20788"/>
                <wp:lineTo x="21370" y="20788"/>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92785"/>
                    </a:xfrm>
                    <a:prstGeom prst="rect">
                      <a:avLst/>
                    </a:prstGeom>
                    <a:noFill/>
                  </pic:spPr>
                </pic:pic>
              </a:graphicData>
            </a:graphic>
            <wp14:sizeRelH relativeFrom="page">
              <wp14:pctWidth>0</wp14:pctWidth>
            </wp14:sizeRelH>
            <wp14:sizeRelV relativeFrom="page">
              <wp14:pctHeight>0</wp14:pctHeight>
            </wp14:sizeRelV>
          </wp:anchor>
        </w:drawing>
      </w:r>
    </w:p>
    <w:sectPr w:rsidR="00C60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015E2"/>
    <w:multiLevelType w:val="hybridMultilevel"/>
    <w:tmpl w:val="37FAB900"/>
    <w:lvl w:ilvl="0" w:tplc="9D7E74EE">
      <w:start w:val="9"/>
      <w:numFmt w:val="bullet"/>
      <w:lvlText w:val="-"/>
      <w:lvlJc w:val="left"/>
      <w:pPr>
        <w:ind w:left="1128" w:hanging="360"/>
      </w:pPr>
      <w:rPr>
        <w:rFonts w:ascii="Calibri" w:eastAsiaTheme="minorHAnsi" w:hAnsi="Calibri" w:cs="Calibr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E1"/>
    <w:rsid w:val="00224435"/>
    <w:rsid w:val="002735E1"/>
    <w:rsid w:val="004F61E1"/>
    <w:rsid w:val="00AA7A38"/>
    <w:rsid w:val="00AE0E37"/>
    <w:rsid w:val="00BE6D85"/>
    <w:rsid w:val="00C60AFB"/>
    <w:rsid w:val="00D9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989E"/>
  <w15:chartTrackingRefBased/>
  <w15:docId w15:val="{AE38E93D-DB8A-4B35-A952-55DB6C1B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2216">
      <w:bodyDiv w:val="1"/>
      <w:marLeft w:val="0"/>
      <w:marRight w:val="0"/>
      <w:marTop w:val="0"/>
      <w:marBottom w:val="0"/>
      <w:divBdr>
        <w:top w:val="none" w:sz="0" w:space="0" w:color="auto"/>
        <w:left w:val="none" w:sz="0" w:space="0" w:color="auto"/>
        <w:bottom w:val="none" w:sz="0" w:space="0" w:color="auto"/>
        <w:right w:val="none" w:sz="0" w:space="0" w:color="auto"/>
      </w:divBdr>
    </w:div>
    <w:div w:id="12458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2021-05-11T10:48:00Z</dcterms:created>
  <dcterms:modified xsi:type="dcterms:W3CDTF">2021-05-11T10:48:00Z</dcterms:modified>
</cp:coreProperties>
</file>