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9A5C" w14:textId="7FF1716B" w:rsidR="00F834CB" w:rsidRPr="00FA34FB" w:rsidRDefault="00F834CB" w:rsidP="00F834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478"/>
        </w:tabs>
        <w:spacing w:after="0" w:line="240" w:lineRule="auto"/>
        <w:ind w:left="2160" w:hanging="2160"/>
        <w:rPr>
          <w:rFonts w:ascii="Arial" w:eastAsia="Arial Unicode MS" w:hAnsi="Arial" w:cs="Arial"/>
          <w:sz w:val="24"/>
          <w:szCs w:val="24"/>
          <w:u w:color="000000"/>
          <w:bdr w:val="nil"/>
          <w:lang w:eastAsia="en-GB"/>
        </w:rPr>
      </w:pPr>
      <w:bookmarkStart w:id="0" w:name="_GoBack"/>
      <w:bookmarkEnd w:id="0"/>
      <w:r w:rsidRPr="00FA34FB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To:</w:t>
      </w:r>
      <w:r w:rsidRPr="00FA34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ab/>
      </w:r>
      <w:r w:rsidRPr="00FA34F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  <w:tab/>
      </w:r>
      <w:r w:rsidRPr="00FA34F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  <w:tab/>
      </w:r>
      <w:r w:rsidR="00F13E25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  <w:t xml:space="preserve">The Kent Housing Group </w:t>
      </w:r>
      <w:r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  <w:t xml:space="preserve"> </w:t>
      </w:r>
    </w:p>
    <w:p w14:paraId="604C7A96" w14:textId="77777777" w:rsidR="00F834CB" w:rsidRPr="00FA34FB" w:rsidRDefault="00F834CB" w:rsidP="00F834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478"/>
        </w:tabs>
        <w:spacing w:after="0" w:line="240" w:lineRule="auto"/>
        <w:ind w:left="2160" w:hanging="2160"/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</w:pPr>
    </w:p>
    <w:p w14:paraId="7107AB0D" w14:textId="0DF9F1CB" w:rsidR="00F834CB" w:rsidRPr="00FA34FB" w:rsidRDefault="00F834CB" w:rsidP="00F834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478"/>
        </w:tabs>
        <w:spacing w:after="0" w:line="240" w:lineRule="auto"/>
        <w:ind w:left="2160" w:hanging="2160"/>
        <w:rPr>
          <w:rFonts w:ascii="Arial" w:eastAsia="Arial Unicode MS" w:hAnsi="Arial" w:cs="Arial"/>
          <w:color w:val="FF0000"/>
          <w:sz w:val="24"/>
          <w:szCs w:val="24"/>
          <w:u w:color="FF0000"/>
          <w:bdr w:val="nil"/>
          <w:lang w:eastAsia="en-GB"/>
        </w:rPr>
      </w:pPr>
      <w:r w:rsidRPr="00FA34FB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Subject:</w:t>
      </w:r>
      <w:r w:rsidRPr="00FA34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ab/>
      </w:r>
      <w:r w:rsidRPr="00FA34F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  <w:tab/>
      </w:r>
      <w:r w:rsidR="00F13E25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n-GB"/>
        </w:rPr>
        <w:t xml:space="preserve">The Domestic Abuse Bill </w:t>
      </w:r>
    </w:p>
    <w:p w14:paraId="4E39F467" w14:textId="77777777" w:rsidR="00F834CB" w:rsidRPr="00FA34FB" w:rsidRDefault="00F834CB" w:rsidP="00F834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478"/>
        </w:tabs>
        <w:spacing w:after="0" w:line="240" w:lineRule="auto"/>
        <w:ind w:left="2160" w:hanging="216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2061F5CD" w14:textId="541CB48A" w:rsidR="00F834CB" w:rsidRPr="00FA34FB" w:rsidRDefault="00F834CB" w:rsidP="00F834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478"/>
        </w:tabs>
        <w:spacing w:after="0" w:line="240" w:lineRule="auto"/>
        <w:ind w:left="2160" w:hanging="216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A34FB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Classification</w:t>
      </w:r>
      <w:r w:rsidRPr="00FA34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:</w:t>
      </w:r>
      <w:r w:rsidRPr="00FA34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Unrestricted </w:t>
      </w:r>
      <w:r w:rsidRPr="00FA34F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</w:p>
    <w:p w14:paraId="691F7FE7" w14:textId="77777777" w:rsidR="00F834CB" w:rsidRPr="00FA34FB" w:rsidRDefault="00F834CB" w:rsidP="00F834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478"/>
        </w:tabs>
        <w:spacing w:after="0" w:line="240" w:lineRule="auto"/>
        <w:ind w:left="2160" w:hanging="216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787AB73A" w14:textId="52ACC07E" w:rsidR="00F834CB" w:rsidRDefault="00F834CB" w:rsidP="00F834CB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2213B8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Date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: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ab/>
      </w:r>
      <w:r w:rsidR="00F13E2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2</w:t>
      </w:r>
      <w:r w:rsidR="00F13E25" w:rsidRPr="00F13E2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vertAlign w:val="superscript"/>
          <w:lang w:eastAsia="en-GB"/>
        </w:rPr>
        <w:t>nd</w:t>
      </w:r>
      <w:r w:rsidR="00F13E2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December 2020</w:t>
      </w:r>
    </w:p>
    <w:p w14:paraId="0EA84760" w14:textId="68C6DC1B" w:rsidR="00F834CB" w:rsidRDefault="00F834CB" w:rsidP="00F834CB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4CB" w14:paraId="3625982E" w14:textId="77777777" w:rsidTr="00F834CB">
        <w:tc>
          <w:tcPr>
            <w:tcW w:w="9242" w:type="dxa"/>
          </w:tcPr>
          <w:p w14:paraId="0983D053" w14:textId="77777777" w:rsidR="00F834CB" w:rsidRDefault="00F834CB" w:rsidP="00F834CB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14:paraId="38ED4E16" w14:textId="76D7C221" w:rsidR="00F13E25" w:rsidRDefault="00916EEC" w:rsidP="00916EEC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916EEC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</w:t>
            </w:r>
            <w:r w:rsidR="00F13E2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KHG are asked to:</w:t>
            </w:r>
          </w:p>
          <w:p w14:paraId="4E3F70C3" w14:textId="77777777" w:rsidR="00F13E25" w:rsidRDefault="00F13E25" w:rsidP="00916EEC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14:paraId="54BA1294" w14:textId="77777777" w:rsidR="00DE6745" w:rsidRDefault="00F13E25" w:rsidP="00CD3608">
            <w:pPr>
              <w:pStyle w:val="ListParagraph"/>
              <w:numPr>
                <w:ilvl w:val="0"/>
                <w:numId w:val="12"/>
              </w:num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Consider the impact of the Domestic Abuse Bill on how we collect data on and manage accommodation-based support services</w:t>
            </w:r>
          </w:p>
          <w:p w14:paraId="280E1315" w14:textId="1CE7DE90" w:rsidR="00F834CB" w:rsidRDefault="00FF5B6A" w:rsidP="00DE6745">
            <w:pPr>
              <w:pStyle w:val="ListParagraph"/>
              <w:numPr>
                <w:ilvl w:val="0"/>
                <w:numId w:val="12"/>
              </w:numPr>
              <w:ind w:left="1701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how can we improve collection of data moving forward?</w:t>
            </w:r>
          </w:p>
          <w:p w14:paraId="0651F1B0" w14:textId="77777777" w:rsidR="00DE6745" w:rsidRDefault="00DE6745" w:rsidP="00DE6745">
            <w:pPr>
              <w:pStyle w:val="ListParagraph"/>
              <w:ind w:left="1701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14:paraId="21D75286" w14:textId="135CFDE9" w:rsidR="00FA031D" w:rsidRPr="00CD3608" w:rsidRDefault="00FA031D" w:rsidP="00CD3608">
            <w:pPr>
              <w:pStyle w:val="ListParagraph"/>
              <w:numPr>
                <w:ilvl w:val="0"/>
                <w:numId w:val="12"/>
              </w:num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Discuss the formation of the Local Partnership Board and how this Board may work with the Kent Housing Group in future.</w:t>
            </w:r>
          </w:p>
          <w:p w14:paraId="6282272B" w14:textId="20DBB727" w:rsidR="00F834CB" w:rsidRDefault="00F834CB" w:rsidP="00F834CB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</w:tbl>
    <w:p w14:paraId="4B91398B" w14:textId="77777777" w:rsidR="00974994" w:rsidRDefault="00974994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12744267" w14:textId="02E1CB3F" w:rsidR="00974994" w:rsidRPr="007500DB" w:rsidRDefault="00974994" w:rsidP="00974994">
      <w:pPr>
        <w:rPr>
          <w:rFonts w:ascii="Arial" w:hAnsi="Arial" w:cs="Arial"/>
          <w:b/>
          <w:bCs/>
          <w:sz w:val="24"/>
          <w:szCs w:val="24"/>
        </w:rPr>
      </w:pPr>
      <w:r w:rsidRPr="007500DB">
        <w:rPr>
          <w:rFonts w:ascii="Arial" w:hAnsi="Arial" w:cs="Arial"/>
          <w:b/>
          <w:bCs/>
          <w:sz w:val="24"/>
          <w:szCs w:val="24"/>
        </w:rPr>
        <w:t>The Domestic Abuse Bill</w:t>
      </w:r>
    </w:p>
    <w:p w14:paraId="11242B48" w14:textId="77777777" w:rsidR="00974994" w:rsidRPr="007500DB" w:rsidRDefault="00974994" w:rsidP="00974994">
      <w:pPr>
        <w:rPr>
          <w:rFonts w:ascii="Arial" w:hAnsi="Arial" w:cs="Arial"/>
          <w:sz w:val="24"/>
          <w:szCs w:val="24"/>
        </w:rPr>
      </w:pPr>
      <w:r w:rsidRPr="007500DB">
        <w:rPr>
          <w:rFonts w:ascii="Arial" w:hAnsi="Arial" w:cs="Arial"/>
          <w:sz w:val="24"/>
          <w:szCs w:val="24"/>
        </w:rPr>
        <w:t>The Domestic Abuse Bill is a piece of legislation which was first introduced in July 2019 and re-introduced in March 2020. The Bill has moved through the Commons and is currently awaiting a date for its second reading in the House of Lords. Subject to the Bill receiving Royal Assent it is expected that it will come into effect from April 2021.</w:t>
      </w:r>
    </w:p>
    <w:p w14:paraId="339D3609" w14:textId="0D3111C7" w:rsidR="00974994" w:rsidRPr="007500DB" w:rsidRDefault="00974994" w:rsidP="00974994">
      <w:pPr>
        <w:rPr>
          <w:rFonts w:ascii="Arial" w:hAnsi="Arial" w:cs="Arial"/>
          <w:sz w:val="24"/>
          <w:szCs w:val="24"/>
        </w:rPr>
      </w:pPr>
      <w:r w:rsidRPr="007500DB">
        <w:rPr>
          <w:rFonts w:ascii="Arial" w:hAnsi="Arial" w:cs="Arial"/>
          <w:sz w:val="24"/>
          <w:szCs w:val="24"/>
        </w:rPr>
        <w:t>The Bill establishes a domestic abuse commissioner (Nicole Jacobs) as a statutory office holder, the commissioner will prioritise a number of areas including mapping domestic abuse services nationally (to end the postcode lottery for survivors), increase the recognition of children as survivors, and improv</w:t>
      </w:r>
      <w:r w:rsidR="00CD3608">
        <w:rPr>
          <w:rFonts w:ascii="Arial" w:hAnsi="Arial" w:cs="Arial"/>
          <w:sz w:val="24"/>
          <w:szCs w:val="24"/>
        </w:rPr>
        <w:t>e</w:t>
      </w:r>
      <w:r w:rsidRPr="007500DB">
        <w:rPr>
          <w:rFonts w:ascii="Arial" w:hAnsi="Arial" w:cs="Arial"/>
          <w:sz w:val="24"/>
          <w:szCs w:val="24"/>
        </w:rPr>
        <w:t xml:space="preserve"> the response to domestic abuse. </w:t>
      </w:r>
    </w:p>
    <w:p w14:paraId="312EB8AF" w14:textId="0377A4DE" w:rsidR="00974994" w:rsidRDefault="00BD4FC6" w:rsidP="0097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other duties t</w:t>
      </w:r>
      <w:r w:rsidR="00974994" w:rsidRPr="007500DB">
        <w:rPr>
          <w:rFonts w:ascii="Arial" w:hAnsi="Arial" w:cs="Arial"/>
          <w:sz w:val="24"/>
          <w:szCs w:val="24"/>
        </w:rPr>
        <w:t>he Bill creates a statutory definition of domestic abuse (which includes coercive and financial control), provides for a new domestic abuse protection notice and domestic abuse protection order (which replace DVPNs and DVPOs) and places a duty on local authorities to provide support to victims of DA and their children in refuges and other safe accommodation</w:t>
      </w:r>
      <w:r w:rsidR="00E758D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74994" w:rsidRPr="007500DB">
        <w:rPr>
          <w:rFonts w:ascii="Arial" w:hAnsi="Arial" w:cs="Arial"/>
          <w:sz w:val="24"/>
          <w:szCs w:val="24"/>
        </w:rPr>
        <w:t>.</w:t>
      </w:r>
    </w:p>
    <w:p w14:paraId="782E3126" w14:textId="77777777" w:rsidR="00FA031D" w:rsidRPr="00276120" w:rsidRDefault="00FA031D" w:rsidP="00FA0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important to highlight that Domestic Abuse Bill will give priority housing status to all those fleeing home due to domestic abuse independently of other </w:t>
      </w:r>
      <w:r>
        <w:rPr>
          <w:rFonts w:ascii="Arial" w:hAnsi="Arial" w:cs="Arial"/>
          <w:sz w:val="24"/>
          <w:szCs w:val="24"/>
        </w:rPr>
        <w:lastRenderedPageBreak/>
        <w:t xml:space="preserve">vulnerabilities. This may impact pressure on housing authorities to home those with priority status. </w:t>
      </w:r>
    </w:p>
    <w:p w14:paraId="07ACEC6C" w14:textId="7DC7A6A9" w:rsidR="00BD4FC6" w:rsidRPr="00BD4FC6" w:rsidRDefault="00BD4FC6" w:rsidP="009749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Duties for local authorities</w:t>
      </w:r>
    </w:p>
    <w:p w14:paraId="711E3C3B" w14:textId="5901FF05" w:rsidR="00CD3608" w:rsidRDefault="00974994" w:rsidP="00974994">
      <w:pPr>
        <w:rPr>
          <w:rFonts w:ascii="Arial" w:hAnsi="Arial" w:cs="Arial"/>
          <w:sz w:val="24"/>
          <w:szCs w:val="24"/>
        </w:rPr>
      </w:pPr>
      <w:r w:rsidRPr="007500DB">
        <w:rPr>
          <w:rFonts w:ascii="Arial" w:hAnsi="Arial" w:cs="Arial"/>
          <w:sz w:val="24"/>
          <w:szCs w:val="24"/>
        </w:rPr>
        <w:t xml:space="preserve">Tier 1 and tier 2 local authorities have been asked to prepare for these new burdens, including through establishing a Local Partnership Board which will be created </w:t>
      </w:r>
      <w:r>
        <w:rPr>
          <w:rFonts w:ascii="Arial" w:hAnsi="Arial" w:cs="Arial"/>
          <w:sz w:val="24"/>
          <w:szCs w:val="24"/>
        </w:rPr>
        <w:t xml:space="preserve">with Districts, </w:t>
      </w:r>
      <w:r w:rsidRPr="007500DB">
        <w:rPr>
          <w:rFonts w:ascii="Arial" w:hAnsi="Arial" w:cs="Arial"/>
          <w:sz w:val="24"/>
          <w:szCs w:val="24"/>
        </w:rPr>
        <w:t>the PCC, Police, CCG, Probation and Providers. This Board will be focused on accommodation-based support</w:t>
      </w:r>
      <w:r w:rsidR="00CD3608">
        <w:rPr>
          <w:rFonts w:ascii="Arial" w:hAnsi="Arial" w:cs="Arial"/>
          <w:sz w:val="24"/>
          <w:szCs w:val="24"/>
        </w:rPr>
        <w:t xml:space="preserve">. </w:t>
      </w:r>
    </w:p>
    <w:p w14:paraId="37309AB8" w14:textId="188AFB18" w:rsidR="001644CB" w:rsidRDefault="00974994" w:rsidP="0097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Partnership Board will need to complete a needs assessment of accommodation-based support across voluntary sector, </w:t>
      </w:r>
      <w:r w:rsidR="00276120">
        <w:rPr>
          <w:rFonts w:ascii="Arial" w:hAnsi="Arial" w:cs="Arial"/>
          <w:sz w:val="24"/>
          <w:szCs w:val="24"/>
        </w:rPr>
        <w:t>district,</w:t>
      </w:r>
      <w:r>
        <w:rPr>
          <w:rFonts w:ascii="Arial" w:hAnsi="Arial" w:cs="Arial"/>
          <w:sz w:val="24"/>
          <w:szCs w:val="24"/>
        </w:rPr>
        <w:t xml:space="preserve"> and county provision and through this needs assessment identify gaps in service provision and commission to meet </w:t>
      </w:r>
      <w:r w:rsidR="000A1674">
        <w:rPr>
          <w:rFonts w:ascii="Arial" w:hAnsi="Arial" w:cs="Arial"/>
          <w:sz w:val="24"/>
          <w:szCs w:val="24"/>
        </w:rPr>
        <w:t>these gaps</w:t>
      </w:r>
      <w:r>
        <w:rPr>
          <w:rFonts w:ascii="Arial" w:hAnsi="Arial" w:cs="Arial"/>
          <w:sz w:val="24"/>
          <w:szCs w:val="24"/>
        </w:rPr>
        <w:t>.</w:t>
      </w:r>
      <w:r w:rsidR="000A1674">
        <w:rPr>
          <w:rFonts w:ascii="Arial" w:hAnsi="Arial" w:cs="Arial"/>
          <w:sz w:val="24"/>
          <w:szCs w:val="24"/>
        </w:rPr>
        <w:t xml:space="preserve"> The MHCLG will shortly release a template instructing how this information should be collected however KCC with the help of district colleagues, ha</w:t>
      </w:r>
      <w:r w:rsidR="00DE6745">
        <w:rPr>
          <w:rFonts w:ascii="Arial" w:hAnsi="Arial" w:cs="Arial"/>
          <w:sz w:val="24"/>
          <w:szCs w:val="24"/>
        </w:rPr>
        <w:t>ve</w:t>
      </w:r>
      <w:r w:rsidR="00276120">
        <w:rPr>
          <w:rFonts w:ascii="Arial" w:hAnsi="Arial" w:cs="Arial"/>
          <w:sz w:val="24"/>
          <w:szCs w:val="24"/>
        </w:rPr>
        <w:t xml:space="preserve"> </w:t>
      </w:r>
      <w:r w:rsidR="000A1674">
        <w:rPr>
          <w:rFonts w:ascii="Arial" w:hAnsi="Arial" w:cs="Arial"/>
          <w:sz w:val="24"/>
          <w:szCs w:val="24"/>
        </w:rPr>
        <w:t>started to map available known provision.</w:t>
      </w:r>
    </w:p>
    <w:p w14:paraId="51758D8C" w14:textId="002F25D9" w:rsidR="000A1674" w:rsidRDefault="001644CB" w:rsidP="0097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Responses have primarily been around sanctuary schemes (Appendix A) and known commissioned refuge, but as we extend th</w:t>
      </w:r>
      <w:r w:rsidR="00DE6745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discussions to gain a better understanding of unmet need we will work together to collect information on when people are being rehoused due to/linked to DA, and understand aspects of housing such as </w:t>
      </w:r>
      <w:r w:rsidR="00DE674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move on</w:t>
      </w:r>
      <w:r w:rsidR="00DE674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accommodation which have currently not been</w:t>
      </w:r>
      <w:r w:rsidR="00DE6745">
        <w:rPr>
          <w:rFonts w:ascii="Arial" w:hAnsi="Arial" w:cs="Arial"/>
          <w:sz w:val="24"/>
          <w:szCs w:val="24"/>
        </w:rPr>
        <w:t xml:space="preserve"> included within data.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FA270D" w14:textId="77777777" w:rsidR="007133B1" w:rsidRDefault="00276120" w:rsidP="00BD4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scoping discussion was held at the Domestic Abuse and Sexual Violence Executive Group around the formation of the Local Partnership Board.</w:t>
      </w:r>
      <w:r w:rsidR="001644CB">
        <w:rPr>
          <w:rFonts w:ascii="Arial" w:hAnsi="Arial" w:cs="Arial"/>
          <w:sz w:val="24"/>
          <w:szCs w:val="24"/>
        </w:rPr>
        <w:t xml:space="preserve"> As shown in Appendix </w:t>
      </w:r>
      <w:r w:rsidR="00DE6745">
        <w:rPr>
          <w:rFonts w:ascii="Arial" w:hAnsi="Arial" w:cs="Arial"/>
          <w:sz w:val="24"/>
          <w:szCs w:val="24"/>
        </w:rPr>
        <w:t>B</w:t>
      </w:r>
      <w:r w:rsidR="001644CB">
        <w:rPr>
          <w:rFonts w:ascii="Arial" w:hAnsi="Arial" w:cs="Arial"/>
          <w:sz w:val="24"/>
          <w:szCs w:val="24"/>
        </w:rPr>
        <w:t xml:space="preserve">, domestic abuse governance is complex however with the </w:t>
      </w:r>
      <w:proofErr w:type="spellStart"/>
      <w:r w:rsidR="001644CB">
        <w:rPr>
          <w:rFonts w:ascii="Arial" w:hAnsi="Arial" w:cs="Arial"/>
          <w:sz w:val="24"/>
          <w:szCs w:val="24"/>
        </w:rPr>
        <w:t>Bil</w:t>
      </w:r>
      <w:r w:rsidR="007133B1">
        <w:rPr>
          <w:rFonts w:ascii="Arial" w:hAnsi="Arial" w:cs="Arial"/>
          <w:sz w:val="24"/>
          <w:szCs w:val="24"/>
        </w:rPr>
        <w:t>’</w:t>
      </w:r>
      <w:r w:rsidR="001644CB">
        <w:rPr>
          <w:rFonts w:ascii="Arial" w:hAnsi="Arial" w:cs="Arial"/>
          <w:sz w:val="24"/>
          <w:szCs w:val="24"/>
        </w:rPr>
        <w:t>ls</w:t>
      </w:r>
      <w:proofErr w:type="spellEnd"/>
      <w:r w:rsidR="001644CB">
        <w:rPr>
          <w:rFonts w:ascii="Arial" w:hAnsi="Arial" w:cs="Arial"/>
          <w:sz w:val="24"/>
          <w:szCs w:val="24"/>
        </w:rPr>
        <w:t xml:space="preserve"> focus on accommodation-based support a link with the Kent Housing Group </w:t>
      </w:r>
      <w:r w:rsidR="00DE6745">
        <w:rPr>
          <w:rFonts w:ascii="Arial" w:hAnsi="Arial" w:cs="Arial"/>
          <w:sz w:val="24"/>
          <w:szCs w:val="24"/>
        </w:rPr>
        <w:t>c</w:t>
      </w:r>
      <w:r w:rsidR="001644CB">
        <w:rPr>
          <w:rFonts w:ascii="Arial" w:hAnsi="Arial" w:cs="Arial"/>
          <w:sz w:val="24"/>
          <w:szCs w:val="24"/>
        </w:rPr>
        <w:t>ould be established.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D4DDD5" w14:textId="4558E947" w:rsidR="00BD4FC6" w:rsidRDefault="00276120" w:rsidP="00BD4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at early stages of working to identify who will be represented at the Board and how this will feed into existing governance </w:t>
      </w:r>
      <w:r w:rsidR="00DE6745">
        <w:rPr>
          <w:rFonts w:ascii="Arial" w:hAnsi="Arial" w:cs="Arial"/>
          <w:sz w:val="24"/>
          <w:szCs w:val="24"/>
        </w:rPr>
        <w:t>structures and ask for KHG’s thoughts on this.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852D25" w14:textId="77777777" w:rsidR="001644CB" w:rsidRDefault="001644CB" w:rsidP="001644CB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916E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KHG are asked to:</w:t>
      </w:r>
    </w:p>
    <w:p w14:paraId="0D4B4BB1" w14:textId="55DBE24A" w:rsidR="00DE6745" w:rsidRDefault="001644CB" w:rsidP="001644CB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Consider the impact of the Domestic Abuse Bill on how we collect data on and manage accommodation-based support </w:t>
      </w:r>
      <w:r w:rsidR="00DE674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services.</w:t>
      </w:r>
    </w:p>
    <w:p w14:paraId="617D3C27" w14:textId="5DB90AE4" w:rsidR="001644CB" w:rsidRDefault="001644CB" w:rsidP="00DE6745">
      <w:pPr>
        <w:pStyle w:val="ListParagraph"/>
        <w:numPr>
          <w:ilvl w:val="1"/>
          <w:numId w:val="12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how can we improve collection of data moving forward?</w:t>
      </w:r>
    </w:p>
    <w:p w14:paraId="1EE3BFB2" w14:textId="77777777" w:rsidR="007133B1" w:rsidRDefault="007133B1" w:rsidP="007133B1">
      <w:pPr>
        <w:pStyle w:val="ListParagraph"/>
        <w:ind w:left="150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1C798EB8" w14:textId="77777777" w:rsidR="001644CB" w:rsidRPr="00CD3608" w:rsidRDefault="001644CB" w:rsidP="001644CB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Discuss the formation of the Local Partnership Board and how this Board may work with the Kent Housing Group in future.</w:t>
      </w:r>
    </w:p>
    <w:p w14:paraId="76D91D19" w14:textId="11513C8E" w:rsidR="00E758D0" w:rsidRDefault="00E758D0" w:rsidP="00FA031D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Contacts: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929"/>
        <w:gridCol w:w="3823"/>
      </w:tblGrid>
      <w:tr w:rsidR="007133B1" w14:paraId="3B4D5BEF" w14:textId="77777777" w:rsidTr="007133B1">
        <w:tc>
          <w:tcPr>
            <w:tcW w:w="3080" w:type="dxa"/>
          </w:tcPr>
          <w:p w14:paraId="1FAD0056" w14:textId="7EA55182" w:rsidR="007133B1" w:rsidRDefault="00AA4888" w:rsidP="00FA031D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hyperlink r:id="rId8" w:history="1">
              <w:r w:rsidR="007133B1" w:rsidRPr="00FD0BAD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GB"/>
                </w:rPr>
                <w:t>Serine.annan-vetch@kent.gov.uk</w:t>
              </w:r>
            </w:hyperlink>
          </w:p>
        </w:tc>
        <w:tc>
          <w:tcPr>
            <w:tcW w:w="3081" w:type="dxa"/>
          </w:tcPr>
          <w:p w14:paraId="3C7684B9" w14:textId="77777777" w:rsidR="007133B1" w:rsidRDefault="00AA4888" w:rsidP="007133B1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hyperlink r:id="rId9" w:history="1">
              <w:r w:rsidR="007133B1" w:rsidRPr="00FD0BAD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GB"/>
                </w:rPr>
                <w:t>Debra.Exall@kent.gov.uk</w:t>
              </w:r>
            </w:hyperlink>
          </w:p>
          <w:p w14:paraId="4AF29392" w14:textId="77777777" w:rsidR="007133B1" w:rsidRDefault="007133B1" w:rsidP="00FA031D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3081" w:type="dxa"/>
          </w:tcPr>
          <w:p w14:paraId="402334F4" w14:textId="77777777" w:rsidR="007133B1" w:rsidRDefault="00AA4888" w:rsidP="007133B1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hyperlink r:id="rId10" w:history="1">
              <w:r w:rsidR="007133B1" w:rsidRPr="00FD0BAD">
                <w:rPr>
                  <w:rStyle w:val="Hyperlink"/>
                  <w:rFonts w:ascii="Arial" w:eastAsia="Arial Unicode MS" w:hAnsi="Arial" w:cs="Arial"/>
                  <w:sz w:val="24"/>
                  <w:szCs w:val="24"/>
                  <w:bdr w:val="nil"/>
                  <w:lang w:eastAsia="en-GB"/>
                </w:rPr>
                <w:t>Chibuogu.nyananyo@kent.gov.uk</w:t>
              </w:r>
            </w:hyperlink>
            <w:r w:rsidR="007133B1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14:paraId="571427F2" w14:textId="77777777" w:rsidR="007133B1" w:rsidRDefault="007133B1" w:rsidP="00FA031D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</w:tbl>
    <w:p w14:paraId="46BEA668" w14:textId="1E81D33F" w:rsidR="00641175" w:rsidRPr="00641175" w:rsidRDefault="00641175" w:rsidP="00FA031D">
      <w:pP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 w:rsidRPr="00641175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Appendix </w:t>
      </w:r>
      <w:r w:rsidR="001644CB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A</w:t>
      </w:r>
      <w:r w:rsidRPr="00641175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: information collected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(outside commissioned contracts) </w:t>
      </w:r>
    </w:p>
    <w:p w14:paraId="4A0DB77C" w14:textId="4F72EC7E" w:rsidR="00E758D0" w:rsidRDefault="00641175" w:rsidP="00641175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64117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Maidstone Sanctuary Schemes (level of referrals)</w:t>
      </w:r>
    </w:p>
    <w:p w14:paraId="06E78FE5" w14:textId="0A58657A" w:rsidR="00641175" w:rsidRDefault="00641175" w:rsidP="00641175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Swale Specialist Safe Accommodation</w:t>
      </w:r>
    </w:p>
    <w:p w14:paraId="2AF8C3B8" w14:textId="5BC57EED" w:rsidR="00641175" w:rsidRDefault="00641175" w:rsidP="00641175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Gravesham Sanctuary Schemes</w:t>
      </w:r>
    </w:p>
    <w:p w14:paraId="42A33FA9" w14:textId="2EF9D5A9" w:rsidR="00641175" w:rsidRDefault="00641175" w:rsidP="00641175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North Kent – specialist housing </w:t>
      </w:r>
    </w:p>
    <w:p w14:paraId="2DBB9365" w14:textId="0E834516" w:rsidR="001644CB" w:rsidRDefault="001644CB" w:rsidP="001644CB">
      <w:pP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 w:rsidRPr="001644CB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Appendix B – Current Governance Structures </w:t>
      </w:r>
    </w:p>
    <w:p w14:paraId="5CFE0980" w14:textId="3651BC11" w:rsidR="00E34905" w:rsidRPr="001644CB" w:rsidRDefault="00E34905" w:rsidP="001644CB">
      <w:pP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A899F6" wp14:editId="60C953ED">
            <wp:extent cx="461962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303" t="30822" r="8750" b="21536"/>
                    <a:stretch/>
                  </pic:blipFill>
                  <pic:spPr bwMode="auto">
                    <a:xfrm>
                      <a:off x="0" y="0"/>
                      <a:ext cx="4626437" cy="269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6823F" w14:textId="77777777" w:rsidR="001644CB" w:rsidRPr="001644CB" w:rsidRDefault="001644CB" w:rsidP="001644CB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7D109CAA" w14:textId="77777777" w:rsidR="00641175" w:rsidRPr="00641175" w:rsidRDefault="00641175" w:rsidP="00FA031D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sectPr w:rsidR="00641175" w:rsidRPr="00641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46BD" w14:textId="77777777" w:rsidR="00AA4888" w:rsidRDefault="00AA4888" w:rsidP="00DC5230">
      <w:pPr>
        <w:spacing w:after="0" w:line="240" w:lineRule="auto"/>
      </w:pPr>
      <w:r>
        <w:separator/>
      </w:r>
    </w:p>
  </w:endnote>
  <w:endnote w:type="continuationSeparator" w:id="0">
    <w:p w14:paraId="24A76E8D" w14:textId="77777777" w:rsidR="00AA4888" w:rsidRDefault="00AA4888" w:rsidP="00DC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F469" w14:textId="77777777" w:rsidR="00AA4888" w:rsidRDefault="00AA4888" w:rsidP="00DC5230">
      <w:pPr>
        <w:spacing w:after="0" w:line="240" w:lineRule="auto"/>
      </w:pPr>
      <w:r>
        <w:separator/>
      </w:r>
    </w:p>
  </w:footnote>
  <w:footnote w:type="continuationSeparator" w:id="0">
    <w:p w14:paraId="559C9A0D" w14:textId="77777777" w:rsidR="00AA4888" w:rsidRDefault="00AA4888" w:rsidP="00DC5230">
      <w:pPr>
        <w:spacing w:after="0" w:line="240" w:lineRule="auto"/>
      </w:pPr>
      <w:r>
        <w:continuationSeparator/>
      </w:r>
    </w:p>
  </w:footnote>
  <w:footnote w:id="1">
    <w:p w14:paraId="4EFB005F" w14:textId="7FCA18A6" w:rsidR="00E758D0" w:rsidRPr="00FA031D" w:rsidRDefault="00E758D0" w:rsidP="00E758D0">
      <w:pP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E758D0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en-GB"/>
        </w:rPr>
        <w:t>Accommodation</w:t>
      </w:r>
      <w:r w:rsidR="00C6693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en-GB"/>
        </w:rPr>
        <w:t xml:space="preserve"> based support </w:t>
      </w:r>
      <w:r w:rsidRPr="00E758D0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en-GB"/>
        </w:rPr>
        <w:t>i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en-GB"/>
        </w:rPr>
        <w:t xml:space="preserve">ncludes emergency re-housing, refuge, specialist safe accommodation, disbursed accommodation, sanctuary and move on/secondary accommodation.   </w:t>
      </w:r>
    </w:p>
    <w:p w14:paraId="1FFC9AF6" w14:textId="0E4A27E3" w:rsidR="00E758D0" w:rsidRDefault="00E758D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946"/>
    <w:multiLevelType w:val="hybridMultilevel"/>
    <w:tmpl w:val="E446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CDA"/>
    <w:multiLevelType w:val="hybridMultilevel"/>
    <w:tmpl w:val="471A24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42236C"/>
    <w:multiLevelType w:val="multilevel"/>
    <w:tmpl w:val="445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0F1636"/>
    <w:multiLevelType w:val="hybridMultilevel"/>
    <w:tmpl w:val="9056B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015D2"/>
    <w:multiLevelType w:val="hybridMultilevel"/>
    <w:tmpl w:val="C274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14F36"/>
    <w:multiLevelType w:val="hybridMultilevel"/>
    <w:tmpl w:val="0FC69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1B54"/>
    <w:multiLevelType w:val="multilevel"/>
    <w:tmpl w:val="142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F67B2"/>
    <w:multiLevelType w:val="hybridMultilevel"/>
    <w:tmpl w:val="BC46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B89"/>
    <w:multiLevelType w:val="hybridMultilevel"/>
    <w:tmpl w:val="A6768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4758"/>
    <w:multiLevelType w:val="hybridMultilevel"/>
    <w:tmpl w:val="71B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2091"/>
    <w:multiLevelType w:val="multilevel"/>
    <w:tmpl w:val="05B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DF02B2"/>
    <w:multiLevelType w:val="hybridMultilevel"/>
    <w:tmpl w:val="3BBE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8795C"/>
    <w:multiLevelType w:val="multilevel"/>
    <w:tmpl w:val="054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CB"/>
    <w:rsid w:val="0000328A"/>
    <w:rsid w:val="00022407"/>
    <w:rsid w:val="000416BF"/>
    <w:rsid w:val="000A1674"/>
    <w:rsid w:val="000B1332"/>
    <w:rsid w:val="000B1854"/>
    <w:rsid w:val="000E5C5A"/>
    <w:rsid w:val="00117B9F"/>
    <w:rsid w:val="001268AC"/>
    <w:rsid w:val="001644CB"/>
    <w:rsid w:val="0017592A"/>
    <w:rsid w:val="001B3912"/>
    <w:rsid w:val="00276120"/>
    <w:rsid w:val="002B2017"/>
    <w:rsid w:val="002E605E"/>
    <w:rsid w:val="002F13ED"/>
    <w:rsid w:val="00351783"/>
    <w:rsid w:val="00371A0E"/>
    <w:rsid w:val="003E3B86"/>
    <w:rsid w:val="003F355F"/>
    <w:rsid w:val="00445B72"/>
    <w:rsid w:val="00466DC2"/>
    <w:rsid w:val="00566C15"/>
    <w:rsid w:val="00623ACB"/>
    <w:rsid w:val="00641175"/>
    <w:rsid w:val="0067718A"/>
    <w:rsid w:val="006847BA"/>
    <w:rsid w:val="00685E61"/>
    <w:rsid w:val="006C54A7"/>
    <w:rsid w:val="006D2669"/>
    <w:rsid w:val="006D2C31"/>
    <w:rsid w:val="007133B1"/>
    <w:rsid w:val="00736AD6"/>
    <w:rsid w:val="00755303"/>
    <w:rsid w:val="00764F44"/>
    <w:rsid w:val="00773D20"/>
    <w:rsid w:val="00785F1A"/>
    <w:rsid w:val="00787FA3"/>
    <w:rsid w:val="00794279"/>
    <w:rsid w:val="007E4225"/>
    <w:rsid w:val="0083479F"/>
    <w:rsid w:val="00862A59"/>
    <w:rsid w:val="008A3BE9"/>
    <w:rsid w:val="008D0DC4"/>
    <w:rsid w:val="008E6399"/>
    <w:rsid w:val="00916EEC"/>
    <w:rsid w:val="00974994"/>
    <w:rsid w:val="009D77FA"/>
    <w:rsid w:val="00A5162C"/>
    <w:rsid w:val="00AA4888"/>
    <w:rsid w:val="00AD4D65"/>
    <w:rsid w:val="00AD7957"/>
    <w:rsid w:val="00B7143F"/>
    <w:rsid w:val="00B87E41"/>
    <w:rsid w:val="00BD1FBC"/>
    <w:rsid w:val="00BD4FC6"/>
    <w:rsid w:val="00BF0FF2"/>
    <w:rsid w:val="00C249B6"/>
    <w:rsid w:val="00C31F02"/>
    <w:rsid w:val="00C66931"/>
    <w:rsid w:val="00C7747C"/>
    <w:rsid w:val="00C91D8E"/>
    <w:rsid w:val="00CB74C3"/>
    <w:rsid w:val="00CD3608"/>
    <w:rsid w:val="00D049D5"/>
    <w:rsid w:val="00DC37C1"/>
    <w:rsid w:val="00DC5230"/>
    <w:rsid w:val="00DD3ECE"/>
    <w:rsid w:val="00DE6745"/>
    <w:rsid w:val="00E34905"/>
    <w:rsid w:val="00E456BE"/>
    <w:rsid w:val="00E579C3"/>
    <w:rsid w:val="00E63946"/>
    <w:rsid w:val="00E758D0"/>
    <w:rsid w:val="00EC3027"/>
    <w:rsid w:val="00EC5F5B"/>
    <w:rsid w:val="00ED20CE"/>
    <w:rsid w:val="00EE3E16"/>
    <w:rsid w:val="00EF4F75"/>
    <w:rsid w:val="00EF6168"/>
    <w:rsid w:val="00F13E25"/>
    <w:rsid w:val="00F365EF"/>
    <w:rsid w:val="00F834CB"/>
    <w:rsid w:val="00FA031D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1AAC"/>
  <w15:chartTrackingRefBased/>
  <w15:docId w15:val="{756B7A19-3D36-46D3-A7D0-8647C66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834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4CB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F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E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52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2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5230"/>
    <w:rPr>
      <w:color w:val="0000FF"/>
      <w:u w:val="single"/>
    </w:rPr>
  </w:style>
  <w:style w:type="paragraph" w:customStyle="1" w:styleId="paragraph">
    <w:name w:val="paragraph"/>
    <w:basedOn w:val="Normal"/>
    <w:rsid w:val="00D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DD3ECE"/>
  </w:style>
  <w:style w:type="character" w:customStyle="1" w:styleId="normaltextrun">
    <w:name w:val="normaltextrun"/>
    <w:basedOn w:val="DefaultParagraphFont"/>
    <w:rsid w:val="00DD3ECE"/>
  </w:style>
  <w:style w:type="character" w:customStyle="1" w:styleId="eop">
    <w:name w:val="eop"/>
    <w:basedOn w:val="DefaultParagraphFont"/>
    <w:rsid w:val="00DD3E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E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ne.annan-vetch@kent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Chibuogu.nyananyo@k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ra.Exall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8EA4-27DF-4445-8CA7-B166B769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Annan-Veitch, Serine - ST SPRCA</dc:creator>
  <cp:keywords/>
  <dc:description/>
  <cp:lastModifiedBy>Rebecca Smith</cp:lastModifiedBy>
  <cp:revision>2</cp:revision>
  <dcterms:created xsi:type="dcterms:W3CDTF">2020-11-27T11:21:00Z</dcterms:created>
  <dcterms:modified xsi:type="dcterms:W3CDTF">2020-11-27T11:21:00Z</dcterms:modified>
</cp:coreProperties>
</file>