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FD" w:rsidRDefault="00477AFD">
      <w:r>
        <w:rPr>
          <w:noProof/>
          <w:lang w:eastAsia="en-GB"/>
        </w:rPr>
        <w:drawing>
          <wp:anchor distT="0" distB="0" distL="114300" distR="114300" simplePos="0" relativeHeight="251658240" behindDoc="1" locked="0" layoutInCell="1" allowOverlap="1">
            <wp:simplePos x="0" y="0"/>
            <wp:positionH relativeFrom="column">
              <wp:posOffset>-251460</wp:posOffset>
            </wp:positionH>
            <wp:positionV relativeFrom="paragraph">
              <wp:posOffset>8890</wp:posOffset>
            </wp:positionV>
            <wp:extent cx="1923415" cy="685800"/>
            <wp:effectExtent l="0" t="0" r="635" b="0"/>
            <wp:wrapTight wrapText="bothSides">
              <wp:wrapPolygon edited="0">
                <wp:start x="0" y="0"/>
                <wp:lineTo x="0" y="21000"/>
                <wp:lineTo x="21393" y="21000"/>
                <wp:lineTo x="21393" y="0"/>
                <wp:lineTo x="0" y="0"/>
              </wp:wrapPolygon>
            </wp:wrapTight>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415" cy="685800"/>
                    </a:xfrm>
                    <a:prstGeom prst="rect">
                      <a:avLst/>
                    </a:prstGeom>
                  </pic:spPr>
                </pic:pic>
              </a:graphicData>
            </a:graphic>
            <wp14:sizeRelH relativeFrom="page">
              <wp14:pctWidth>0</wp14:pctWidth>
            </wp14:sizeRelH>
            <wp14:sizeRelV relativeFrom="page">
              <wp14:pctHeight>0</wp14:pctHeight>
            </wp14:sizeRelV>
          </wp:anchor>
        </w:drawing>
      </w:r>
      <w:r w:rsidR="003956FF">
        <w:t>-</w:t>
      </w:r>
    </w:p>
    <w:p w:rsidR="00477AFD" w:rsidRDefault="00477AFD"/>
    <w:p w:rsidR="001F2ECF" w:rsidRDefault="001F2ECF">
      <w:pPr>
        <w:rPr>
          <w:b/>
          <w:sz w:val="28"/>
          <w:u w:val="single"/>
        </w:rPr>
      </w:pPr>
    </w:p>
    <w:p w:rsidR="00033FBC" w:rsidRPr="003D22C3" w:rsidRDefault="00477AFD">
      <w:pPr>
        <w:rPr>
          <w:b/>
          <w:sz w:val="28"/>
          <w:u w:val="single"/>
        </w:rPr>
      </w:pPr>
      <w:r w:rsidRPr="003D22C3">
        <w:rPr>
          <w:b/>
          <w:sz w:val="28"/>
          <w:u w:val="single"/>
        </w:rPr>
        <w:t>Kent Housing Group Executive Board- Skills Review</w:t>
      </w:r>
    </w:p>
    <w:p w:rsidR="006F554E" w:rsidRDefault="00477AFD" w:rsidP="00477AFD">
      <w:pPr>
        <w:shd w:val="clear" w:color="auto" w:fill="FFFFFF"/>
        <w:spacing w:before="100" w:beforeAutospacing="1" w:after="360" w:line="240" w:lineRule="auto"/>
        <w:jc w:val="both"/>
        <w:rPr>
          <w:rFonts w:cstheme="minorHAnsi"/>
          <w:sz w:val="24"/>
          <w:szCs w:val="24"/>
        </w:rPr>
      </w:pPr>
      <w:r w:rsidRPr="00477AFD">
        <w:rPr>
          <w:rFonts w:eastAsia="Times New Roman" w:cstheme="minorHAnsi"/>
          <w:color w:val="404040"/>
          <w:sz w:val="24"/>
          <w:szCs w:val="24"/>
          <w:lang w:eastAsia="en-GB"/>
        </w:rPr>
        <w:t>The Kent Housing Group</w:t>
      </w:r>
      <w:r w:rsidR="003D22C3">
        <w:rPr>
          <w:rFonts w:eastAsia="Times New Roman" w:cstheme="minorHAnsi"/>
          <w:color w:val="404040"/>
          <w:sz w:val="24"/>
          <w:szCs w:val="24"/>
          <w:lang w:eastAsia="en-GB"/>
        </w:rPr>
        <w:t xml:space="preserve"> (KHG)</w:t>
      </w:r>
      <w:r w:rsidRPr="00477AFD">
        <w:rPr>
          <w:rFonts w:eastAsia="Times New Roman" w:cstheme="minorHAnsi"/>
          <w:color w:val="404040"/>
          <w:sz w:val="24"/>
          <w:szCs w:val="24"/>
          <w:lang w:eastAsia="en-GB"/>
        </w:rPr>
        <w:t xml:space="preserve"> has an Executive Board and the purpose of the board is to </w:t>
      </w:r>
      <w:r w:rsidRPr="00477AFD">
        <w:rPr>
          <w:rFonts w:cstheme="minorHAnsi"/>
          <w:sz w:val="24"/>
          <w:szCs w:val="24"/>
        </w:rPr>
        <w:t>p</w:t>
      </w:r>
      <w:r>
        <w:rPr>
          <w:rFonts w:cstheme="minorHAnsi"/>
          <w:sz w:val="24"/>
          <w:szCs w:val="24"/>
        </w:rPr>
        <w:t xml:space="preserve">rovide the strategic leadership and guidance for the wider membership and sub groups, to ensure that our agreed aims and objectives are met. </w:t>
      </w:r>
      <w:r w:rsidR="006F554E">
        <w:rPr>
          <w:rFonts w:cstheme="minorHAnsi"/>
          <w:sz w:val="24"/>
          <w:szCs w:val="24"/>
        </w:rPr>
        <w:t xml:space="preserve">Members of the Executive Board should be able to take decisions on behalf of the organisation they represent. Ideally they will have held senior level responsibility and be able to contribute to the strategic discussions and provide direction and support to Chairs of the </w:t>
      </w:r>
      <w:r w:rsidR="005E571A">
        <w:rPr>
          <w:rFonts w:cstheme="minorHAnsi"/>
          <w:sz w:val="24"/>
          <w:szCs w:val="24"/>
        </w:rPr>
        <w:t>subcommittee</w:t>
      </w:r>
      <w:r w:rsidR="006F554E">
        <w:rPr>
          <w:rFonts w:cstheme="minorHAnsi"/>
          <w:sz w:val="24"/>
          <w:szCs w:val="24"/>
        </w:rPr>
        <w:t>.</w:t>
      </w:r>
    </w:p>
    <w:p w:rsidR="006F554E" w:rsidRDefault="006F554E" w:rsidP="00477AFD">
      <w:pPr>
        <w:shd w:val="clear" w:color="auto" w:fill="FFFFFF"/>
        <w:spacing w:before="100" w:beforeAutospacing="1" w:after="360" w:line="240" w:lineRule="auto"/>
        <w:jc w:val="both"/>
        <w:rPr>
          <w:rFonts w:cstheme="minorHAnsi"/>
          <w:sz w:val="24"/>
          <w:szCs w:val="24"/>
        </w:rPr>
      </w:pPr>
      <w:r>
        <w:rPr>
          <w:rFonts w:cstheme="minorHAnsi"/>
          <w:sz w:val="24"/>
          <w:szCs w:val="24"/>
        </w:rPr>
        <w:t>We are keen to have a diverse board and support those for whom this may be the first Board role.</w:t>
      </w:r>
      <w:r w:rsidR="00477AFD">
        <w:rPr>
          <w:rFonts w:cstheme="minorHAnsi"/>
          <w:sz w:val="24"/>
          <w:szCs w:val="24"/>
        </w:rPr>
        <w:t xml:space="preserve"> </w:t>
      </w:r>
    </w:p>
    <w:p w:rsidR="0072218A" w:rsidRPr="00477AFD" w:rsidRDefault="006701B2" w:rsidP="00477AFD">
      <w:pPr>
        <w:shd w:val="clear" w:color="auto" w:fill="FFFFFF"/>
        <w:spacing w:before="100" w:beforeAutospacing="1" w:after="360" w:line="240" w:lineRule="auto"/>
        <w:jc w:val="both"/>
        <w:rPr>
          <w:rFonts w:eastAsia="Times New Roman" w:cstheme="minorHAnsi"/>
          <w:color w:val="404040"/>
          <w:sz w:val="24"/>
          <w:szCs w:val="24"/>
          <w:lang w:eastAsia="en-GB"/>
        </w:rPr>
      </w:pPr>
      <w:r w:rsidRPr="005E571A">
        <w:rPr>
          <w:rFonts w:cstheme="minorHAnsi"/>
          <w:sz w:val="24"/>
          <w:szCs w:val="24"/>
        </w:rPr>
        <w:t>Maintaining a skills review of members of the Board will help identify any additional skills or support required to ensure delivery of our strategic aims.</w:t>
      </w:r>
    </w:p>
    <w:p w:rsidR="00033FBC" w:rsidRPr="003D22C3" w:rsidRDefault="00033FBC" w:rsidP="00033FBC">
      <w:pPr>
        <w:shd w:val="clear" w:color="auto" w:fill="FFFFFF"/>
        <w:spacing w:before="100" w:beforeAutospacing="1" w:after="100" w:afterAutospacing="1" w:line="240" w:lineRule="auto"/>
        <w:outlineLvl w:val="1"/>
        <w:rPr>
          <w:rFonts w:eastAsia="Times New Roman" w:cstheme="minorHAnsi"/>
          <w:b/>
          <w:bCs/>
          <w:color w:val="404040"/>
          <w:sz w:val="28"/>
          <w:szCs w:val="36"/>
          <w:u w:val="single"/>
          <w:lang w:eastAsia="en-GB"/>
        </w:rPr>
      </w:pPr>
      <w:r w:rsidRPr="003D22C3">
        <w:rPr>
          <w:rFonts w:eastAsia="Times New Roman" w:cstheme="minorHAnsi"/>
          <w:b/>
          <w:bCs/>
          <w:color w:val="404040"/>
          <w:sz w:val="28"/>
          <w:szCs w:val="36"/>
          <w:u w:val="single"/>
          <w:lang w:eastAsia="en-GB"/>
        </w:rPr>
        <w:t>What is the KHG Vision?</w:t>
      </w:r>
      <w:bookmarkStart w:id="0" w:name="_GoBack"/>
      <w:bookmarkEnd w:id="0"/>
    </w:p>
    <w:p w:rsidR="00C52B8B" w:rsidRPr="003D22C3" w:rsidRDefault="00033FBC" w:rsidP="003D22C3">
      <w:pPr>
        <w:shd w:val="clear" w:color="auto" w:fill="FFFFFF"/>
        <w:spacing w:before="100" w:beforeAutospacing="1" w:after="360" w:line="240" w:lineRule="auto"/>
        <w:jc w:val="both"/>
        <w:rPr>
          <w:rFonts w:eastAsia="Times New Roman" w:cstheme="minorHAnsi"/>
          <w:color w:val="404040"/>
          <w:sz w:val="24"/>
          <w:szCs w:val="24"/>
          <w:lang w:eastAsia="en-GB"/>
        </w:rPr>
      </w:pPr>
      <w:r w:rsidRPr="003D22C3">
        <w:rPr>
          <w:rFonts w:eastAsia="Times New Roman" w:cstheme="minorHAnsi"/>
          <w:color w:val="404040"/>
          <w:sz w:val="24"/>
          <w:szCs w:val="24"/>
          <w:lang w:eastAsia="en-GB"/>
        </w:rPr>
        <w:t xml:space="preserve">KHG prides itself on being considered as </w:t>
      </w:r>
      <w:r w:rsidR="003D22C3">
        <w:rPr>
          <w:rFonts w:eastAsia="Times New Roman" w:cstheme="minorHAnsi"/>
          <w:b/>
          <w:bCs/>
          <w:color w:val="404040"/>
          <w:sz w:val="24"/>
          <w:szCs w:val="24"/>
          <w:lang w:eastAsia="en-GB"/>
        </w:rPr>
        <w:t xml:space="preserve">the ‘Voice of Housing in Kent’ </w:t>
      </w:r>
      <w:r w:rsidR="003D22C3" w:rsidRPr="003D22C3">
        <w:rPr>
          <w:rFonts w:eastAsia="Times New Roman" w:cstheme="minorHAnsi"/>
          <w:bCs/>
          <w:color w:val="404040"/>
          <w:sz w:val="24"/>
          <w:szCs w:val="24"/>
          <w:lang w:eastAsia="en-GB"/>
        </w:rPr>
        <w:t xml:space="preserve">with a vision to - </w:t>
      </w:r>
    </w:p>
    <w:p w:rsidR="00C52B8B" w:rsidRPr="003D22C3" w:rsidRDefault="003D22C3" w:rsidP="003D22C3">
      <w:pPr>
        <w:pStyle w:val="ListParagraph"/>
        <w:numPr>
          <w:ilvl w:val="0"/>
          <w:numId w:val="8"/>
        </w:numPr>
        <w:shd w:val="clear" w:color="auto" w:fill="FFFFFF"/>
        <w:spacing w:before="100" w:beforeAutospacing="1" w:after="360" w:line="240" w:lineRule="auto"/>
        <w:jc w:val="both"/>
        <w:rPr>
          <w:rFonts w:eastAsia="Times New Roman" w:cstheme="minorHAnsi"/>
          <w:color w:val="404040"/>
          <w:sz w:val="24"/>
          <w:szCs w:val="24"/>
          <w:lang w:eastAsia="en-GB"/>
        </w:rPr>
      </w:pPr>
      <w:r>
        <w:rPr>
          <w:rFonts w:eastAsia="Times New Roman" w:cstheme="minorHAnsi"/>
          <w:color w:val="404040"/>
          <w:sz w:val="24"/>
          <w:szCs w:val="24"/>
          <w:lang w:eastAsia="en-GB"/>
        </w:rPr>
        <w:t>R</w:t>
      </w:r>
      <w:r w:rsidR="00033FBC" w:rsidRPr="003D22C3">
        <w:rPr>
          <w:rFonts w:eastAsia="Times New Roman" w:cstheme="minorHAnsi"/>
          <w:color w:val="404040"/>
          <w:sz w:val="24"/>
          <w:szCs w:val="24"/>
          <w:lang w:eastAsia="en-GB"/>
        </w:rPr>
        <w:t xml:space="preserve">epresent the collective voice of Kent’s housing bodies, </w:t>
      </w:r>
    </w:p>
    <w:p w:rsidR="00033FBC" w:rsidRPr="003D22C3" w:rsidRDefault="003D22C3" w:rsidP="003D22C3">
      <w:pPr>
        <w:pStyle w:val="ListParagraph"/>
        <w:numPr>
          <w:ilvl w:val="0"/>
          <w:numId w:val="8"/>
        </w:numPr>
        <w:shd w:val="clear" w:color="auto" w:fill="FFFFFF"/>
        <w:spacing w:before="100" w:beforeAutospacing="1" w:after="360" w:line="240" w:lineRule="auto"/>
        <w:jc w:val="both"/>
        <w:rPr>
          <w:rFonts w:eastAsia="Times New Roman" w:cstheme="minorHAnsi"/>
          <w:color w:val="404040"/>
          <w:sz w:val="24"/>
          <w:szCs w:val="24"/>
          <w:lang w:eastAsia="en-GB"/>
        </w:rPr>
      </w:pPr>
      <w:r>
        <w:rPr>
          <w:rFonts w:eastAsia="Times New Roman" w:cstheme="minorHAnsi"/>
          <w:color w:val="404040"/>
          <w:sz w:val="24"/>
          <w:szCs w:val="24"/>
          <w:lang w:eastAsia="en-GB"/>
        </w:rPr>
        <w:t>Provide</w:t>
      </w:r>
      <w:r w:rsidR="00033FBC" w:rsidRPr="003D22C3">
        <w:rPr>
          <w:rFonts w:eastAsia="Times New Roman" w:cstheme="minorHAnsi"/>
          <w:color w:val="404040"/>
          <w:sz w:val="24"/>
          <w:szCs w:val="24"/>
          <w:lang w:eastAsia="en-GB"/>
        </w:rPr>
        <w:t xml:space="preserve"> advice and a ‘Kent perspective’ to regional and national bodies for the benefit of</w:t>
      </w:r>
      <w:r>
        <w:rPr>
          <w:rFonts w:eastAsia="Times New Roman" w:cstheme="minorHAnsi"/>
          <w:color w:val="404040"/>
          <w:sz w:val="24"/>
          <w:szCs w:val="24"/>
          <w:lang w:eastAsia="en-GB"/>
        </w:rPr>
        <w:t xml:space="preserve"> all</w:t>
      </w:r>
      <w:r w:rsidR="00033FBC" w:rsidRPr="003D22C3">
        <w:rPr>
          <w:rFonts w:eastAsia="Times New Roman" w:cstheme="minorHAnsi"/>
          <w:color w:val="404040"/>
          <w:sz w:val="24"/>
          <w:szCs w:val="24"/>
          <w:lang w:eastAsia="en-GB"/>
        </w:rPr>
        <w:t xml:space="preserve"> Kent’s residents.</w:t>
      </w:r>
    </w:p>
    <w:p w:rsidR="001D5D1A" w:rsidRPr="003D22C3" w:rsidRDefault="003D22C3" w:rsidP="003D22C3">
      <w:pPr>
        <w:shd w:val="clear" w:color="auto" w:fill="FFFFFF"/>
        <w:spacing w:before="100" w:beforeAutospacing="1" w:after="100" w:afterAutospacing="1" w:line="240" w:lineRule="auto"/>
        <w:jc w:val="both"/>
        <w:rPr>
          <w:rFonts w:cstheme="minorHAnsi"/>
          <w:color w:val="404040"/>
          <w:sz w:val="24"/>
          <w:szCs w:val="24"/>
          <w:shd w:val="clear" w:color="auto" w:fill="FFFFFF"/>
        </w:rPr>
      </w:pPr>
      <w:r>
        <w:rPr>
          <w:rFonts w:cstheme="minorHAnsi"/>
          <w:color w:val="404040"/>
          <w:sz w:val="24"/>
          <w:szCs w:val="24"/>
          <w:shd w:val="clear" w:color="auto" w:fill="FFFFFF"/>
        </w:rPr>
        <w:t xml:space="preserve">In addition </w:t>
      </w:r>
      <w:r w:rsidR="001D5D1A" w:rsidRPr="003D22C3">
        <w:rPr>
          <w:rFonts w:cstheme="minorHAnsi"/>
          <w:color w:val="404040"/>
          <w:sz w:val="24"/>
          <w:szCs w:val="24"/>
          <w:shd w:val="clear" w:color="auto" w:fill="FFFFFF"/>
        </w:rPr>
        <w:t>KHG encourages</w:t>
      </w:r>
      <w:r>
        <w:rPr>
          <w:rFonts w:cstheme="minorHAnsi"/>
          <w:color w:val="404040"/>
          <w:sz w:val="24"/>
          <w:szCs w:val="24"/>
          <w:shd w:val="clear" w:color="auto" w:fill="FFFFFF"/>
        </w:rPr>
        <w:t xml:space="preserve"> the </w:t>
      </w:r>
      <w:r w:rsidR="001D5D1A" w:rsidRPr="003D22C3">
        <w:rPr>
          <w:rFonts w:cstheme="minorHAnsi"/>
          <w:color w:val="404040"/>
          <w:sz w:val="24"/>
          <w:szCs w:val="24"/>
          <w:shd w:val="clear" w:color="auto" w:fill="FFFFFF"/>
        </w:rPr>
        <w:t xml:space="preserve">sharing </w:t>
      </w:r>
      <w:r>
        <w:rPr>
          <w:rFonts w:cstheme="minorHAnsi"/>
          <w:color w:val="404040"/>
          <w:sz w:val="24"/>
          <w:szCs w:val="24"/>
          <w:shd w:val="clear" w:color="auto" w:fill="FFFFFF"/>
        </w:rPr>
        <w:t xml:space="preserve">of </w:t>
      </w:r>
      <w:r w:rsidR="001D5D1A" w:rsidRPr="003D22C3">
        <w:rPr>
          <w:rFonts w:cstheme="minorHAnsi"/>
          <w:color w:val="404040"/>
          <w:sz w:val="24"/>
          <w:szCs w:val="24"/>
          <w:shd w:val="clear" w:color="auto" w:fill="FFFFFF"/>
        </w:rPr>
        <w:t>b</w:t>
      </w:r>
      <w:r>
        <w:rPr>
          <w:rFonts w:cstheme="minorHAnsi"/>
          <w:color w:val="404040"/>
          <w:sz w:val="24"/>
          <w:szCs w:val="24"/>
          <w:shd w:val="clear" w:color="auto" w:fill="FFFFFF"/>
        </w:rPr>
        <w:t>est practice, identifying opportunities for partnership</w:t>
      </w:r>
      <w:r w:rsidR="001D5D1A" w:rsidRPr="003D22C3">
        <w:rPr>
          <w:rFonts w:cstheme="minorHAnsi"/>
          <w:color w:val="404040"/>
          <w:sz w:val="24"/>
          <w:szCs w:val="24"/>
          <w:shd w:val="clear" w:color="auto" w:fill="FFFFFF"/>
        </w:rPr>
        <w:t xml:space="preserve"> working and agreeing positive objectives for housing.  As a collective</w:t>
      </w:r>
      <w:r>
        <w:rPr>
          <w:rFonts w:cstheme="minorHAnsi"/>
          <w:color w:val="404040"/>
          <w:sz w:val="24"/>
          <w:szCs w:val="24"/>
          <w:shd w:val="clear" w:color="auto" w:fill="FFFFFF"/>
        </w:rPr>
        <w:t xml:space="preserve"> housing forum</w:t>
      </w:r>
      <w:r w:rsidR="001D5D1A" w:rsidRPr="003D22C3">
        <w:rPr>
          <w:rFonts w:cstheme="minorHAnsi"/>
          <w:color w:val="404040"/>
          <w:sz w:val="24"/>
          <w:szCs w:val="24"/>
          <w:shd w:val="clear" w:color="auto" w:fill="FFFFFF"/>
        </w:rPr>
        <w:t xml:space="preserve"> we also aim to:</w:t>
      </w:r>
    </w:p>
    <w:p w:rsidR="001D5D1A" w:rsidRPr="003D22C3" w:rsidRDefault="00EA6CAA" w:rsidP="003D22C3">
      <w:pPr>
        <w:pStyle w:val="ListParagraph"/>
        <w:numPr>
          <w:ilvl w:val="0"/>
          <w:numId w:val="1"/>
        </w:numPr>
        <w:shd w:val="clear" w:color="auto" w:fill="FFFFFF"/>
        <w:spacing w:before="100" w:beforeAutospacing="1" w:after="100" w:afterAutospacing="1" w:line="240" w:lineRule="auto"/>
        <w:jc w:val="both"/>
        <w:rPr>
          <w:rFonts w:eastAsia="Times New Roman" w:cstheme="minorHAnsi"/>
          <w:color w:val="404040"/>
          <w:sz w:val="24"/>
          <w:szCs w:val="24"/>
          <w:lang w:eastAsia="en-GB"/>
        </w:rPr>
      </w:pPr>
      <w:r w:rsidRPr="003D22C3">
        <w:rPr>
          <w:rFonts w:eastAsia="Times New Roman" w:cstheme="minorHAnsi"/>
          <w:i/>
          <w:iCs/>
          <w:color w:val="404040"/>
          <w:sz w:val="24"/>
          <w:szCs w:val="24"/>
          <w:lang w:eastAsia="en-GB"/>
        </w:rPr>
        <w:t xml:space="preserve"> </w:t>
      </w:r>
      <w:r w:rsidR="00033FBC" w:rsidRPr="003D22C3">
        <w:rPr>
          <w:rFonts w:eastAsia="Times New Roman" w:cstheme="minorHAnsi"/>
          <w:i/>
          <w:iCs/>
          <w:color w:val="404040"/>
          <w:sz w:val="24"/>
          <w:szCs w:val="24"/>
          <w:lang w:eastAsia="en-GB"/>
        </w:rPr>
        <w:t>Provide strategic leadership – shaping and setting the housing agenda;</w:t>
      </w:r>
    </w:p>
    <w:p w:rsidR="00033FBC" w:rsidRPr="003D22C3" w:rsidRDefault="00033FBC" w:rsidP="003D22C3">
      <w:pPr>
        <w:pStyle w:val="ListParagraph"/>
        <w:numPr>
          <w:ilvl w:val="0"/>
          <w:numId w:val="1"/>
        </w:numPr>
        <w:shd w:val="clear" w:color="auto" w:fill="FFFFFF"/>
        <w:spacing w:before="100" w:beforeAutospacing="1" w:after="100" w:afterAutospacing="1" w:line="240" w:lineRule="auto"/>
        <w:jc w:val="both"/>
        <w:rPr>
          <w:rFonts w:eastAsia="Times New Roman" w:cstheme="minorHAnsi"/>
          <w:color w:val="404040"/>
          <w:sz w:val="24"/>
          <w:szCs w:val="24"/>
          <w:lang w:eastAsia="en-GB"/>
        </w:rPr>
      </w:pPr>
      <w:r w:rsidRPr="003D22C3">
        <w:rPr>
          <w:rFonts w:eastAsia="Times New Roman" w:cstheme="minorHAnsi"/>
          <w:i/>
          <w:iCs/>
          <w:color w:val="404040"/>
          <w:sz w:val="24"/>
          <w:szCs w:val="24"/>
          <w:lang w:eastAsia="en-GB"/>
        </w:rPr>
        <w:t>To build relationships and influence decisions for the benefit of Kent;</w:t>
      </w:r>
    </w:p>
    <w:p w:rsidR="00033FBC" w:rsidRPr="003D22C3" w:rsidRDefault="00033FBC" w:rsidP="003D22C3">
      <w:pPr>
        <w:numPr>
          <w:ilvl w:val="0"/>
          <w:numId w:val="1"/>
        </w:numPr>
        <w:shd w:val="clear" w:color="auto" w:fill="FFFFFF"/>
        <w:spacing w:before="100" w:beforeAutospacing="1" w:after="100" w:afterAutospacing="1" w:line="240" w:lineRule="auto"/>
        <w:jc w:val="both"/>
        <w:rPr>
          <w:rFonts w:eastAsia="Times New Roman" w:cstheme="minorHAnsi"/>
          <w:color w:val="404040"/>
          <w:sz w:val="24"/>
          <w:szCs w:val="24"/>
          <w:lang w:eastAsia="en-GB"/>
        </w:rPr>
      </w:pPr>
      <w:r w:rsidRPr="003D22C3">
        <w:rPr>
          <w:rFonts w:eastAsia="Times New Roman" w:cstheme="minorHAnsi"/>
          <w:i/>
          <w:iCs/>
          <w:color w:val="404040"/>
          <w:sz w:val="24"/>
          <w:szCs w:val="24"/>
          <w:lang w:eastAsia="en-GB"/>
        </w:rPr>
        <w:t>To draw in resources from both traditional and alternative sources.</w:t>
      </w:r>
    </w:p>
    <w:p w:rsidR="00033FBC" w:rsidRPr="003D22C3" w:rsidRDefault="00033FBC" w:rsidP="003D22C3">
      <w:pPr>
        <w:numPr>
          <w:ilvl w:val="0"/>
          <w:numId w:val="1"/>
        </w:numPr>
        <w:shd w:val="clear" w:color="auto" w:fill="FFFFFF"/>
        <w:spacing w:before="100" w:beforeAutospacing="1" w:after="100" w:afterAutospacing="1" w:line="240" w:lineRule="auto"/>
        <w:jc w:val="both"/>
        <w:rPr>
          <w:rFonts w:eastAsia="Times New Roman" w:cstheme="minorHAnsi"/>
          <w:color w:val="404040"/>
          <w:sz w:val="24"/>
          <w:szCs w:val="24"/>
          <w:lang w:eastAsia="en-GB"/>
        </w:rPr>
      </w:pPr>
      <w:r w:rsidRPr="003D22C3">
        <w:rPr>
          <w:rFonts w:eastAsia="Times New Roman" w:cstheme="minorHAnsi"/>
          <w:i/>
          <w:iCs/>
          <w:color w:val="404040"/>
          <w:sz w:val="24"/>
          <w:szCs w:val="24"/>
          <w:lang w:eastAsia="en-GB"/>
        </w:rPr>
        <w:t>To work together to improve the supply and quality of affordable homes.</w:t>
      </w:r>
    </w:p>
    <w:p w:rsidR="00033FBC" w:rsidRPr="003D22C3" w:rsidRDefault="00033FBC" w:rsidP="003D22C3">
      <w:pPr>
        <w:numPr>
          <w:ilvl w:val="0"/>
          <w:numId w:val="1"/>
        </w:numPr>
        <w:shd w:val="clear" w:color="auto" w:fill="FFFFFF"/>
        <w:spacing w:before="100" w:beforeAutospacing="1" w:after="100" w:afterAutospacing="1" w:line="240" w:lineRule="auto"/>
        <w:jc w:val="both"/>
        <w:rPr>
          <w:rFonts w:eastAsia="Times New Roman" w:cstheme="minorHAnsi"/>
          <w:color w:val="404040"/>
          <w:sz w:val="24"/>
          <w:szCs w:val="24"/>
          <w:lang w:eastAsia="en-GB"/>
        </w:rPr>
      </w:pPr>
      <w:r w:rsidRPr="003D22C3">
        <w:rPr>
          <w:rFonts w:eastAsia="Times New Roman" w:cstheme="minorHAnsi"/>
          <w:i/>
          <w:iCs/>
          <w:color w:val="404040"/>
          <w:sz w:val="24"/>
          <w:szCs w:val="24"/>
          <w:lang w:eastAsia="en-GB"/>
        </w:rPr>
        <w:t>To create sustainable communities in Kent.</w:t>
      </w:r>
    </w:p>
    <w:p w:rsidR="00620C79" w:rsidRPr="003D22C3" w:rsidRDefault="00620C79" w:rsidP="003D22C3">
      <w:pPr>
        <w:shd w:val="clear" w:color="auto" w:fill="FFFFFF"/>
        <w:spacing w:before="100" w:beforeAutospacing="1" w:after="360" w:line="240" w:lineRule="auto"/>
        <w:jc w:val="both"/>
        <w:rPr>
          <w:rFonts w:eastAsia="Times New Roman" w:cstheme="minorHAnsi"/>
          <w:color w:val="404040"/>
          <w:sz w:val="24"/>
          <w:szCs w:val="24"/>
          <w:lang w:eastAsia="en-GB"/>
        </w:rPr>
      </w:pPr>
      <w:r w:rsidRPr="003D22C3">
        <w:rPr>
          <w:rFonts w:eastAsia="Times New Roman" w:cstheme="minorHAnsi"/>
          <w:color w:val="404040"/>
          <w:sz w:val="24"/>
          <w:szCs w:val="24"/>
          <w:lang w:eastAsia="en-GB"/>
        </w:rPr>
        <w:t xml:space="preserve">Representation on the KHG Executive Board includes; </w:t>
      </w:r>
    </w:p>
    <w:p w:rsidR="00620C79" w:rsidRPr="00C608B3" w:rsidRDefault="003D22C3" w:rsidP="003D22C3">
      <w:pPr>
        <w:pStyle w:val="ListParagraph"/>
        <w:numPr>
          <w:ilvl w:val="0"/>
          <w:numId w:val="2"/>
        </w:numPr>
        <w:shd w:val="clear" w:color="auto" w:fill="FFFFFF"/>
        <w:spacing w:before="100" w:beforeAutospacing="1" w:after="360" w:line="240" w:lineRule="auto"/>
        <w:jc w:val="both"/>
        <w:rPr>
          <w:rFonts w:eastAsia="Times New Roman" w:cstheme="minorHAnsi"/>
          <w:color w:val="404040"/>
          <w:sz w:val="24"/>
          <w:szCs w:val="24"/>
          <w:lang w:eastAsia="en-GB"/>
        </w:rPr>
      </w:pPr>
      <w:r w:rsidRPr="00C608B3">
        <w:rPr>
          <w:rFonts w:eastAsia="Times New Roman" w:cstheme="minorHAnsi"/>
          <w:b/>
          <w:color w:val="404040"/>
          <w:sz w:val="24"/>
          <w:szCs w:val="24"/>
          <w:lang w:eastAsia="en-GB"/>
        </w:rPr>
        <w:t>Elected Board Membership</w:t>
      </w:r>
      <w:r>
        <w:rPr>
          <w:rFonts w:eastAsia="Times New Roman" w:cstheme="minorHAnsi"/>
          <w:color w:val="404040"/>
          <w:sz w:val="24"/>
          <w:szCs w:val="24"/>
          <w:lang w:eastAsia="en-GB"/>
        </w:rPr>
        <w:t xml:space="preserve"> –  </w:t>
      </w:r>
      <w:r w:rsidRPr="003D22C3">
        <w:rPr>
          <w:rFonts w:eastAsia="Times New Roman" w:cstheme="minorHAnsi"/>
          <w:i/>
          <w:color w:val="404040"/>
          <w:sz w:val="24"/>
          <w:szCs w:val="24"/>
          <w:lang w:eastAsia="en-GB"/>
        </w:rPr>
        <w:t>Local Authority (x3) and Housing Association (x3)</w:t>
      </w:r>
    </w:p>
    <w:p w:rsidR="00C608B3" w:rsidRPr="003D22C3" w:rsidRDefault="00C608B3" w:rsidP="00C608B3">
      <w:pPr>
        <w:pStyle w:val="ListParagraph"/>
        <w:shd w:val="clear" w:color="auto" w:fill="FFFFFF"/>
        <w:spacing w:before="100" w:beforeAutospacing="1" w:after="360" w:line="240" w:lineRule="auto"/>
        <w:jc w:val="both"/>
        <w:rPr>
          <w:rFonts w:eastAsia="Times New Roman" w:cstheme="minorHAnsi"/>
          <w:color w:val="404040"/>
          <w:sz w:val="24"/>
          <w:szCs w:val="24"/>
          <w:lang w:eastAsia="en-GB"/>
        </w:rPr>
      </w:pPr>
    </w:p>
    <w:p w:rsidR="00C608B3" w:rsidRDefault="003D22C3" w:rsidP="00C608B3">
      <w:pPr>
        <w:pStyle w:val="ListParagraph"/>
        <w:numPr>
          <w:ilvl w:val="0"/>
          <w:numId w:val="2"/>
        </w:numPr>
        <w:shd w:val="clear" w:color="auto" w:fill="FFFFFF"/>
        <w:spacing w:before="100" w:beforeAutospacing="1" w:after="360" w:line="240" w:lineRule="auto"/>
        <w:jc w:val="both"/>
        <w:rPr>
          <w:rFonts w:eastAsia="Times New Roman" w:cstheme="minorHAnsi"/>
          <w:i/>
          <w:color w:val="404040"/>
          <w:sz w:val="24"/>
          <w:szCs w:val="24"/>
          <w:lang w:eastAsia="en-GB"/>
        </w:rPr>
      </w:pPr>
      <w:r w:rsidRPr="00C608B3">
        <w:rPr>
          <w:rFonts w:eastAsia="Times New Roman" w:cstheme="minorHAnsi"/>
          <w:b/>
          <w:color w:val="404040"/>
          <w:sz w:val="24"/>
          <w:szCs w:val="24"/>
          <w:lang w:eastAsia="en-GB"/>
        </w:rPr>
        <w:t>Nominated Board Membership</w:t>
      </w:r>
      <w:r>
        <w:rPr>
          <w:rFonts w:eastAsia="Times New Roman" w:cstheme="minorHAnsi"/>
          <w:color w:val="404040"/>
          <w:sz w:val="24"/>
          <w:szCs w:val="24"/>
          <w:lang w:eastAsia="en-GB"/>
        </w:rPr>
        <w:t xml:space="preserve"> - </w:t>
      </w:r>
      <w:r w:rsidRPr="003D22C3">
        <w:rPr>
          <w:rFonts w:eastAsia="Times New Roman" w:cstheme="minorHAnsi"/>
          <w:i/>
          <w:color w:val="404040"/>
          <w:sz w:val="24"/>
          <w:szCs w:val="24"/>
          <w:lang w:eastAsia="en-GB"/>
        </w:rPr>
        <w:t>Medway Council (x1) KCC Commissioning (x2), Homes England (x1), SELEP (x1), Kent Public Health (x1), Kent Homechoice (x1) KCC Partnership Liaison for the Kent Leaders &amp; Chief Executives (x1)</w:t>
      </w:r>
    </w:p>
    <w:p w:rsidR="00C608B3" w:rsidRPr="00C608B3" w:rsidRDefault="00C608B3" w:rsidP="00C608B3">
      <w:pPr>
        <w:pStyle w:val="ListParagraph"/>
        <w:rPr>
          <w:rFonts w:eastAsia="Times New Roman" w:cstheme="minorHAnsi"/>
          <w:i/>
          <w:color w:val="404040"/>
          <w:sz w:val="24"/>
          <w:szCs w:val="24"/>
          <w:lang w:eastAsia="en-GB"/>
        </w:rPr>
      </w:pPr>
    </w:p>
    <w:p w:rsidR="00620C79" w:rsidRPr="00C608B3" w:rsidRDefault="00C608B3" w:rsidP="00084117">
      <w:pPr>
        <w:pStyle w:val="ListParagraph"/>
        <w:numPr>
          <w:ilvl w:val="0"/>
          <w:numId w:val="2"/>
        </w:numPr>
        <w:shd w:val="clear" w:color="auto" w:fill="FFFFFF"/>
        <w:spacing w:before="100" w:beforeAutospacing="1" w:after="360" w:line="240" w:lineRule="auto"/>
        <w:jc w:val="both"/>
        <w:rPr>
          <w:rFonts w:eastAsia="Times New Roman" w:cstheme="minorHAnsi"/>
          <w:i/>
          <w:color w:val="404040"/>
          <w:sz w:val="24"/>
          <w:szCs w:val="24"/>
          <w:lang w:eastAsia="en-GB"/>
        </w:rPr>
      </w:pPr>
      <w:r w:rsidRPr="00C608B3">
        <w:rPr>
          <w:rFonts w:eastAsia="Times New Roman" w:cstheme="minorHAnsi"/>
          <w:b/>
          <w:color w:val="404040"/>
          <w:sz w:val="24"/>
          <w:szCs w:val="24"/>
          <w:lang w:eastAsia="en-GB"/>
        </w:rPr>
        <w:t>Additional Membership</w:t>
      </w:r>
      <w:r w:rsidRPr="00C608B3">
        <w:rPr>
          <w:rFonts w:eastAsia="Times New Roman" w:cstheme="minorHAnsi"/>
          <w:i/>
          <w:color w:val="404040"/>
          <w:sz w:val="24"/>
          <w:szCs w:val="24"/>
          <w:lang w:eastAsia="en-GB"/>
        </w:rPr>
        <w:t xml:space="preserve"> </w:t>
      </w:r>
      <w:r>
        <w:rPr>
          <w:rFonts w:eastAsia="Times New Roman" w:cstheme="minorHAnsi"/>
          <w:i/>
          <w:color w:val="404040"/>
          <w:sz w:val="24"/>
          <w:szCs w:val="24"/>
          <w:lang w:eastAsia="en-GB"/>
        </w:rPr>
        <w:t>–</w:t>
      </w:r>
      <w:r w:rsidRPr="00C608B3">
        <w:rPr>
          <w:rFonts w:eastAsia="Times New Roman" w:cstheme="minorHAnsi"/>
          <w:i/>
          <w:color w:val="404040"/>
          <w:sz w:val="24"/>
          <w:szCs w:val="24"/>
          <w:lang w:eastAsia="en-GB"/>
        </w:rPr>
        <w:t xml:space="preserve"> KHG Treasurer, Kent Planning Officers Group, Kent Developers Group (the latter two are invited to attend as appropriate)</w:t>
      </w:r>
      <w:r w:rsidR="00620C79" w:rsidRPr="00C608B3">
        <w:rPr>
          <w:rFonts w:eastAsia="Times New Roman" w:cstheme="minorHAnsi"/>
          <w:i/>
          <w:color w:val="404040"/>
          <w:sz w:val="24"/>
          <w:szCs w:val="24"/>
          <w:lang w:eastAsia="en-GB"/>
        </w:rPr>
        <w:t>.</w:t>
      </w:r>
    </w:p>
    <w:p w:rsidR="00C608B3" w:rsidRDefault="006701B2" w:rsidP="003D22C3">
      <w:pPr>
        <w:jc w:val="both"/>
        <w:rPr>
          <w:rFonts w:cstheme="minorHAnsi"/>
          <w:sz w:val="24"/>
          <w:szCs w:val="24"/>
        </w:rPr>
      </w:pPr>
      <w:r>
        <w:rPr>
          <w:rFonts w:cstheme="minorHAnsi"/>
          <w:sz w:val="24"/>
          <w:szCs w:val="24"/>
        </w:rPr>
        <w:lastRenderedPageBreak/>
        <w:t xml:space="preserve"> </w:t>
      </w:r>
    </w:p>
    <w:p w:rsidR="006701B2" w:rsidRDefault="006701B2" w:rsidP="003D22C3">
      <w:pPr>
        <w:jc w:val="both"/>
        <w:rPr>
          <w:rFonts w:cstheme="minorHAnsi"/>
          <w:sz w:val="24"/>
          <w:szCs w:val="24"/>
        </w:rPr>
      </w:pPr>
    </w:p>
    <w:p w:rsidR="00C608B3" w:rsidRPr="00C608B3" w:rsidRDefault="00C608B3" w:rsidP="003D22C3">
      <w:pPr>
        <w:jc w:val="both"/>
        <w:rPr>
          <w:rFonts w:cstheme="minorHAnsi"/>
          <w:b/>
          <w:sz w:val="24"/>
          <w:szCs w:val="24"/>
        </w:rPr>
      </w:pPr>
      <w:r w:rsidRPr="00C608B3">
        <w:rPr>
          <w:rFonts w:cstheme="minorHAnsi"/>
          <w:b/>
          <w:sz w:val="24"/>
          <w:szCs w:val="24"/>
        </w:rPr>
        <w:t xml:space="preserve">Please use the skills table to rate yourself </w:t>
      </w:r>
      <w:r>
        <w:rPr>
          <w:rFonts w:cstheme="minorHAnsi"/>
          <w:b/>
          <w:sz w:val="24"/>
          <w:szCs w:val="24"/>
        </w:rPr>
        <w:t>against each of the required competencies:</w:t>
      </w:r>
    </w:p>
    <w:tbl>
      <w:tblPr>
        <w:tblStyle w:val="TableGrid"/>
        <w:tblW w:w="0" w:type="auto"/>
        <w:tblLook w:val="04A0" w:firstRow="1" w:lastRow="0" w:firstColumn="1" w:lastColumn="0" w:noHBand="0" w:noVBand="1"/>
      </w:tblPr>
      <w:tblGrid>
        <w:gridCol w:w="704"/>
        <w:gridCol w:w="8312"/>
      </w:tblGrid>
      <w:tr w:rsidR="00512CF3" w:rsidRPr="005E571A" w:rsidTr="002B42A0">
        <w:tc>
          <w:tcPr>
            <w:tcW w:w="704" w:type="dxa"/>
          </w:tcPr>
          <w:p w:rsidR="00512CF3" w:rsidRPr="005E571A" w:rsidRDefault="00512CF3" w:rsidP="00512CF3">
            <w:pPr>
              <w:numPr>
                <w:ilvl w:val="0"/>
                <w:numId w:val="9"/>
              </w:numPr>
              <w:contextualSpacing/>
              <w:rPr>
                <w:sz w:val="24"/>
              </w:rPr>
            </w:pPr>
          </w:p>
        </w:tc>
        <w:tc>
          <w:tcPr>
            <w:tcW w:w="8312" w:type="dxa"/>
          </w:tcPr>
          <w:p w:rsidR="00512CF3" w:rsidRPr="005E571A" w:rsidRDefault="00512CF3" w:rsidP="00512CF3">
            <w:pPr>
              <w:rPr>
                <w:sz w:val="24"/>
              </w:rPr>
            </w:pPr>
            <w:r w:rsidRPr="005E571A">
              <w:rPr>
                <w:sz w:val="24"/>
              </w:rPr>
              <w:t>An area that interests me, but I have little knowledge and have had little exposure.</w:t>
            </w:r>
          </w:p>
        </w:tc>
      </w:tr>
      <w:tr w:rsidR="00512CF3" w:rsidRPr="005E571A" w:rsidTr="002B42A0">
        <w:tc>
          <w:tcPr>
            <w:tcW w:w="704" w:type="dxa"/>
          </w:tcPr>
          <w:p w:rsidR="00512CF3" w:rsidRPr="005E571A" w:rsidRDefault="00512CF3" w:rsidP="00512CF3">
            <w:pPr>
              <w:numPr>
                <w:ilvl w:val="0"/>
                <w:numId w:val="9"/>
              </w:numPr>
              <w:contextualSpacing/>
              <w:rPr>
                <w:sz w:val="24"/>
              </w:rPr>
            </w:pPr>
          </w:p>
        </w:tc>
        <w:tc>
          <w:tcPr>
            <w:tcW w:w="8312" w:type="dxa"/>
          </w:tcPr>
          <w:p w:rsidR="00512CF3" w:rsidRPr="005E571A" w:rsidRDefault="00512CF3" w:rsidP="00512CF3">
            <w:pPr>
              <w:rPr>
                <w:sz w:val="24"/>
              </w:rPr>
            </w:pPr>
            <w:r w:rsidRPr="005E571A">
              <w:rPr>
                <w:sz w:val="24"/>
              </w:rPr>
              <w:t>I take an interest in and know about this area through reading, learning and discussion, but I have not formally applied this knowledge within a professional context.</w:t>
            </w:r>
          </w:p>
        </w:tc>
      </w:tr>
      <w:tr w:rsidR="00512CF3" w:rsidRPr="005E571A" w:rsidTr="002B42A0">
        <w:tc>
          <w:tcPr>
            <w:tcW w:w="704" w:type="dxa"/>
          </w:tcPr>
          <w:p w:rsidR="00512CF3" w:rsidRPr="005E571A" w:rsidRDefault="00512CF3" w:rsidP="00512CF3">
            <w:pPr>
              <w:numPr>
                <w:ilvl w:val="0"/>
                <w:numId w:val="9"/>
              </w:numPr>
              <w:contextualSpacing/>
              <w:rPr>
                <w:sz w:val="24"/>
              </w:rPr>
            </w:pPr>
          </w:p>
        </w:tc>
        <w:tc>
          <w:tcPr>
            <w:tcW w:w="8312" w:type="dxa"/>
          </w:tcPr>
          <w:p w:rsidR="00512CF3" w:rsidRPr="005E571A" w:rsidRDefault="00512CF3" w:rsidP="00512CF3">
            <w:pPr>
              <w:rPr>
                <w:sz w:val="24"/>
              </w:rPr>
            </w:pPr>
            <w:r w:rsidRPr="005E571A">
              <w:rPr>
                <w:sz w:val="24"/>
              </w:rPr>
              <w:t>I have been exposed to this area as part of my professional roles in the past but am not currently applying the knowledge/skills professionally and actively keeping my knowledge up to date.</w:t>
            </w:r>
          </w:p>
        </w:tc>
      </w:tr>
      <w:tr w:rsidR="00512CF3" w:rsidRPr="005E571A" w:rsidTr="002B42A0">
        <w:tc>
          <w:tcPr>
            <w:tcW w:w="704" w:type="dxa"/>
          </w:tcPr>
          <w:p w:rsidR="00512CF3" w:rsidRPr="005E571A" w:rsidRDefault="00512CF3" w:rsidP="00512CF3">
            <w:pPr>
              <w:numPr>
                <w:ilvl w:val="0"/>
                <w:numId w:val="9"/>
              </w:numPr>
              <w:contextualSpacing/>
              <w:rPr>
                <w:sz w:val="24"/>
              </w:rPr>
            </w:pPr>
          </w:p>
        </w:tc>
        <w:tc>
          <w:tcPr>
            <w:tcW w:w="8312" w:type="dxa"/>
          </w:tcPr>
          <w:p w:rsidR="00512CF3" w:rsidRPr="005E571A" w:rsidRDefault="00512CF3" w:rsidP="00512CF3">
            <w:pPr>
              <w:rPr>
                <w:sz w:val="24"/>
              </w:rPr>
            </w:pPr>
            <w:r w:rsidRPr="005E571A">
              <w:rPr>
                <w:sz w:val="24"/>
              </w:rPr>
              <w:t>This is an area included in my current (or a recent role) and I feel confident discussing it, but I am not an expert.</w:t>
            </w:r>
          </w:p>
        </w:tc>
      </w:tr>
      <w:tr w:rsidR="00512CF3" w:rsidRPr="005E571A" w:rsidTr="002B42A0">
        <w:tc>
          <w:tcPr>
            <w:tcW w:w="704" w:type="dxa"/>
          </w:tcPr>
          <w:p w:rsidR="00512CF3" w:rsidRPr="005E571A" w:rsidRDefault="00512CF3" w:rsidP="00512CF3">
            <w:pPr>
              <w:numPr>
                <w:ilvl w:val="0"/>
                <w:numId w:val="9"/>
              </w:numPr>
              <w:contextualSpacing/>
              <w:rPr>
                <w:sz w:val="24"/>
              </w:rPr>
            </w:pPr>
          </w:p>
        </w:tc>
        <w:tc>
          <w:tcPr>
            <w:tcW w:w="8312" w:type="dxa"/>
          </w:tcPr>
          <w:p w:rsidR="00512CF3" w:rsidRPr="005E571A" w:rsidRDefault="00512CF3" w:rsidP="00512CF3">
            <w:pPr>
              <w:rPr>
                <w:sz w:val="24"/>
              </w:rPr>
            </w:pPr>
            <w:r w:rsidRPr="005E571A">
              <w:rPr>
                <w:sz w:val="24"/>
              </w:rPr>
              <w:t>I am an expert in this area and I hold a professional qualification and/or I am involved in this area on a regular basis in my current (or a recent) role/ have lived experience of this.</w:t>
            </w:r>
          </w:p>
        </w:tc>
      </w:tr>
    </w:tbl>
    <w:p w:rsidR="00C608B3" w:rsidRDefault="00C608B3" w:rsidP="003D22C3">
      <w:pPr>
        <w:jc w:val="both"/>
        <w:rPr>
          <w:rFonts w:cstheme="minorHAnsi"/>
          <w:i/>
          <w:szCs w:val="24"/>
        </w:rPr>
      </w:pPr>
    </w:p>
    <w:tbl>
      <w:tblPr>
        <w:tblStyle w:val="TableGrid"/>
        <w:tblW w:w="0" w:type="auto"/>
        <w:tblLook w:val="04A0" w:firstRow="1" w:lastRow="0" w:firstColumn="1" w:lastColumn="0" w:noHBand="0" w:noVBand="1"/>
      </w:tblPr>
      <w:tblGrid>
        <w:gridCol w:w="7650"/>
        <w:gridCol w:w="1366"/>
      </w:tblGrid>
      <w:tr w:rsidR="003D233D" w:rsidRPr="003D22C3" w:rsidTr="00507A05">
        <w:trPr>
          <w:trHeight w:val="396"/>
        </w:trPr>
        <w:tc>
          <w:tcPr>
            <w:tcW w:w="7650" w:type="dxa"/>
            <w:shd w:val="clear" w:color="auto" w:fill="D9D9D9" w:themeFill="background1" w:themeFillShade="D9"/>
            <w:vAlign w:val="center"/>
          </w:tcPr>
          <w:p w:rsidR="003D233D" w:rsidRPr="003D22C3" w:rsidRDefault="003D233D" w:rsidP="003D22C3">
            <w:pPr>
              <w:jc w:val="both"/>
              <w:rPr>
                <w:rFonts w:cstheme="minorHAnsi"/>
                <w:b/>
                <w:sz w:val="24"/>
                <w:szCs w:val="24"/>
              </w:rPr>
            </w:pPr>
            <w:r w:rsidRPr="003D22C3">
              <w:rPr>
                <w:rFonts w:cstheme="minorHAnsi"/>
                <w:b/>
                <w:sz w:val="24"/>
                <w:szCs w:val="24"/>
              </w:rPr>
              <w:t>Area of knowledge</w:t>
            </w:r>
          </w:p>
        </w:tc>
        <w:tc>
          <w:tcPr>
            <w:tcW w:w="1366" w:type="dxa"/>
            <w:shd w:val="clear" w:color="auto" w:fill="D9D9D9" w:themeFill="background1" w:themeFillShade="D9"/>
            <w:vAlign w:val="center"/>
          </w:tcPr>
          <w:p w:rsidR="003D233D" w:rsidRPr="003D22C3" w:rsidRDefault="003D233D" w:rsidP="003D22C3">
            <w:pPr>
              <w:jc w:val="both"/>
              <w:rPr>
                <w:rFonts w:cstheme="minorHAnsi"/>
                <w:b/>
                <w:sz w:val="24"/>
                <w:szCs w:val="24"/>
              </w:rPr>
            </w:pPr>
            <w:r w:rsidRPr="003D22C3">
              <w:rPr>
                <w:rFonts w:cstheme="minorHAnsi"/>
                <w:b/>
                <w:sz w:val="24"/>
                <w:szCs w:val="24"/>
              </w:rPr>
              <w:t>Rating</w:t>
            </w:r>
          </w:p>
        </w:tc>
      </w:tr>
      <w:tr w:rsidR="003D233D" w:rsidRPr="003D22C3" w:rsidTr="00507A05">
        <w:tc>
          <w:tcPr>
            <w:tcW w:w="7650" w:type="dxa"/>
          </w:tcPr>
          <w:p w:rsidR="003D233D" w:rsidRPr="003D22C3" w:rsidRDefault="003D233D" w:rsidP="003D22C3">
            <w:pPr>
              <w:jc w:val="both"/>
              <w:rPr>
                <w:rFonts w:cstheme="minorHAnsi"/>
                <w:sz w:val="24"/>
                <w:szCs w:val="24"/>
              </w:rPr>
            </w:pPr>
            <w:r w:rsidRPr="003D22C3">
              <w:rPr>
                <w:rFonts w:cstheme="minorHAnsi"/>
                <w:sz w:val="24"/>
                <w:szCs w:val="24"/>
              </w:rPr>
              <w:t>Central or local government (housing</w:t>
            </w:r>
            <w:r w:rsidR="003956FF">
              <w:rPr>
                <w:rFonts w:cstheme="minorHAnsi"/>
                <w:sz w:val="24"/>
                <w:szCs w:val="24"/>
              </w:rPr>
              <w:t>, health</w:t>
            </w:r>
            <w:r w:rsidRPr="003D22C3">
              <w:rPr>
                <w:rFonts w:cstheme="minorHAnsi"/>
                <w:sz w:val="24"/>
                <w:szCs w:val="24"/>
              </w:rPr>
              <w:t xml:space="preserve"> and community) and the political environment</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3D233D" w:rsidP="003D22C3">
            <w:pPr>
              <w:jc w:val="both"/>
              <w:rPr>
                <w:rFonts w:cstheme="minorHAnsi"/>
                <w:sz w:val="24"/>
                <w:szCs w:val="24"/>
              </w:rPr>
            </w:pPr>
            <w:r w:rsidRPr="003D22C3">
              <w:rPr>
                <w:rFonts w:cstheme="minorHAnsi"/>
                <w:sz w:val="24"/>
                <w:szCs w:val="24"/>
              </w:rPr>
              <w:t>Social housing and best practice, including the regulatory environment</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3956FF" w:rsidP="003D22C3">
            <w:pPr>
              <w:jc w:val="both"/>
              <w:rPr>
                <w:rFonts w:cstheme="minorHAnsi"/>
                <w:sz w:val="24"/>
                <w:szCs w:val="24"/>
              </w:rPr>
            </w:pPr>
            <w:r>
              <w:rPr>
                <w:rFonts w:cstheme="minorHAnsi"/>
                <w:sz w:val="24"/>
                <w:szCs w:val="24"/>
              </w:rPr>
              <w:t xml:space="preserve">Development and regeneration </w:t>
            </w:r>
            <w:r w:rsidR="00456146">
              <w:rPr>
                <w:rFonts w:cstheme="minorHAnsi"/>
                <w:sz w:val="24"/>
                <w:szCs w:val="24"/>
              </w:rPr>
              <w:t xml:space="preserve">using design and home standards </w:t>
            </w:r>
            <w:r>
              <w:rPr>
                <w:rFonts w:cstheme="minorHAnsi"/>
                <w:sz w:val="24"/>
                <w:szCs w:val="24"/>
              </w:rPr>
              <w:t>to promote social cohesion, positive and mental health wellbeing</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F108D0" w:rsidP="003D22C3">
            <w:pPr>
              <w:jc w:val="both"/>
              <w:rPr>
                <w:rFonts w:cstheme="minorHAnsi"/>
                <w:sz w:val="24"/>
                <w:szCs w:val="24"/>
              </w:rPr>
            </w:pPr>
            <w:r>
              <w:rPr>
                <w:rFonts w:cstheme="minorHAnsi"/>
                <w:sz w:val="24"/>
                <w:szCs w:val="24"/>
              </w:rPr>
              <w:t>Housing Health and Social Care co-commissioning</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3D233D" w:rsidP="003D22C3">
            <w:pPr>
              <w:jc w:val="both"/>
              <w:rPr>
                <w:rFonts w:cstheme="minorHAnsi"/>
                <w:sz w:val="24"/>
                <w:szCs w:val="24"/>
              </w:rPr>
            </w:pPr>
            <w:r w:rsidRPr="003D22C3">
              <w:rPr>
                <w:rFonts w:cstheme="minorHAnsi"/>
                <w:sz w:val="24"/>
                <w:szCs w:val="24"/>
              </w:rPr>
              <w:t>Supported housing and/or care service management</w:t>
            </w:r>
            <w:r w:rsidR="00F108D0">
              <w:rPr>
                <w:rFonts w:cstheme="minorHAnsi"/>
                <w:sz w:val="24"/>
                <w:szCs w:val="24"/>
              </w:rPr>
              <w:t>/ Homelessness prevention</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EE0D48" w:rsidP="003D22C3">
            <w:pPr>
              <w:jc w:val="both"/>
              <w:rPr>
                <w:rFonts w:cstheme="minorHAnsi"/>
                <w:sz w:val="24"/>
                <w:szCs w:val="24"/>
              </w:rPr>
            </w:pPr>
            <w:r>
              <w:rPr>
                <w:rFonts w:cstheme="minorHAnsi"/>
                <w:sz w:val="24"/>
                <w:szCs w:val="24"/>
              </w:rPr>
              <w:t xml:space="preserve">Strategic asset management for new building safety standards </w:t>
            </w:r>
            <w:r w:rsidR="004B1703">
              <w:rPr>
                <w:rFonts w:cstheme="minorHAnsi"/>
                <w:sz w:val="24"/>
                <w:szCs w:val="24"/>
              </w:rPr>
              <w:t xml:space="preserve">(encompassing </w:t>
            </w:r>
            <w:r w:rsidR="008C0253">
              <w:rPr>
                <w:rFonts w:cstheme="minorHAnsi"/>
                <w:sz w:val="24"/>
                <w:szCs w:val="24"/>
              </w:rPr>
              <w:t>new decent homes and use of</w:t>
            </w:r>
            <w:r w:rsidR="004B1703">
              <w:rPr>
                <w:rFonts w:cstheme="minorHAnsi"/>
                <w:sz w:val="24"/>
                <w:szCs w:val="24"/>
              </w:rPr>
              <w:t xml:space="preserve"> technology</w:t>
            </w:r>
            <w:r w:rsidR="008C0253">
              <w:rPr>
                <w:rFonts w:cstheme="minorHAnsi"/>
                <w:sz w:val="24"/>
                <w:szCs w:val="24"/>
              </w:rPr>
              <w:t xml:space="preserve"> to deliver</w:t>
            </w:r>
            <w:r w:rsidR="004B1703">
              <w:rPr>
                <w:rFonts w:cstheme="minorHAnsi"/>
                <w:sz w:val="24"/>
                <w:szCs w:val="24"/>
              </w:rPr>
              <w:t>)</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3D233D" w:rsidP="003D22C3">
            <w:pPr>
              <w:jc w:val="both"/>
              <w:rPr>
                <w:rFonts w:cstheme="minorHAnsi"/>
                <w:sz w:val="24"/>
                <w:szCs w:val="24"/>
              </w:rPr>
            </w:pPr>
            <w:r w:rsidRPr="003D22C3">
              <w:rPr>
                <w:rFonts w:cstheme="minorHAnsi"/>
                <w:sz w:val="24"/>
                <w:szCs w:val="24"/>
              </w:rPr>
              <w:t>Strategic asset management</w:t>
            </w:r>
            <w:r w:rsidR="00EE0D48">
              <w:rPr>
                <w:rFonts w:cstheme="minorHAnsi"/>
                <w:sz w:val="24"/>
                <w:szCs w:val="24"/>
              </w:rPr>
              <w:t xml:space="preserve"> for decarbonisation of existing buildings </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4B1703" w:rsidP="003D22C3">
            <w:pPr>
              <w:jc w:val="both"/>
              <w:rPr>
                <w:rFonts w:cstheme="minorHAnsi"/>
                <w:sz w:val="24"/>
                <w:szCs w:val="24"/>
              </w:rPr>
            </w:pPr>
            <w:r>
              <w:rPr>
                <w:rFonts w:cstheme="minorHAnsi"/>
                <w:sz w:val="24"/>
                <w:szCs w:val="24"/>
              </w:rPr>
              <w:t>Resident involvement and influence</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F108D0" w:rsidRPr="003D22C3" w:rsidRDefault="00207EEA" w:rsidP="003D22C3">
            <w:pPr>
              <w:jc w:val="both"/>
              <w:rPr>
                <w:rFonts w:cstheme="minorHAnsi"/>
                <w:sz w:val="24"/>
                <w:szCs w:val="24"/>
              </w:rPr>
            </w:pPr>
            <w:r>
              <w:rPr>
                <w:rFonts w:cstheme="minorHAnsi"/>
                <w:sz w:val="24"/>
                <w:szCs w:val="24"/>
              </w:rPr>
              <w:t>Master planning (covering infrastructure, partnership working for place making)</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F108D0" w:rsidRPr="003D22C3" w:rsidRDefault="00484D61" w:rsidP="003D22C3">
            <w:pPr>
              <w:jc w:val="both"/>
              <w:rPr>
                <w:rFonts w:cstheme="minorHAnsi"/>
                <w:sz w:val="24"/>
                <w:szCs w:val="24"/>
              </w:rPr>
            </w:pPr>
            <w:r>
              <w:rPr>
                <w:rFonts w:cstheme="minorHAnsi"/>
                <w:sz w:val="24"/>
                <w:szCs w:val="24"/>
              </w:rPr>
              <w:t>Marketing, research and analysis (to support Housing, Development and Community plans)</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7767C9" w:rsidP="003D22C3">
            <w:pPr>
              <w:jc w:val="both"/>
              <w:rPr>
                <w:rFonts w:cstheme="minorHAnsi"/>
                <w:sz w:val="24"/>
                <w:szCs w:val="24"/>
              </w:rPr>
            </w:pPr>
            <w:r>
              <w:rPr>
                <w:rFonts w:cstheme="minorHAnsi"/>
                <w:sz w:val="24"/>
                <w:szCs w:val="24"/>
              </w:rPr>
              <w:t>Preparing bids to access available Government Grants</w:t>
            </w:r>
            <w:r w:rsidR="004E5D47">
              <w:rPr>
                <w:rFonts w:cstheme="minorHAnsi"/>
                <w:sz w:val="24"/>
                <w:szCs w:val="24"/>
              </w:rPr>
              <w:t xml:space="preserve"> (eg. Housing Infrastructure Fund, Garden Community Fund and Homes England strategic partnerships)</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1E1B0D" w:rsidP="003D22C3">
            <w:pPr>
              <w:jc w:val="both"/>
              <w:rPr>
                <w:rFonts w:cstheme="minorHAnsi"/>
                <w:sz w:val="24"/>
                <w:szCs w:val="24"/>
              </w:rPr>
            </w:pPr>
            <w:r>
              <w:rPr>
                <w:rFonts w:cstheme="minorHAnsi"/>
                <w:sz w:val="24"/>
                <w:szCs w:val="24"/>
              </w:rPr>
              <w:t>Preparation of lobbying propositions and advocacy to influence policy makers</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5C1DDB" w:rsidP="003D22C3">
            <w:pPr>
              <w:jc w:val="both"/>
              <w:rPr>
                <w:rFonts w:cstheme="minorHAnsi"/>
                <w:sz w:val="24"/>
                <w:szCs w:val="24"/>
              </w:rPr>
            </w:pPr>
            <w:r>
              <w:rPr>
                <w:rFonts w:cstheme="minorHAnsi"/>
                <w:sz w:val="24"/>
                <w:szCs w:val="24"/>
              </w:rPr>
              <w:t>Modern Methods of Construction and off site manufacturing</w:t>
            </w:r>
          </w:p>
        </w:tc>
        <w:tc>
          <w:tcPr>
            <w:tcW w:w="1366" w:type="dxa"/>
          </w:tcPr>
          <w:p w:rsidR="003D233D" w:rsidRPr="003D22C3" w:rsidRDefault="003D233D" w:rsidP="003D22C3">
            <w:pPr>
              <w:jc w:val="both"/>
              <w:rPr>
                <w:rFonts w:cstheme="minorHAnsi"/>
                <w:sz w:val="24"/>
                <w:szCs w:val="24"/>
              </w:rPr>
            </w:pPr>
          </w:p>
        </w:tc>
      </w:tr>
      <w:tr w:rsidR="003D233D" w:rsidRPr="003D22C3" w:rsidTr="00507A05">
        <w:tc>
          <w:tcPr>
            <w:tcW w:w="7650" w:type="dxa"/>
          </w:tcPr>
          <w:p w:rsidR="003D233D" w:rsidRPr="003D22C3" w:rsidRDefault="00BB213E" w:rsidP="003D22C3">
            <w:pPr>
              <w:jc w:val="both"/>
              <w:rPr>
                <w:rFonts w:cstheme="minorHAnsi"/>
                <w:sz w:val="24"/>
                <w:szCs w:val="24"/>
              </w:rPr>
            </w:pPr>
            <w:r>
              <w:rPr>
                <w:rFonts w:cstheme="minorHAnsi"/>
                <w:sz w:val="24"/>
                <w:szCs w:val="24"/>
              </w:rPr>
              <w:t>Development and tracking delivery of strategy</w:t>
            </w:r>
          </w:p>
        </w:tc>
        <w:tc>
          <w:tcPr>
            <w:tcW w:w="1366" w:type="dxa"/>
          </w:tcPr>
          <w:p w:rsidR="003D233D" w:rsidRPr="003D22C3" w:rsidRDefault="003D233D" w:rsidP="003D22C3">
            <w:pPr>
              <w:jc w:val="both"/>
              <w:rPr>
                <w:rFonts w:cstheme="minorHAnsi"/>
                <w:sz w:val="24"/>
                <w:szCs w:val="24"/>
              </w:rPr>
            </w:pPr>
          </w:p>
        </w:tc>
      </w:tr>
    </w:tbl>
    <w:p w:rsidR="003D233D" w:rsidRPr="003D22C3" w:rsidRDefault="003D233D" w:rsidP="003D22C3">
      <w:pPr>
        <w:spacing w:after="0"/>
        <w:jc w:val="both"/>
        <w:rPr>
          <w:rFonts w:cstheme="minorHAnsi"/>
          <w:sz w:val="24"/>
          <w:szCs w:val="24"/>
        </w:rPr>
      </w:pPr>
    </w:p>
    <w:p w:rsidR="008569B2" w:rsidRPr="003D22C3" w:rsidRDefault="006701B2" w:rsidP="003D22C3">
      <w:pPr>
        <w:spacing w:after="0"/>
        <w:jc w:val="both"/>
        <w:rPr>
          <w:rFonts w:cstheme="minorHAnsi"/>
          <w:b/>
          <w:bCs/>
          <w:sz w:val="24"/>
          <w:szCs w:val="24"/>
        </w:rPr>
      </w:pPr>
      <w:r w:rsidRPr="005E571A">
        <w:rPr>
          <w:rFonts w:cstheme="minorHAnsi"/>
          <w:b/>
          <w:bCs/>
          <w:sz w:val="24"/>
          <w:szCs w:val="24"/>
        </w:rPr>
        <w:t>Members of the Board will also demonstrate</w:t>
      </w:r>
      <w:r w:rsidR="00214633" w:rsidRPr="005E571A">
        <w:rPr>
          <w:rFonts w:cstheme="minorHAnsi"/>
          <w:b/>
          <w:bCs/>
          <w:sz w:val="24"/>
          <w:szCs w:val="24"/>
        </w:rPr>
        <w:t xml:space="preserve"> a track record in</w:t>
      </w:r>
      <w:r w:rsidRPr="005E571A">
        <w:rPr>
          <w:rFonts w:cstheme="minorHAnsi"/>
          <w:b/>
          <w:bCs/>
          <w:sz w:val="24"/>
          <w:szCs w:val="24"/>
        </w:rPr>
        <w:t>;</w:t>
      </w:r>
      <w:r>
        <w:rPr>
          <w:rFonts w:cstheme="minorHAnsi"/>
          <w:b/>
          <w:bCs/>
          <w:sz w:val="24"/>
          <w:szCs w:val="24"/>
        </w:rPr>
        <w:t xml:space="preserve"> </w:t>
      </w:r>
      <w:r w:rsidR="008569B2" w:rsidRPr="003D22C3">
        <w:rPr>
          <w:rFonts w:cstheme="minorHAnsi"/>
          <w:b/>
          <w:bCs/>
          <w:sz w:val="24"/>
          <w:szCs w:val="24"/>
        </w:rPr>
        <w:t xml:space="preserve"> </w:t>
      </w:r>
    </w:p>
    <w:p w:rsidR="003D233D" w:rsidRPr="003D22C3" w:rsidRDefault="003D233D" w:rsidP="003D22C3">
      <w:pPr>
        <w:spacing w:after="0"/>
        <w:jc w:val="both"/>
        <w:rPr>
          <w:rFonts w:cstheme="minorHAnsi"/>
          <w:sz w:val="24"/>
          <w:szCs w:val="24"/>
        </w:rPr>
      </w:pPr>
      <w:r w:rsidRPr="003D22C3">
        <w:rPr>
          <w:rFonts w:cstheme="minorHAnsi"/>
          <w:sz w:val="24"/>
          <w:szCs w:val="24"/>
        </w:rPr>
        <w:t xml:space="preserve">Leadership and reputation building </w:t>
      </w:r>
    </w:p>
    <w:p w:rsidR="003D233D" w:rsidRPr="003D22C3" w:rsidRDefault="003D233D" w:rsidP="003D22C3">
      <w:pPr>
        <w:numPr>
          <w:ilvl w:val="0"/>
          <w:numId w:val="4"/>
        </w:numPr>
        <w:spacing w:after="0"/>
        <w:contextualSpacing/>
        <w:jc w:val="both"/>
        <w:rPr>
          <w:rFonts w:cstheme="minorHAnsi"/>
          <w:sz w:val="24"/>
          <w:szCs w:val="24"/>
        </w:rPr>
      </w:pPr>
      <w:r w:rsidRPr="003D22C3">
        <w:rPr>
          <w:rFonts w:cstheme="minorHAnsi"/>
          <w:sz w:val="24"/>
          <w:szCs w:val="24"/>
        </w:rPr>
        <w:t xml:space="preserve">Commitment to </w:t>
      </w:r>
      <w:r w:rsidR="008569B2" w:rsidRPr="003D22C3">
        <w:rPr>
          <w:rFonts w:cstheme="minorHAnsi"/>
          <w:sz w:val="24"/>
          <w:szCs w:val="24"/>
        </w:rPr>
        <w:t>KHG</w:t>
      </w:r>
      <w:r w:rsidRPr="003D22C3">
        <w:rPr>
          <w:rFonts w:cstheme="minorHAnsi"/>
          <w:sz w:val="24"/>
          <w:szCs w:val="24"/>
        </w:rPr>
        <w:t xml:space="preserve"> values underpins actions and decisions</w:t>
      </w:r>
    </w:p>
    <w:p w:rsidR="003D233D" w:rsidRPr="003D22C3" w:rsidRDefault="003D233D" w:rsidP="003D22C3">
      <w:pPr>
        <w:numPr>
          <w:ilvl w:val="0"/>
          <w:numId w:val="4"/>
        </w:numPr>
        <w:spacing w:after="0"/>
        <w:contextualSpacing/>
        <w:jc w:val="both"/>
        <w:rPr>
          <w:rFonts w:cstheme="minorHAnsi"/>
          <w:sz w:val="24"/>
          <w:szCs w:val="24"/>
        </w:rPr>
      </w:pPr>
      <w:r w:rsidRPr="003D22C3">
        <w:rPr>
          <w:rFonts w:cstheme="minorHAnsi"/>
          <w:sz w:val="24"/>
          <w:szCs w:val="24"/>
        </w:rPr>
        <w:t xml:space="preserve">Inspires trust and confidence in the way </w:t>
      </w:r>
      <w:r w:rsidR="008569B2" w:rsidRPr="003D22C3">
        <w:rPr>
          <w:rFonts w:cstheme="minorHAnsi"/>
          <w:sz w:val="24"/>
          <w:szCs w:val="24"/>
        </w:rPr>
        <w:t>KHG operates</w:t>
      </w:r>
    </w:p>
    <w:p w:rsidR="003D233D" w:rsidRPr="003D22C3" w:rsidRDefault="003D233D" w:rsidP="003D22C3">
      <w:pPr>
        <w:numPr>
          <w:ilvl w:val="0"/>
          <w:numId w:val="4"/>
        </w:numPr>
        <w:spacing w:after="0"/>
        <w:contextualSpacing/>
        <w:jc w:val="both"/>
        <w:rPr>
          <w:rFonts w:cstheme="minorHAnsi"/>
          <w:sz w:val="24"/>
          <w:szCs w:val="24"/>
        </w:rPr>
      </w:pPr>
      <w:r w:rsidRPr="003D22C3">
        <w:rPr>
          <w:rFonts w:cstheme="minorHAnsi"/>
          <w:sz w:val="24"/>
          <w:szCs w:val="24"/>
        </w:rPr>
        <w:t xml:space="preserve">Proactively seeks opportunities to effectively promote </w:t>
      </w:r>
      <w:r w:rsidR="008569B2" w:rsidRPr="003D22C3">
        <w:rPr>
          <w:rFonts w:cstheme="minorHAnsi"/>
          <w:sz w:val="24"/>
          <w:szCs w:val="24"/>
        </w:rPr>
        <w:t>KHG</w:t>
      </w:r>
      <w:r w:rsidRPr="003D22C3">
        <w:rPr>
          <w:rFonts w:cstheme="minorHAnsi"/>
          <w:sz w:val="24"/>
          <w:szCs w:val="24"/>
        </w:rPr>
        <w:t xml:space="preserve"> </w:t>
      </w:r>
    </w:p>
    <w:p w:rsidR="003D233D" w:rsidRPr="003D22C3" w:rsidRDefault="003D233D" w:rsidP="003D22C3">
      <w:pPr>
        <w:spacing w:after="0"/>
        <w:jc w:val="both"/>
        <w:rPr>
          <w:rFonts w:cstheme="minorHAnsi"/>
          <w:sz w:val="24"/>
          <w:szCs w:val="24"/>
        </w:rPr>
      </w:pPr>
    </w:p>
    <w:p w:rsidR="003D233D" w:rsidRPr="003D22C3" w:rsidRDefault="003D233D" w:rsidP="003D22C3">
      <w:pPr>
        <w:spacing w:after="0"/>
        <w:jc w:val="both"/>
        <w:rPr>
          <w:rFonts w:cstheme="minorHAnsi"/>
          <w:sz w:val="24"/>
          <w:szCs w:val="24"/>
        </w:rPr>
      </w:pPr>
      <w:r w:rsidRPr="003D22C3">
        <w:rPr>
          <w:rFonts w:cstheme="minorHAnsi"/>
          <w:sz w:val="24"/>
          <w:szCs w:val="24"/>
        </w:rPr>
        <w:t>Strategy understanding and business acumen</w:t>
      </w:r>
    </w:p>
    <w:p w:rsidR="003D233D" w:rsidRPr="003D22C3" w:rsidRDefault="003D233D" w:rsidP="003D22C3">
      <w:pPr>
        <w:numPr>
          <w:ilvl w:val="0"/>
          <w:numId w:val="5"/>
        </w:numPr>
        <w:spacing w:after="0"/>
        <w:contextualSpacing/>
        <w:jc w:val="both"/>
        <w:rPr>
          <w:rFonts w:cstheme="minorHAnsi"/>
          <w:sz w:val="24"/>
          <w:szCs w:val="24"/>
        </w:rPr>
      </w:pPr>
      <w:r w:rsidRPr="003D22C3">
        <w:rPr>
          <w:rFonts w:cstheme="minorHAnsi"/>
          <w:sz w:val="24"/>
          <w:szCs w:val="24"/>
        </w:rPr>
        <w:t xml:space="preserve">Understands and contributes to the development of </w:t>
      </w:r>
      <w:r w:rsidR="008569B2" w:rsidRPr="003D22C3">
        <w:rPr>
          <w:rFonts w:cstheme="minorHAnsi"/>
          <w:sz w:val="24"/>
          <w:szCs w:val="24"/>
        </w:rPr>
        <w:t>KHG</w:t>
      </w:r>
      <w:r w:rsidRPr="003D22C3">
        <w:rPr>
          <w:rFonts w:cstheme="minorHAnsi"/>
          <w:sz w:val="24"/>
          <w:szCs w:val="24"/>
        </w:rPr>
        <w:t xml:space="preserve"> strategic aims</w:t>
      </w:r>
    </w:p>
    <w:p w:rsidR="003D233D" w:rsidRPr="003D22C3" w:rsidRDefault="003D233D" w:rsidP="003D22C3">
      <w:pPr>
        <w:numPr>
          <w:ilvl w:val="0"/>
          <w:numId w:val="5"/>
        </w:numPr>
        <w:spacing w:after="0"/>
        <w:contextualSpacing/>
        <w:jc w:val="both"/>
        <w:rPr>
          <w:rFonts w:cstheme="minorHAnsi"/>
          <w:sz w:val="24"/>
          <w:szCs w:val="24"/>
        </w:rPr>
      </w:pPr>
      <w:r w:rsidRPr="003D22C3">
        <w:rPr>
          <w:rFonts w:cstheme="minorHAnsi"/>
          <w:sz w:val="24"/>
          <w:szCs w:val="24"/>
        </w:rPr>
        <w:t>Takes a measured approach to decisions, balancing the risks</w:t>
      </w:r>
      <w:r w:rsidR="008569B2" w:rsidRPr="003D22C3">
        <w:rPr>
          <w:rFonts w:cstheme="minorHAnsi"/>
          <w:sz w:val="24"/>
          <w:szCs w:val="24"/>
        </w:rPr>
        <w:t xml:space="preserve"> and benefits, reputational implications</w:t>
      </w:r>
      <w:r w:rsidRPr="003D22C3">
        <w:rPr>
          <w:rFonts w:cstheme="minorHAnsi"/>
          <w:sz w:val="24"/>
          <w:szCs w:val="24"/>
        </w:rPr>
        <w:t xml:space="preserve"> </w:t>
      </w:r>
    </w:p>
    <w:p w:rsidR="003D233D" w:rsidRPr="003D22C3" w:rsidRDefault="003D233D" w:rsidP="003D22C3">
      <w:pPr>
        <w:numPr>
          <w:ilvl w:val="0"/>
          <w:numId w:val="5"/>
        </w:numPr>
        <w:spacing w:after="0"/>
        <w:contextualSpacing/>
        <w:jc w:val="both"/>
        <w:rPr>
          <w:rFonts w:cstheme="minorHAnsi"/>
          <w:sz w:val="24"/>
          <w:szCs w:val="24"/>
        </w:rPr>
      </w:pPr>
      <w:r w:rsidRPr="003D22C3">
        <w:rPr>
          <w:rFonts w:cstheme="minorHAnsi"/>
          <w:sz w:val="24"/>
          <w:szCs w:val="24"/>
        </w:rPr>
        <w:t>Identifies critical success factors to evaluate the effectiveness of strategy</w:t>
      </w:r>
    </w:p>
    <w:p w:rsidR="003D233D" w:rsidRDefault="003D233D" w:rsidP="003D22C3">
      <w:pPr>
        <w:spacing w:after="0"/>
        <w:jc w:val="both"/>
        <w:rPr>
          <w:rFonts w:cstheme="minorHAnsi"/>
          <w:sz w:val="24"/>
          <w:szCs w:val="24"/>
        </w:rPr>
      </w:pPr>
    </w:p>
    <w:p w:rsidR="003D233D" w:rsidRPr="003D22C3" w:rsidRDefault="003D233D" w:rsidP="003D22C3">
      <w:pPr>
        <w:spacing w:after="0"/>
        <w:jc w:val="both"/>
        <w:rPr>
          <w:rFonts w:cstheme="minorHAnsi"/>
          <w:sz w:val="24"/>
          <w:szCs w:val="24"/>
        </w:rPr>
      </w:pPr>
      <w:r w:rsidRPr="003D22C3">
        <w:rPr>
          <w:rFonts w:cstheme="minorHAnsi"/>
          <w:sz w:val="24"/>
          <w:szCs w:val="24"/>
        </w:rPr>
        <w:t>Analytical and creative thinking</w:t>
      </w:r>
    </w:p>
    <w:p w:rsidR="003D233D" w:rsidRPr="003D22C3" w:rsidRDefault="003D233D" w:rsidP="003D22C3">
      <w:pPr>
        <w:numPr>
          <w:ilvl w:val="0"/>
          <w:numId w:val="6"/>
        </w:numPr>
        <w:spacing w:after="0"/>
        <w:contextualSpacing/>
        <w:jc w:val="both"/>
        <w:rPr>
          <w:rFonts w:cstheme="minorHAnsi"/>
          <w:sz w:val="24"/>
          <w:szCs w:val="24"/>
        </w:rPr>
      </w:pPr>
      <w:r w:rsidRPr="003D22C3">
        <w:rPr>
          <w:rFonts w:cstheme="minorHAnsi"/>
          <w:sz w:val="24"/>
          <w:szCs w:val="24"/>
        </w:rPr>
        <w:t>Identifies the key factors or issues in a complex problem</w:t>
      </w:r>
    </w:p>
    <w:p w:rsidR="003D233D" w:rsidRPr="003D22C3" w:rsidRDefault="003D233D" w:rsidP="003D22C3">
      <w:pPr>
        <w:numPr>
          <w:ilvl w:val="0"/>
          <w:numId w:val="6"/>
        </w:numPr>
        <w:spacing w:after="0"/>
        <w:contextualSpacing/>
        <w:jc w:val="both"/>
        <w:rPr>
          <w:rFonts w:cstheme="minorHAnsi"/>
          <w:sz w:val="24"/>
          <w:szCs w:val="24"/>
        </w:rPr>
      </w:pPr>
      <w:r w:rsidRPr="003D22C3">
        <w:rPr>
          <w:rFonts w:cstheme="minorHAnsi"/>
          <w:sz w:val="24"/>
          <w:szCs w:val="24"/>
        </w:rPr>
        <w:t>Thinks creatively when setting future strategy and goals</w:t>
      </w:r>
    </w:p>
    <w:p w:rsidR="003D233D" w:rsidRPr="003D22C3" w:rsidRDefault="003D233D" w:rsidP="003D22C3">
      <w:pPr>
        <w:numPr>
          <w:ilvl w:val="0"/>
          <w:numId w:val="6"/>
        </w:numPr>
        <w:spacing w:after="0"/>
        <w:contextualSpacing/>
        <w:jc w:val="both"/>
        <w:rPr>
          <w:rFonts w:cstheme="minorHAnsi"/>
          <w:sz w:val="24"/>
          <w:szCs w:val="24"/>
        </w:rPr>
      </w:pPr>
      <w:r w:rsidRPr="003D22C3">
        <w:rPr>
          <w:rFonts w:cstheme="minorHAnsi"/>
          <w:sz w:val="24"/>
          <w:szCs w:val="24"/>
        </w:rPr>
        <w:t>Challenges assumptions and demonstrates a capacity to think laterally</w:t>
      </w:r>
    </w:p>
    <w:p w:rsidR="003D233D" w:rsidRPr="003D22C3" w:rsidRDefault="003D233D" w:rsidP="003D22C3">
      <w:pPr>
        <w:spacing w:after="0"/>
        <w:jc w:val="both"/>
        <w:rPr>
          <w:rFonts w:cstheme="minorHAnsi"/>
          <w:sz w:val="24"/>
          <w:szCs w:val="24"/>
        </w:rPr>
      </w:pPr>
    </w:p>
    <w:p w:rsidR="003D233D" w:rsidRPr="003D22C3" w:rsidRDefault="003D233D" w:rsidP="003D22C3">
      <w:pPr>
        <w:spacing w:after="0"/>
        <w:jc w:val="both"/>
        <w:rPr>
          <w:rFonts w:cstheme="minorHAnsi"/>
          <w:sz w:val="24"/>
          <w:szCs w:val="24"/>
        </w:rPr>
      </w:pPr>
      <w:r w:rsidRPr="003D22C3">
        <w:rPr>
          <w:rFonts w:cstheme="minorHAnsi"/>
          <w:sz w:val="24"/>
          <w:szCs w:val="24"/>
        </w:rPr>
        <w:t>Communication, influencing and building relationships</w:t>
      </w:r>
    </w:p>
    <w:p w:rsidR="003D233D" w:rsidRPr="003D22C3" w:rsidRDefault="003D233D" w:rsidP="003D22C3">
      <w:pPr>
        <w:numPr>
          <w:ilvl w:val="0"/>
          <w:numId w:val="7"/>
        </w:numPr>
        <w:spacing w:after="0"/>
        <w:contextualSpacing/>
        <w:jc w:val="both"/>
        <w:rPr>
          <w:rFonts w:cstheme="minorHAnsi"/>
          <w:sz w:val="24"/>
          <w:szCs w:val="24"/>
        </w:rPr>
      </w:pPr>
      <w:r w:rsidRPr="003D22C3">
        <w:rPr>
          <w:rFonts w:cstheme="minorHAnsi"/>
          <w:sz w:val="24"/>
          <w:szCs w:val="24"/>
        </w:rPr>
        <w:t>Contributes regularly and effectively at meetings, remains focused on the pertinent issues</w:t>
      </w:r>
    </w:p>
    <w:p w:rsidR="003D233D" w:rsidRPr="003D22C3" w:rsidRDefault="003D233D" w:rsidP="003D22C3">
      <w:pPr>
        <w:numPr>
          <w:ilvl w:val="0"/>
          <w:numId w:val="7"/>
        </w:numPr>
        <w:spacing w:after="0"/>
        <w:contextualSpacing/>
        <w:jc w:val="both"/>
        <w:rPr>
          <w:rFonts w:cstheme="minorHAnsi"/>
          <w:sz w:val="24"/>
          <w:szCs w:val="24"/>
        </w:rPr>
      </w:pPr>
      <w:r w:rsidRPr="003D22C3">
        <w:rPr>
          <w:rFonts w:cstheme="minorHAnsi"/>
          <w:sz w:val="24"/>
          <w:szCs w:val="24"/>
        </w:rPr>
        <w:t>Establishes effective relationships with others, including teamwork</w:t>
      </w:r>
    </w:p>
    <w:p w:rsidR="003D233D" w:rsidRPr="001F2ECF" w:rsidRDefault="003D233D" w:rsidP="003D22C3">
      <w:pPr>
        <w:numPr>
          <w:ilvl w:val="0"/>
          <w:numId w:val="7"/>
        </w:numPr>
        <w:spacing w:after="0"/>
        <w:contextualSpacing/>
        <w:jc w:val="both"/>
        <w:rPr>
          <w:rFonts w:cstheme="minorHAnsi"/>
          <w:sz w:val="24"/>
          <w:szCs w:val="24"/>
        </w:rPr>
      </w:pPr>
      <w:r w:rsidRPr="003D22C3">
        <w:rPr>
          <w:rFonts w:cstheme="minorHAnsi"/>
          <w:sz w:val="24"/>
          <w:szCs w:val="24"/>
        </w:rPr>
        <w:t xml:space="preserve">Brings disagreement into the open for discussion when appropriate </w:t>
      </w:r>
    </w:p>
    <w:sectPr w:rsidR="003D233D" w:rsidRPr="001F2ECF" w:rsidSect="00221C18">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CC" w:rsidRDefault="009F01CC" w:rsidP="00C608B3">
      <w:pPr>
        <w:spacing w:after="0" w:line="240" w:lineRule="auto"/>
      </w:pPr>
      <w:r>
        <w:separator/>
      </w:r>
    </w:p>
  </w:endnote>
  <w:endnote w:type="continuationSeparator" w:id="0">
    <w:p w:rsidR="009F01CC" w:rsidRDefault="009F01CC" w:rsidP="00C6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516756"/>
      <w:docPartObj>
        <w:docPartGallery w:val="Page Numbers (Bottom of Page)"/>
        <w:docPartUnique/>
      </w:docPartObj>
    </w:sdtPr>
    <w:sdtEndPr>
      <w:rPr>
        <w:noProof/>
      </w:rPr>
    </w:sdtEndPr>
    <w:sdtContent>
      <w:p w:rsidR="00C608B3" w:rsidRDefault="00C608B3">
        <w:pPr>
          <w:pStyle w:val="Footer"/>
          <w:jc w:val="right"/>
        </w:pPr>
        <w:r>
          <w:fldChar w:fldCharType="begin"/>
        </w:r>
        <w:r>
          <w:instrText xml:space="preserve"> PAGE   \* MERGEFORMAT </w:instrText>
        </w:r>
        <w:r>
          <w:fldChar w:fldCharType="separate"/>
        </w:r>
        <w:r w:rsidR="009F01CC">
          <w:rPr>
            <w:noProof/>
          </w:rPr>
          <w:t>1</w:t>
        </w:r>
        <w:r>
          <w:rPr>
            <w:noProof/>
          </w:rPr>
          <w:fldChar w:fldCharType="end"/>
        </w:r>
      </w:p>
    </w:sdtContent>
  </w:sdt>
  <w:p w:rsidR="00C608B3" w:rsidRDefault="00C6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CC" w:rsidRDefault="009F01CC" w:rsidP="00C608B3">
      <w:pPr>
        <w:spacing w:after="0" w:line="240" w:lineRule="auto"/>
      </w:pPr>
      <w:r>
        <w:separator/>
      </w:r>
    </w:p>
  </w:footnote>
  <w:footnote w:type="continuationSeparator" w:id="0">
    <w:p w:rsidR="009F01CC" w:rsidRDefault="009F01CC" w:rsidP="00C60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931"/>
    <w:multiLevelType w:val="hybridMultilevel"/>
    <w:tmpl w:val="C3865E3A"/>
    <w:lvl w:ilvl="0" w:tplc="687A80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681340"/>
    <w:multiLevelType w:val="hybridMultilevel"/>
    <w:tmpl w:val="60FC2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B22C1"/>
    <w:multiLevelType w:val="hybridMultilevel"/>
    <w:tmpl w:val="151C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059E1"/>
    <w:multiLevelType w:val="multilevel"/>
    <w:tmpl w:val="ADB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27BB5"/>
    <w:multiLevelType w:val="hybridMultilevel"/>
    <w:tmpl w:val="644AFD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54BA3A84"/>
    <w:multiLevelType w:val="hybridMultilevel"/>
    <w:tmpl w:val="15F6F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926142"/>
    <w:multiLevelType w:val="hybridMultilevel"/>
    <w:tmpl w:val="BB50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B067F"/>
    <w:multiLevelType w:val="hybridMultilevel"/>
    <w:tmpl w:val="D96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37252"/>
    <w:multiLevelType w:val="hybridMultilevel"/>
    <w:tmpl w:val="EEBC5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BC"/>
    <w:rsid w:val="00033FBC"/>
    <w:rsid w:val="001D5D1A"/>
    <w:rsid w:val="001E1B0D"/>
    <w:rsid w:val="001F2ECF"/>
    <w:rsid w:val="001F6E0E"/>
    <w:rsid w:val="00207EEA"/>
    <w:rsid w:val="00214633"/>
    <w:rsid w:val="00221C18"/>
    <w:rsid w:val="003956FF"/>
    <w:rsid w:val="003D22C3"/>
    <w:rsid w:val="003D233D"/>
    <w:rsid w:val="00456146"/>
    <w:rsid w:val="00477AFD"/>
    <w:rsid w:val="00484D61"/>
    <w:rsid w:val="004B1703"/>
    <w:rsid w:val="004D114F"/>
    <w:rsid w:val="004E5D47"/>
    <w:rsid w:val="00512CF3"/>
    <w:rsid w:val="005C1DDB"/>
    <w:rsid w:val="005E571A"/>
    <w:rsid w:val="00620C79"/>
    <w:rsid w:val="006701B2"/>
    <w:rsid w:val="006F554E"/>
    <w:rsid w:val="0072218A"/>
    <w:rsid w:val="007767C9"/>
    <w:rsid w:val="00812CBD"/>
    <w:rsid w:val="008569B2"/>
    <w:rsid w:val="008722F1"/>
    <w:rsid w:val="00896289"/>
    <w:rsid w:val="008C0253"/>
    <w:rsid w:val="00964CAF"/>
    <w:rsid w:val="009F01CC"/>
    <w:rsid w:val="00A022D0"/>
    <w:rsid w:val="00B26949"/>
    <w:rsid w:val="00BA265B"/>
    <w:rsid w:val="00BB213E"/>
    <w:rsid w:val="00C52B8B"/>
    <w:rsid w:val="00C608B3"/>
    <w:rsid w:val="00CF7E1E"/>
    <w:rsid w:val="00DC7564"/>
    <w:rsid w:val="00EA6CAA"/>
    <w:rsid w:val="00EE0D48"/>
    <w:rsid w:val="00F108D0"/>
    <w:rsid w:val="00F55EDC"/>
    <w:rsid w:val="00F7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54563-CAEB-4CA2-A716-33F3E2D5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3F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FB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33F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3FBC"/>
    <w:rPr>
      <w:i/>
      <w:iCs/>
    </w:rPr>
  </w:style>
  <w:style w:type="paragraph" w:styleId="ListParagraph">
    <w:name w:val="List Paragraph"/>
    <w:basedOn w:val="Normal"/>
    <w:uiPriority w:val="34"/>
    <w:qFormat/>
    <w:rsid w:val="00F55EDC"/>
    <w:pPr>
      <w:ind w:left="720"/>
      <w:contextualSpacing/>
    </w:pPr>
  </w:style>
  <w:style w:type="table" w:styleId="TableGrid">
    <w:name w:val="Table Grid"/>
    <w:basedOn w:val="TableNormal"/>
    <w:uiPriority w:val="39"/>
    <w:rsid w:val="003D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B3"/>
  </w:style>
  <w:style w:type="paragraph" w:styleId="Footer">
    <w:name w:val="footer"/>
    <w:basedOn w:val="Normal"/>
    <w:link w:val="FooterChar"/>
    <w:uiPriority w:val="99"/>
    <w:unhideWhenUsed/>
    <w:rsid w:val="00C6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B3"/>
  </w:style>
  <w:style w:type="paragraph" w:styleId="BalloonText">
    <w:name w:val="Balloon Text"/>
    <w:basedOn w:val="Normal"/>
    <w:link w:val="BalloonTextChar"/>
    <w:uiPriority w:val="99"/>
    <w:semiHidden/>
    <w:unhideWhenUsed/>
    <w:rsid w:val="006F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7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Allison</dc:creator>
  <cp:keywords/>
  <dc:description/>
  <cp:lastModifiedBy>Rebecca Smith</cp:lastModifiedBy>
  <cp:revision>2</cp:revision>
  <dcterms:created xsi:type="dcterms:W3CDTF">2021-01-25T12:47:00Z</dcterms:created>
  <dcterms:modified xsi:type="dcterms:W3CDTF">2021-01-25T12:47:00Z</dcterms:modified>
</cp:coreProperties>
</file>