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DBC" w:rsidRDefault="00576DBC" w:rsidP="00DF015F">
      <w:pPr>
        <w:rPr>
          <w:b/>
        </w:rPr>
      </w:pPr>
    </w:p>
    <w:p w:rsidR="00277B63" w:rsidRDefault="00DF015F" w:rsidP="00DF015F">
      <w:r w:rsidRPr="00DF015F">
        <w:rPr>
          <w:b/>
        </w:rPr>
        <w:t>Present:</w:t>
      </w:r>
      <w:r w:rsidR="00842D44">
        <w:rPr>
          <w:b/>
        </w:rPr>
        <w:t xml:space="preserve"> </w:t>
      </w:r>
      <w:r w:rsidR="00AA0992">
        <w:t xml:space="preserve"> </w:t>
      </w:r>
      <w:r w:rsidR="00F1646F">
        <w:t xml:space="preserve">Genette Pinwill, Chair &amp; West Kent HA; Rebecca Smith, KHG; </w:t>
      </w:r>
      <w:r w:rsidR="00C2470F" w:rsidRPr="00C2470F">
        <w:t>Ben McGowan, Moat Homes</w:t>
      </w:r>
      <w:r w:rsidR="00B868AF">
        <w:t>; Dan Prentice, Radcliffe Housing Society; Tom Harding, Medway Council; Vitra Cummins, Town and Country Housing; Julie Terry, West Kent Housing Association; Felicity Dunmall, Gravesend Churches Housing Association; Elaine Day, Steven Knowles and Mike Williams, David Edie, Dartford BC</w:t>
      </w:r>
    </w:p>
    <w:p w:rsidR="004223D3" w:rsidRPr="009B76CD" w:rsidRDefault="00DF015F" w:rsidP="004223D3">
      <w:r>
        <w:rPr>
          <w:b/>
        </w:rPr>
        <w:t>Apologies</w:t>
      </w:r>
      <w:r w:rsidR="007330A4">
        <w:rPr>
          <w:b/>
        </w:rPr>
        <w:t xml:space="preserve">: </w:t>
      </w:r>
      <w:r w:rsidR="009B76CD" w:rsidRPr="009B76CD">
        <w:t xml:space="preserve">Matt Eddy, MHS Homes; Ben McGowan, Moat Homes; Anthony Crossley, Ashford BC; </w:t>
      </w:r>
      <w:r w:rsidR="003D4701">
        <w:t xml:space="preserve">Helen Sudbury &amp; </w:t>
      </w:r>
      <w:bookmarkStart w:id="0" w:name="_GoBack"/>
      <w:bookmarkEnd w:id="0"/>
      <w:r w:rsidR="009B76CD" w:rsidRPr="009B76CD">
        <w:t>Juliet Knott, Golding Homes; Tina Dust, Sanctuary Housing</w:t>
      </w:r>
    </w:p>
    <w:tbl>
      <w:tblPr>
        <w:tblStyle w:val="TableGrid"/>
        <w:tblW w:w="15877" w:type="dxa"/>
        <w:tblInd w:w="-998" w:type="dxa"/>
        <w:tblLayout w:type="fixed"/>
        <w:tblLook w:val="04A0" w:firstRow="1" w:lastRow="0" w:firstColumn="1" w:lastColumn="0" w:noHBand="0" w:noVBand="1"/>
      </w:tblPr>
      <w:tblGrid>
        <w:gridCol w:w="1419"/>
        <w:gridCol w:w="10631"/>
        <w:gridCol w:w="850"/>
        <w:gridCol w:w="567"/>
        <w:gridCol w:w="2410"/>
      </w:tblGrid>
      <w:tr w:rsidR="00490760" w:rsidRPr="00745BAC" w:rsidTr="00C2470F">
        <w:trPr>
          <w:trHeight w:val="752"/>
        </w:trPr>
        <w:tc>
          <w:tcPr>
            <w:tcW w:w="1419" w:type="dxa"/>
            <w:shd w:val="clear" w:color="auto" w:fill="DBE5F1" w:themeFill="accent1" w:themeFillTint="33"/>
          </w:tcPr>
          <w:p w:rsidR="00432F07" w:rsidRPr="00745BAC" w:rsidRDefault="004216BC" w:rsidP="002B184E">
            <w:pPr>
              <w:jc w:val="center"/>
              <w:rPr>
                <w:b/>
              </w:rPr>
            </w:pPr>
            <w:r>
              <w:rPr>
                <w:b/>
              </w:rPr>
              <w:t>Ref</w:t>
            </w:r>
          </w:p>
        </w:tc>
        <w:tc>
          <w:tcPr>
            <w:tcW w:w="10631" w:type="dxa"/>
            <w:shd w:val="clear" w:color="auto" w:fill="DBE5F1" w:themeFill="accent1" w:themeFillTint="33"/>
          </w:tcPr>
          <w:p w:rsidR="00432F07" w:rsidRPr="00745BAC" w:rsidRDefault="00164913" w:rsidP="00FA4738">
            <w:pPr>
              <w:jc w:val="both"/>
              <w:rPr>
                <w:b/>
              </w:rPr>
            </w:pPr>
            <w:r>
              <w:rPr>
                <w:b/>
              </w:rPr>
              <w:t>Notes/</w:t>
            </w:r>
            <w:r w:rsidRPr="00745BAC">
              <w:rPr>
                <w:b/>
              </w:rPr>
              <w:t>Outcome</w:t>
            </w:r>
          </w:p>
        </w:tc>
        <w:tc>
          <w:tcPr>
            <w:tcW w:w="850" w:type="dxa"/>
            <w:shd w:val="clear" w:color="auto" w:fill="DBE5F1" w:themeFill="accent1" w:themeFillTint="33"/>
          </w:tcPr>
          <w:p w:rsidR="00432F07" w:rsidRPr="00DD4624" w:rsidRDefault="00D42118" w:rsidP="00C2470F">
            <w:pPr>
              <w:rPr>
                <w:b/>
              </w:rPr>
            </w:pPr>
            <w:r w:rsidRPr="00DD4624">
              <w:rPr>
                <w:b/>
              </w:rPr>
              <w:t>When</w:t>
            </w:r>
          </w:p>
        </w:tc>
        <w:tc>
          <w:tcPr>
            <w:tcW w:w="567" w:type="dxa"/>
            <w:shd w:val="clear" w:color="auto" w:fill="DBE5F1" w:themeFill="accent1" w:themeFillTint="33"/>
          </w:tcPr>
          <w:p w:rsidR="00432F07" w:rsidRPr="00DD4624" w:rsidRDefault="00DD4624" w:rsidP="002B184E">
            <w:pPr>
              <w:jc w:val="center"/>
              <w:rPr>
                <w:b/>
              </w:rPr>
            </w:pPr>
            <w:r w:rsidRPr="00DD4624">
              <w:rPr>
                <w:b/>
                <w:sz w:val="16"/>
              </w:rPr>
              <w:t>Who</w:t>
            </w:r>
          </w:p>
        </w:tc>
        <w:tc>
          <w:tcPr>
            <w:tcW w:w="2410" w:type="dxa"/>
            <w:shd w:val="clear" w:color="auto" w:fill="DBE5F1" w:themeFill="accent1" w:themeFillTint="33"/>
          </w:tcPr>
          <w:p w:rsidR="00432F07" w:rsidRPr="00DD4624" w:rsidRDefault="00164913" w:rsidP="002B184E">
            <w:pPr>
              <w:jc w:val="center"/>
              <w:rPr>
                <w:b/>
              </w:rPr>
            </w:pPr>
            <w:r w:rsidRPr="00DD4624">
              <w:rPr>
                <w:b/>
              </w:rPr>
              <w:t>Action/Decision</w:t>
            </w:r>
          </w:p>
        </w:tc>
      </w:tr>
      <w:tr w:rsidR="00FE602C" w:rsidRPr="00745BAC" w:rsidTr="00C2470F">
        <w:tc>
          <w:tcPr>
            <w:tcW w:w="1419" w:type="dxa"/>
          </w:tcPr>
          <w:p w:rsidR="00527061" w:rsidRPr="00DD4308" w:rsidRDefault="008936B0" w:rsidP="00F1646F">
            <w:pPr>
              <w:rPr>
                <w:b/>
              </w:rPr>
            </w:pPr>
            <w:r>
              <w:rPr>
                <w:b/>
              </w:rPr>
              <w:t xml:space="preserve">Matters Arising </w:t>
            </w:r>
            <w:r w:rsidR="00F1646F">
              <w:rPr>
                <w:b/>
              </w:rPr>
              <w:t xml:space="preserve">October </w:t>
            </w:r>
            <w:r w:rsidR="007641BA">
              <w:rPr>
                <w:b/>
              </w:rPr>
              <w:t>2019</w:t>
            </w:r>
          </w:p>
        </w:tc>
        <w:tc>
          <w:tcPr>
            <w:tcW w:w="10631" w:type="dxa"/>
            <w:shd w:val="clear" w:color="auto" w:fill="auto"/>
          </w:tcPr>
          <w:p w:rsidR="00692774" w:rsidRDefault="00C2470F" w:rsidP="009D5581">
            <w:pPr>
              <w:jc w:val="both"/>
            </w:pPr>
            <w:r>
              <w:t xml:space="preserve">Minutes agreed as accurate, matters arising – </w:t>
            </w:r>
          </w:p>
          <w:p w:rsidR="00C2470F" w:rsidRDefault="00C2470F" w:rsidP="009D5581">
            <w:pPr>
              <w:jc w:val="both"/>
            </w:pPr>
          </w:p>
          <w:p w:rsidR="00C2470F" w:rsidRDefault="00C2470F" w:rsidP="009D5581">
            <w:pPr>
              <w:jc w:val="both"/>
            </w:pPr>
            <w:r>
              <w:t>RS to chase up a digital copy of the Cuckooing Protocol presented at the last meeting.</w:t>
            </w:r>
          </w:p>
          <w:p w:rsidR="00C2470F" w:rsidRDefault="00C2470F" w:rsidP="009D5581">
            <w:pPr>
              <w:jc w:val="both"/>
            </w:pPr>
          </w:p>
          <w:p w:rsidR="00C2470F" w:rsidRDefault="00C2470F" w:rsidP="009D5581">
            <w:pPr>
              <w:jc w:val="both"/>
            </w:pPr>
            <w:r>
              <w:t>Chase ME about Policy for termination of tenancy.</w:t>
            </w:r>
          </w:p>
          <w:p w:rsidR="00C2470F" w:rsidRPr="00D84EA9" w:rsidRDefault="00C2470F" w:rsidP="009D5581">
            <w:pPr>
              <w:jc w:val="both"/>
            </w:pPr>
          </w:p>
        </w:tc>
        <w:tc>
          <w:tcPr>
            <w:tcW w:w="850" w:type="dxa"/>
            <w:shd w:val="clear" w:color="auto" w:fill="auto"/>
          </w:tcPr>
          <w:p w:rsidR="001E0C8A" w:rsidRDefault="001E0C8A" w:rsidP="008669A9">
            <w:pPr>
              <w:rPr>
                <w:b/>
              </w:rPr>
            </w:pPr>
          </w:p>
          <w:p w:rsidR="00B868AF" w:rsidRDefault="00B868AF" w:rsidP="008669A9">
            <w:pPr>
              <w:rPr>
                <w:b/>
              </w:rPr>
            </w:pPr>
          </w:p>
          <w:p w:rsidR="00B868AF" w:rsidRDefault="00B868AF" w:rsidP="008669A9">
            <w:pPr>
              <w:rPr>
                <w:b/>
              </w:rPr>
            </w:pPr>
            <w:r>
              <w:rPr>
                <w:b/>
              </w:rPr>
              <w:t>ASAP</w:t>
            </w:r>
          </w:p>
          <w:p w:rsidR="00B868AF" w:rsidRDefault="00B868AF" w:rsidP="008669A9">
            <w:pPr>
              <w:rPr>
                <w:b/>
              </w:rPr>
            </w:pPr>
          </w:p>
          <w:p w:rsidR="00B868AF" w:rsidRPr="00FE118F" w:rsidRDefault="00B868AF" w:rsidP="008669A9">
            <w:pPr>
              <w:rPr>
                <w:b/>
              </w:rPr>
            </w:pPr>
            <w:r>
              <w:rPr>
                <w:b/>
              </w:rPr>
              <w:t>ASAP</w:t>
            </w:r>
          </w:p>
        </w:tc>
        <w:tc>
          <w:tcPr>
            <w:tcW w:w="567" w:type="dxa"/>
            <w:shd w:val="clear" w:color="auto" w:fill="auto"/>
          </w:tcPr>
          <w:p w:rsidR="001E0C8A" w:rsidRDefault="001E0C8A" w:rsidP="008669A9">
            <w:pPr>
              <w:jc w:val="both"/>
              <w:rPr>
                <w:b/>
              </w:rPr>
            </w:pPr>
          </w:p>
          <w:p w:rsidR="00B868AF" w:rsidRDefault="00B868AF" w:rsidP="008669A9">
            <w:pPr>
              <w:jc w:val="both"/>
              <w:rPr>
                <w:b/>
              </w:rPr>
            </w:pPr>
          </w:p>
          <w:p w:rsidR="00B868AF" w:rsidRDefault="00B868AF" w:rsidP="008669A9">
            <w:pPr>
              <w:jc w:val="both"/>
              <w:rPr>
                <w:b/>
              </w:rPr>
            </w:pPr>
            <w:r>
              <w:rPr>
                <w:b/>
              </w:rPr>
              <w:t>RS</w:t>
            </w:r>
          </w:p>
          <w:p w:rsidR="00B868AF" w:rsidRDefault="00B868AF" w:rsidP="008669A9">
            <w:pPr>
              <w:jc w:val="both"/>
              <w:rPr>
                <w:b/>
              </w:rPr>
            </w:pPr>
          </w:p>
          <w:p w:rsidR="00B868AF" w:rsidRPr="00BA3231" w:rsidRDefault="00B868AF" w:rsidP="008669A9">
            <w:pPr>
              <w:jc w:val="both"/>
              <w:rPr>
                <w:b/>
              </w:rPr>
            </w:pPr>
            <w:r>
              <w:rPr>
                <w:b/>
              </w:rPr>
              <w:t>RS</w:t>
            </w:r>
          </w:p>
        </w:tc>
        <w:tc>
          <w:tcPr>
            <w:tcW w:w="2410" w:type="dxa"/>
            <w:shd w:val="clear" w:color="auto" w:fill="auto"/>
          </w:tcPr>
          <w:p w:rsidR="001E0C8A" w:rsidRPr="00B868AF" w:rsidRDefault="001E0C8A" w:rsidP="00311C62">
            <w:pPr>
              <w:rPr>
                <w:b/>
                <w:color w:val="FF0000"/>
              </w:rPr>
            </w:pPr>
          </w:p>
          <w:p w:rsidR="00B868AF" w:rsidRPr="00B868AF" w:rsidRDefault="00B868AF" w:rsidP="00311C62">
            <w:pPr>
              <w:rPr>
                <w:b/>
                <w:color w:val="FF0000"/>
              </w:rPr>
            </w:pPr>
          </w:p>
          <w:p w:rsidR="00B868AF" w:rsidRPr="00B868AF" w:rsidRDefault="00B868AF" w:rsidP="00311C62">
            <w:pPr>
              <w:rPr>
                <w:b/>
                <w:color w:val="FF0000"/>
              </w:rPr>
            </w:pPr>
            <w:r w:rsidRPr="00B868AF">
              <w:rPr>
                <w:b/>
                <w:color w:val="FF0000"/>
              </w:rPr>
              <w:t>Chase CCC for copy</w:t>
            </w:r>
          </w:p>
          <w:p w:rsidR="00B868AF" w:rsidRPr="00B868AF" w:rsidRDefault="00B868AF" w:rsidP="00311C62">
            <w:pPr>
              <w:rPr>
                <w:b/>
                <w:color w:val="FF0000"/>
              </w:rPr>
            </w:pPr>
          </w:p>
          <w:p w:rsidR="00B868AF" w:rsidRPr="00B868AF" w:rsidRDefault="00B868AF" w:rsidP="00311C62">
            <w:pPr>
              <w:rPr>
                <w:b/>
                <w:color w:val="FF0000"/>
              </w:rPr>
            </w:pPr>
            <w:r w:rsidRPr="00B868AF">
              <w:rPr>
                <w:b/>
                <w:color w:val="FF0000"/>
              </w:rPr>
              <w:t>Chase ME for Policy</w:t>
            </w:r>
          </w:p>
        </w:tc>
      </w:tr>
      <w:tr w:rsidR="00FE602C" w:rsidRPr="00745BAC" w:rsidTr="00C2470F">
        <w:tc>
          <w:tcPr>
            <w:tcW w:w="1419" w:type="dxa"/>
          </w:tcPr>
          <w:p w:rsidR="00527061" w:rsidRDefault="009B76CD" w:rsidP="00D013B6">
            <w:pPr>
              <w:rPr>
                <w:b/>
              </w:rPr>
            </w:pPr>
            <w:r>
              <w:rPr>
                <w:b/>
              </w:rPr>
              <w:t>DBC UC Update</w:t>
            </w:r>
          </w:p>
        </w:tc>
        <w:tc>
          <w:tcPr>
            <w:tcW w:w="10631" w:type="dxa"/>
            <w:shd w:val="clear" w:color="auto" w:fill="auto"/>
          </w:tcPr>
          <w:p w:rsidR="00C2470F" w:rsidRDefault="00C2470F" w:rsidP="00C2470F">
            <w:pPr>
              <w:jc w:val="both"/>
            </w:pPr>
            <w:r>
              <w:t>ED provided an update on changes to UC that will occur over the year.  Government have agreed to unfreeze a number of benefits to reflect CPI.  Reduce child poverty and those who are carrying out fraud are prosecuted.   JSA and UC the maximum sanction was 156 weeks, going to 26 weeks from November 2019, doesn’t impact on applications for DHP.</w:t>
            </w:r>
          </w:p>
          <w:p w:rsidR="00C2470F" w:rsidRDefault="00C2470F" w:rsidP="00C2470F">
            <w:pPr>
              <w:jc w:val="both"/>
            </w:pPr>
          </w:p>
          <w:p w:rsidR="00C2470F" w:rsidRDefault="00C2470F" w:rsidP="00C2470F">
            <w:pPr>
              <w:jc w:val="both"/>
            </w:pPr>
            <w:r>
              <w:t>From April 2020 £10m fund to help vulnerable people claim UC, charities and other organisations to access the funding, currently CAB are undertaking this, not clear if CAB will continue to provide support.  DR advised that CAB created a Complex Referral Form to submit to Job Centre Plus and raises their vulnerability issues, DR to share details via RS.</w:t>
            </w:r>
          </w:p>
          <w:p w:rsidR="00C2470F" w:rsidRDefault="00C2470F" w:rsidP="00C2470F">
            <w:pPr>
              <w:jc w:val="both"/>
            </w:pPr>
          </w:p>
          <w:p w:rsidR="00C2470F" w:rsidRDefault="00C2470F" w:rsidP="00C2470F">
            <w:pPr>
              <w:jc w:val="both"/>
            </w:pPr>
            <w:r>
              <w:t>From Oct 2021 repayment for loans moving from 12 to 16 months, then from July 2020 2 weeks run on for JSA and ESA for transition to UC.</w:t>
            </w:r>
            <w:r w:rsidR="008F72BF">
              <w:t xml:space="preserve">   </w:t>
            </w:r>
          </w:p>
          <w:p w:rsidR="008F72BF" w:rsidRDefault="008F72BF" w:rsidP="00C2470F">
            <w:pPr>
              <w:jc w:val="both"/>
            </w:pPr>
          </w:p>
          <w:p w:rsidR="00C2470F" w:rsidRDefault="008F72BF" w:rsidP="00C2470F">
            <w:pPr>
              <w:jc w:val="both"/>
            </w:pPr>
            <w:r>
              <w:t xml:space="preserve">Self Employed have a minimum income floor the grace period will be changing from 6 months to 12 months, then Jan 2021 anyone claiming a severe disability income will be able to transition to UC.   Still completing the managed migration pilot, still no outcome from this, the target for migration has been postponed.  Managed migration is very experience to undertake, natural migration will be less expense.  </w:t>
            </w:r>
          </w:p>
          <w:p w:rsidR="008F72BF" w:rsidRDefault="008F72BF" w:rsidP="00C2470F">
            <w:pPr>
              <w:jc w:val="both"/>
            </w:pPr>
            <w:r>
              <w:lastRenderedPageBreak/>
              <w:t>GP raised the issue about a lump sum fund which then has to be linked to accounts as schedules then arrive two weeks later.  The schedule comes to different organisations, either by post or by email.  GP to follow up with DE and FD about how to access the schedule via email.</w:t>
            </w:r>
          </w:p>
          <w:p w:rsidR="00B868AF" w:rsidRDefault="00B868AF" w:rsidP="00C2470F">
            <w:pPr>
              <w:jc w:val="both"/>
            </w:pPr>
          </w:p>
          <w:p w:rsidR="008F72BF" w:rsidRDefault="008F72BF" w:rsidP="00C2470F">
            <w:pPr>
              <w:jc w:val="both"/>
            </w:pPr>
            <w:r>
              <w:t>Further items or particular process/areas for future meetings to be shared with GP and RS.  Agreed to leave UC on the agenda.  ED can provide any updates on housing benefit if required in the future.</w:t>
            </w:r>
          </w:p>
          <w:p w:rsidR="008F72BF" w:rsidRPr="00745BAC" w:rsidRDefault="008F72BF" w:rsidP="00C2470F">
            <w:pPr>
              <w:jc w:val="both"/>
            </w:pPr>
          </w:p>
        </w:tc>
        <w:tc>
          <w:tcPr>
            <w:tcW w:w="850" w:type="dxa"/>
            <w:shd w:val="clear" w:color="auto" w:fill="auto"/>
          </w:tcPr>
          <w:p w:rsidR="00F948B2" w:rsidRDefault="00F948B2"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r>
              <w:rPr>
                <w:b/>
              </w:rPr>
              <w:t>ASAP</w:t>
            </w: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Pr="009179A4" w:rsidRDefault="008F72BF" w:rsidP="00454E00">
            <w:pPr>
              <w:rPr>
                <w:b/>
              </w:rPr>
            </w:pPr>
            <w:r>
              <w:rPr>
                <w:b/>
              </w:rPr>
              <w:lastRenderedPageBreak/>
              <w:t>As req’d</w:t>
            </w:r>
          </w:p>
        </w:tc>
        <w:tc>
          <w:tcPr>
            <w:tcW w:w="567" w:type="dxa"/>
            <w:shd w:val="clear" w:color="auto" w:fill="auto"/>
          </w:tcPr>
          <w:p w:rsidR="00F948B2" w:rsidRDefault="00F948B2"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r>
              <w:rPr>
                <w:b/>
              </w:rPr>
              <w:t>DR</w:t>
            </w: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Default="008F72BF" w:rsidP="00454E00">
            <w:pPr>
              <w:rPr>
                <w:b/>
              </w:rPr>
            </w:pPr>
          </w:p>
          <w:p w:rsidR="008F72BF" w:rsidRPr="007F161E" w:rsidRDefault="008F72BF" w:rsidP="00454E00">
            <w:pPr>
              <w:rPr>
                <w:b/>
              </w:rPr>
            </w:pPr>
            <w:r>
              <w:rPr>
                <w:b/>
              </w:rPr>
              <w:lastRenderedPageBreak/>
              <w:t>GP</w:t>
            </w:r>
          </w:p>
        </w:tc>
        <w:tc>
          <w:tcPr>
            <w:tcW w:w="2410" w:type="dxa"/>
            <w:shd w:val="clear" w:color="auto" w:fill="auto"/>
          </w:tcPr>
          <w:p w:rsidR="001C601C" w:rsidRPr="00B868AF" w:rsidRDefault="001C601C" w:rsidP="00DC208F">
            <w:pPr>
              <w:rPr>
                <w:b/>
                <w:color w:val="FF0000"/>
              </w:rPr>
            </w:pPr>
          </w:p>
          <w:p w:rsidR="00C2470F" w:rsidRPr="00B868AF" w:rsidRDefault="00C2470F" w:rsidP="00DC208F">
            <w:pPr>
              <w:rPr>
                <w:b/>
                <w:color w:val="FF0000"/>
              </w:rPr>
            </w:pPr>
          </w:p>
          <w:p w:rsidR="00C2470F" w:rsidRPr="00B868AF" w:rsidRDefault="00C2470F" w:rsidP="00DC208F">
            <w:pPr>
              <w:rPr>
                <w:b/>
                <w:color w:val="FF0000"/>
              </w:rPr>
            </w:pPr>
          </w:p>
          <w:p w:rsidR="00C2470F" w:rsidRPr="00B868AF" w:rsidRDefault="00C2470F" w:rsidP="00DC208F">
            <w:pPr>
              <w:rPr>
                <w:b/>
                <w:color w:val="FF0000"/>
              </w:rPr>
            </w:pPr>
          </w:p>
          <w:p w:rsidR="00C2470F" w:rsidRPr="00B868AF" w:rsidRDefault="00C2470F" w:rsidP="00DC208F">
            <w:pPr>
              <w:rPr>
                <w:b/>
                <w:color w:val="FF0000"/>
              </w:rPr>
            </w:pPr>
          </w:p>
          <w:p w:rsidR="00C2470F" w:rsidRPr="00B868AF" w:rsidRDefault="00C2470F" w:rsidP="00DC208F">
            <w:pPr>
              <w:rPr>
                <w:b/>
                <w:color w:val="FF0000"/>
              </w:rPr>
            </w:pPr>
            <w:r w:rsidRPr="00B868AF">
              <w:rPr>
                <w:b/>
                <w:color w:val="FF0000"/>
              </w:rPr>
              <w:t>DR to share details of Complex Referral Form</w:t>
            </w:r>
          </w:p>
          <w:p w:rsidR="008F72BF" w:rsidRPr="00B868AF" w:rsidRDefault="008F72BF" w:rsidP="00DC208F">
            <w:pPr>
              <w:rPr>
                <w:b/>
                <w:color w:val="FF0000"/>
              </w:rPr>
            </w:pPr>
          </w:p>
          <w:p w:rsidR="008F72BF" w:rsidRPr="00B868AF" w:rsidRDefault="008F72BF" w:rsidP="00DC208F">
            <w:pPr>
              <w:rPr>
                <w:b/>
                <w:color w:val="FF0000"/>
              </w:rPr>
            </w:pPr>
          </w:p>
          <w:p w:rsidR="008F72BF" w:rsidRPr="00B868AF" w:rsidRDefault="008F72BF" w:rsidP="00DC208F">
            <w:pPr>
              <w:rPr>
                <w:b/>
                <w:color w:val="FF0000"/>
              </w:rPr>
            </w:pPr>
          </w:p>
          <w:p w:rsidR="008F72BF" w:rsidRPr="00B868AF" w:rsidRDefault="008F72BF" w:rsidP="00DC208F">
            <w:pPr>
              <w:rPr>
                <w:b/>
                <w:color w:val="FF0000"/>
              </w:rPr>
            </w:pPr>
          </w:p>
          <w:p w:rsidR="008F72BF" w:rsidRPr="00B868AF" w:rsidRDefault="008F72BF" w:rsidP="00DC208F">
            <w:pPr>
              <w:rPr>
                <w:b/>
                <w:color w:val="FF0000"/>
              </w:rPr>
            </w:pPr>
          </w:p>
          <w:p w:rsidR="008F72BF" w:rsidRPr="00B868AF" w:rsidRDefault="008F72BF" w:rsidP="00DC208F">
            <w:pPr>
              <w:rPr>
                <w:b/>
                <w:color w:val="FF0000"/>
              </w:rPr>
            </w:pPr>
          </w:p>
          <w:p w:rsidR="008F72BF" w:rsidRPr="00B868AF" w:rsidRDefault="008F72BF" w:rsidP="00DC208F">
            <w:pPr>
              <w:rPr>
                <w:b/>
                <w:color w:val="FF0000"/>
              </w:rPr>
            </w:pPr>
          </w:p>
          <w:p w:rsidR="008F72BF" w:rsidRPr="00B868AF" w:rsidRDefault="008F72BF" w:rsidP="00DC208F">
            <w:pPr>
              <w:rPr>
                <w:b/>
                <w:color w:val="FF0000"/>
              </w:rPr>
            </w:pPr>
          </w:p>
          <w:p w:rsidR="008F72BF" w:rsidRPr="00B868AF" w:rsidRDefault="008F72BF" w:rsidP="00DC208F">
            <w:pPr>
              <w:rPr>
                <w:b/>
                <w:color w:val="FF0000"/>
              </w:rPr>
            </w:pPr>
          </w:p>
          <w:p w:rsidR="008F72BF" w:rsidRPr="00B868AF" w:rsidRDefault="008F72BF" w:rsidP="00DC208F">
            <w:pPr>
              <w:rPr>
                <w:b/>
                <w:color w:val="FF0000"/>
              </w:rPr>
            </w:pPr>
          </w:p>
          <w:p w:rsidR="008F72BF" w:rsidRPr="00B868AF" w:rsidRDefault="008F72BF" w:rsidP="00DC208F">
            <w:pPr>
              <w:rPr>
                <w:b/>
                <w:color w:val="FF0000"/>
              </w:rPr>
            </w:pPr>
            <w:r w:rsidRPr="00B868AF">
              <w:rPr>
                <w:b/>
                <w:color w:val="FF0000"/>
              </w:rPr>
              <w:lastRenderedPageBreak/>
              <w:t>GP to make contact with FD and ED about electronic schedule</w:t>
            </w:r>
          </w:p>
        </w:tc>
      </w:tr>
      <w:tr w:rsidR="00490760" w:rsidRPr="00745BAC" w:rsidTr="00C2470F">
        <w:tc>
          <w:tcPr>
            <w:tcW w:w="1419" w:type="dxa"/>
          </w:tcPr>
          <w:p w:rsidR="00490760" w:rsidRDefault="009B76CD" w:rsidP="009E49FB">
            <w:pPr>
              <w:rPr>
                <w:b/>
              </w:rPr>
            </w:pPr>
            <w:r>
              <w:rPr>
                <w:b/>
              </w:rPr>
              <w:lastRenderedPageBreak/>
              <w:t>ASB at DBC</w:t>
            </w:r>
          </w:p>
        </w:tc>
        <w:tc>
          <w:tcPr>
            <w:tcW w:w="10631" w:type="dxa"/>
            <w:shd w:val="clear" w:color="auto" w:fill="auto"/>
          </w:tcPr>
          <w:p w:rsidR="00D749D4" w:rsidRDefault="00D749D4" w:rsidP="004A20DB">
            <w:pPr>
              <w:jc w:val="both"/>
            </w:pPr>
            <w:r>
              <w:t>SK provided colleagues with an ASB overview and other work in Dartford relating to community.</w:t>
            </w:r>
            <w:r w:rsidR="00B744F1">
              <w:t xml:space="preserve">  76% ASB on a weekly basis alongside other elements of estate management.  </w:t>
            </w:r>
            <w:r w:rsidR="0019215E">
              <w:t>Have spent time analysing data and undertaking profiling of tenants and communities.</w:t>
            </w:r>
          </w:p>
          <w:p w:rsidR="0019215E" w:rsidRDefault="0019215E" w:rsidP="004A20DB">
            <w:pPr>
              <w:jc w:val="both"/>
            </w:pPr>
          </w:p>
          <w:p w:rsidR="0019215E" w:rsidRDefault="0019215E" w:rsidP="004A20DB">
            <w:pPr>
              <w:jc w:val="both"/>
            </w:pPr>
            <w:r>
              <w:t>Have concentrated on the Localism Act and the ASB, Crime and Policing Act 2014, with the latter assisting with partnership working.  DBC has experience of good practice and learning.</w:t>
            </w:r>
            <w:r w:rsidR="00B868AF">
              <w:t xml:space="preserve"> </w:t>
            </w:r>
          </w:p>
          <w:p w:rsidR="00593EF3" w:rsidRDefault="00593EF3" w:rsidP="004A20DB">
            <w:pPr>
              <w:jc w:val="both"/>
            </w:pPr>
          </w:p>
          <w:p w:rsidR="00593EF3" w:rsidRDefault="00593EF3" w:rsidP="00593EF3">
            <w:pPr>
              <w:jc w:val="both"/>
            </w:pPr>
            <w:r>
              <w:t>DBC trailed the ‘Broken Windows Theory’ and had a look each month on what to tackle that would benefit and impact on communities locally and residents responded well to that focus on particular issues.   DE and SK were signing of the CPW (Community Protection Warning), with housing officer’s investigation work.   A good approach to low level ASB.</w:t>
            </w:r>
          </w:p>
          <w:p w:rsidR="00593EF3" w:rsidRDefault="00593EF3" w:rsidP="00593EF3">
            <w:pPr>
              <w:jc w:val="both"/>
            </w:pPr>
          </w:p>
          <w:p w:rsidR="00593EF3" w:rsidRDefault="00593EF3" w:rsidP="00593EF3">
            <w:pPr>
              <w:jc w:val="both"/>
            </w:pPr>
            <w:r>
              <w:t>High level ASB – used the same process using CPW.  The majority of these cases did not want to engage with DBC colleagues.   Use of injunctions proved successful for DBC.   The LA can provide an RP with permission to serve a CPW, BM advised that Moat have a good relationship with Medway CSU who work with them on such issues.   There has been a growth in leasehold properties and therefore engagement with Managing Agents, these are challenging in resolving.  The relationship with partners and key agencies is key to ensure that ASB can be resolved effectively and sustained.</w:t>
            </w:r>
          </w:p>
          <w:p w:rsidR="00593EF3" w:rsidRDefault="00593EF3" w:rsidP="00593EF3">
            <w:pPr>
              <w:jc w:val="both"/>
            </w:pPr>
          </w:p>
          <w:p w:rsidR="00593EF3" w:rsidRDefault="00593EF3" w:rsidP="00593EF3">
            <w:pPr>
              <w:jc w:val="both"/>
            </w:pPr>
            <w:r>
              <w:t>What is the consequence of a CPW? This sets out behaviours and timeframes and is in place for 12 months.  Failure to comply results in a notice being served and referral to court or issuing a fixed penalty notice.  If an RP has served the CPW and delegated authority any future action is the responsibility of the local authority.  A CPW directly tackles behaviour and doesn’t immediately threaten the tenancy.  If a fixed penalty is not paid they are referred back to court.</w:t>
            </w:r>
          </w:p>
          <w:p w:rsidR="00593EF3" w:rsidRDefault="00593EF3" w:rsidP="00593EF3">
            <w:pPr>
              <w:jc w:val="both"/>
            </w:pPr>
            <w:r>
              <w:t>If a case proceeds to notice stage and it is breached an interview can be undertaken under caution.</w:t>
            </w:r>
          </w:p>
          <w:p w:rsidR="00593EF3" w:rsidRDefault="00593EF3" w:rsidP="00593EF3">
            <w:pPr>
              <w:jc w:val="both"/>
            </w:pPr>
          </w:p>
          <w:p w:rsidR="00593EF3" w:rsidRDefault="00593EF3" w:rsidP="00593EF3">
            <w:pPr>
              <w:jc w:val="both"/>
            </w:pPr>
            <w:r>
              <w:t>Case studies and statistics shared by SK as part of the presentation.  DR advised that in Croydon the local authorities are considering issuing CPW/N’s to RP’s who are not managing ASB tenants.  SK agreed that he would clarify whether any local authority can delegate authority to an RP or take further action or does it have to be the LA in the area where the notice is required or has been served.</w:t>
            </w:r>
          </w:p>
          <w:p w:rsidR="00593EF3" w:rsidRDefault="00593EF3" w:rsidP="00593EF3">
            <w:pPr>
              <w:jc w:val="both"/>
            </w:pPr>
          </w:p>
          <w:p w:rsidR="00593EF3" w:rsidRDefault="00593EF3" w:rsidP="00593EF3">
            <w:pPr>
              <w:jc w:val="both"/>
            </w:pPr>
            <w:r>
              <w:t>CPW/CPN can be used to gain access for non-access for servicing.   DE/SK to share details of the policy/briefing with colleagues.   It was agreed to consider for future training/information session for KHG events, including Barrister used by Dartford BC.</w:t>
            </w:r>
          </w:p>
          <w:p w:rsidR="00D749D4" w:rsidRPr="00745BAC" w:rsidRDefault="00D749D4" w:rsidP="004A20DB">
            <w:pPr>
              <w:jc w:val="both"/>
            </w:pPr>
          </w:p>
        </w:tc>
        <w:tc>
          <w:tcPr>
            <w:tcW w:w="850" w:type="dxa"/>
            <w:shd w:val="clear" w:color="auto" w:fill="auto"/>
          </w:tcPr>
          <w:p w:rsidR="00490760" w:rsidRPr="009179A4" w:rsidRDefault="00490760" w:rsidP="00454E00">
            <w:pPr>
              <w:rPr>
                <w:b/>
              </w:rPr>
            </w:pPr>
          </w:p>
        </w:tc>
        <w:tc>
          <w:tcPr>
            <w:tcW w:w="567" w:type="dxa"/>
            <w:shd w:val="clear" w:color="auto" w:fill="auto"/>
          </w:tcPr>
          <w:p w:rsidR="00DD4624" w:rsidRPr="007F161E" w:rsidRDefault="00DD4624" w:rsidP="00277B63">
            <w:pPr>
              <w:rPr>
                <w:b/>
              </w:rPr>
            </w:pPr>
          </w:p>
        </w:tc>
        <w:tc>
          <w:tcPr>
            <w:tcW w:w="2410" w:type="dxa"/>
            <w:shd w:val="clear" w:color="auto" w:fill="auto"/>
          </w:tcPr>
          <w:p w:rsidR="00AE3556" w:rsidRPr="00B868AF" w:rsidRDefault="00AE3556" w:rsidP="00DC208F">
            <w:pPr>
              <w:rPr>
                <w:b/>
                <w:color w:val="FF0000"/>
              </w:rPr>
            </w:pPr>
          </w:p>
        </w:tc>
      </w:tr>
      <w:tr w:rsidR="00FE602C" w:rsidRPr="00745BAC" w:rsidTr="00C2470F">
        <w:tc>
          <w:tcPr>
            <w:tcW w:w="1419" w:type="dxa"/>
          </w:tcPr>
          <w:p w:rsidR="00C873FB" w:rsidRPr="00DF5A67" w:rsidRDefault="009B76CD" w:rsidP="009E49FB">
            <w:pPr>
              <w:rPr>
                <w:rFonts w:ascii="Verdana" w:hAnsi="Verdana"/>
                <w:b/>
                <w:sz w:val="18"/>
                <w:szCs w:val="18"/>
              </w:rPr>
            </w:pPr>
            <w:r w:rsidRPr="00890084">
              <w:rPr>
                <w:rFonts w:ascii="Verdana" w:hAnsi="Verdana"/>
                <w:b/>
                <w:sz w:val="16"/>
                <w:szCs w:val="18"/>
              </w:rPr>
              <w:t>SE Water Presentation</w:t>
            </w:r>
          </w:p>
        </w:tc>
        <w:tc>
          <w:tcPr>
            <w:tcW w:w="10631" w:type="dxa"/>
            <w:shd w:val="clear" w:color="auto" w:fill="auto"/>
          </w:tcPr>
          <w:p w:rsidR="00951CFE" w:rsidRDefault="008F72BF" w:rsidP="00FA4738">
            <w:pPr>
              <w:jc w:val="both"/>
            </w:pPr>
            <w:r>
              <w:t>CB unable to attend, item to be moved to the next meeting.  RS advised that SE Water are keen to work/engage with housing providers about supporting more vulnerable clients, to ensure that vulnerable residents are able to access the Priority Services Register and the most appropriate tariff.</w:t>
            </w:r>
          </w:p>
          <w:p w:rsidR="00593EF3" w:rsidRDefault="00593EF3" w:rsidP="0074229A">
            <w:pPr>
              <w:jc w:val="both"/>
            </w:pPr>
          </w:p>
        </w:tc>
        <w:tc>
          <w:tcPr>
            <w:tcW w:w="850" w:type="dxa"/>
            <w:shd w:val="clear" w:color="auto" w:fill="auto"/>
          </w:tcPr>
          <w:p w:rsidR="001E0C8A" w:rsidRPr="00C42CFA" w:rsidRDefault="001E0C8A" w:rsidP="00454E00">
            <w:pPr>
              <w:rPr>
                <w:b/>
              </w:rPr>
            </w:pPr>
          </w:p>
        </w:tc>
        <w:tc>
          <w:tcPr>
            <w:tcW w:w="567" w:type="dxa"/>
            <w:shd w:val="clear" w:color="auto" w:fill="auto"/>
          </w:tcPr>
          <w:p w:rsidR="001E0C8A" w:rsidRPr="007F161E" w:rsidRDefault="001E0C8A" w:rsidP="00454E00">
            <w:pPr>
              <w:rPr>
                <w:b/>
              </w:rPr>
            </w:pPr>
          </w:p>
        </w:tc>
        <w:tc>
          <w:tcPr>
            <w:tcW w:w="2410" w:type="dxa"/>
            <w:shd w:val="clear" w:color="auto" w:fill="auto"/>
          </w:tcPr>
          <w:p w:rsidR="001E0C8A" w:rsidRPr="00B868AF" w:rsidRDefault="001E0C8A" w:rsidP="00A96EDB">
            <w:pPr>
              <w:rPr>
                <w:b/>
                <w:color w:val="FF0000"/>
              </w:rPr>
            </w:pPr>
          </w:p>
        </w:tc>
      </w:tr>
      <w:tr w:rsidR="00523877" w:rsidRPr="00745BAC" w:rsidTr="00C2470F">
        <w:tc>
          <w:tcPr>
            <w:tcW w:w="1419" w:type="dxa"/>
          </w:tcPr>
          <w:p w:rsidR="00523877" w:rsidRDefault="009B76CD" w:rsidP="009E49FB">
            <w:pPr>
              <w:rPr>
                <w:rFonts w:ascii="Verdana" w:hAnsi="Verdana"/>
                <w:b/>
                <w:sz w:val="18"/>
                <w:szCs w:val="18"/>
              </w:rPr>
            </w:pPr>
            <w:r>
              <w:rPr>
                <w:rFonts w:ascii="Verdana" w:hAnsi="Verdana"/>
                <w:b/>
                <w:sz w:val="18"/>
                <w:szCs w:val="18"/>
              </w:rPr>
              <w:t>Make a Stand</w:t>
            </w:r>
            <w:r w:rsidR="00593EF3">
              <w:rPr>
                <w:rFonts w:ascii="Verdana" w:hAnsi="Verdana"/>
                <w:b/>
                <w:sz w:val="18"/>
                <w:szCs w:val="18"/>
              </w:rPr>
              <w:t xml:space="preserve"> (MAS)</w:t>
            </w:r>
          </w:p>
        </w:tc>
        <w:tc>
          <w:tcPr>
            <w:tcW w:w="10631" w:type="dxa"/>
            <w:shd w:val="clear" w:color="auto" w:fill="auto"/>
          </w:tcPr>
          <w:p w:rsidR="00C563CF" w:rsidRDefault="003C2B61" w:rsidP="00FA4738">
            <w:pPr>
              <w:jc w:val="both"/>
            </w:pPr>
            <w:r>
              <w:t>Which are authorities are signed up to Make a Stand campaign and the overall app</w:t>
            </w:r>
            <w:r w:rsidR="00593EF3">
              <w:t>roach to DA.   JT from WKH</w:t>
            </w:r>
            <w:r>
              <w:t>A advised that they are reviewing their DA policy with a view to sign up to the MAS campaign and considering DAHA.  Also looking to work collectively on the Safer London Pan Reciprocal agreement, with set criteria about management transfer agreements, how to manage the move safely and quickly, working across different local authorities can result in varying responses.</w:t>
            </w:r>
          </w:p>
          <w:p w:rsidR="003C2B61" w:rsidRDefault="003C2B61" w:rsidP="00FA4738">
            <w:pPr>
              <w:jc w:val="both"/>
            </w:pPr>
          </w:p>
          <w:p w:rsidR="003C2B61" w:rsidRDefault="003C2B61" w:rsidP="00FA4738">
            <w:pPr>
              <w:jc w:val="both"/>
            </w:pPr>
            <w:r>
              <w:t xml:space="preserve">RS advised that KHOG have reciprocal agreement which is signed by all LA’s with the exception of Medway.  There was a discussion about looking at this recent redraft alongside the Pan London model of working, the Pan London also have templates and sharing learning.  </w:t>
            </w:r>
          </w:p>
          <w:p w:rsidR="003C2B61" w:rsidRDefault="003C2B61" w:rsidP="00FA4738">
            <w:pPr>
              <w:jc w:val="both"/>
            </w:pPr>
          </w:p>
          <w:p w:rsidR="003C2B61" w:rsidRDefault="00566AF7" w:rsidP="00FA4738">
            <w:pPr>
              <w:jc w:val="both"/>
            </w:pPr>
            <w:r>
              <w:t>Review the existing reciprocal agreement and what the options are whilst understanding the potential offer from the third party to establish what the opportunities are.    BM to put relevant contact in touch with JT re Pan London.  RS to ask Stuart Clifton to attend the June meeting to be part of a more detailed conversation about the opportunities for Kent and Medway.</w:t>
            </w:r>
          </w:p>
          <w:p w:rsidR="00566AF7" w:rsidRDefault="00566AF7" w:rsidP="00FA4738">
            <w:pPr>
              <w:jc w:val="both"/>
            </w:pPr>
          </w:p>
        </w:tc>
        <w:tc>
          <w:tcPr>
            <w:tcW w:w="850" w:type="dxa"/>
            <w:shd w:val="clear" w:color="auto" w:fill="auto"/>
          </w:tcPr>
          <w:p w:rsidR="00593EF3" w:rsidRDefault="00593EF3" w:rsidP="00454E00">
            <w:pPr>
              <w:rPr>
                <w:b/>
              </w:rPr>
            </w:pPr>
            <w:r>
              <w:rPr>
                <w:b/>
              </w:rPr>
              <w:t>With notes</w:t>
            </w:r>
          </w:p>
          <w:p w:rsidR="00593EF3" w:rsidRDefault="00593EF3" w:rsidP="00454E00">
            <w:pPr>
              <w:rPr>
                <w:b/>
              </w:rPr>
            </w:pPr>
          </w:p>
          <w:p w:rsidR="00593EF3" w:rsidRDefault="00593EF3" w:rsidP="00454E00">
            <w:pPr>
              <w:rPr>
                <w:b/>
              </w:rPr>
            </w:pPr>
          </w:p>
          <w:p w:rsidR="00593EF3" w:rsidRDefault="00593EF3" w:rsidP="00454E00">
            <w:pPr>
              <w:rPr>
                <w:b/>
              </w:rPr>
            </w:pPr>
          </w:p>
          <w:p w:rsidR="00593EF3" w:rsidRDefault="00593EF3" w:rsidP="00454E00">
            <w:pPr>
              <w:rPr>
                <w:b/>
              </w:rPr>
            </w:pPr>
          </w:p>
          <w:p w:rsidR="00593EF3" w:rsidRDefault="00593EF3" w:rsidP="00454E00">
            <w:pPr>
              <w:rPr>
                <w:b/>
              </w:rPr>
            </w:pPr>
          </w:p>
          <w:p w:rsidR="00593EF3" w:rsidRDefault="00593EF3" w:rsidP="00454E00">
            <w:pPr>
              <w:rPr>
                <w:b/>
              </w:rPr>
            </w:pPr>
          </w:p>
          <w:p w:rsidR="00593EF3" w:rsidRDefault="00593EF3" w:rsidP="00454E00">
            <w:pPr>
              <w:rPr>
                <w:b/>
              </w:rPr>
            </w:pPr>
          </w:p>
          <w:p w:rsidR="00593EF3" w:rsidRDefault="00593EF3" w:rsidP="00454E00">
            <w:pPr>
              <w:rPr>
                <w:b/>
              </w:rPr>
            </w:pPr>
          </w:p>
          <w:p w:rsidR="00593EF3" w:rsidRDefault="00593EF3" w:rsidP="00454E00">
            <w:pPr>
              <w:rPr>
                <w:b/>
              </w:rPr>
            </w:pPr>
          </w:p>
          <w:p w:rsidR="00593EF3" w:rsidRDefault="00593EF3" w:rsidP="00454E00">
            <w:pPr>
              <w:rPr>
                <w:b/>
              </w:rPr>
            </w:pPr>
            <w:r>
              <w:rPr>
                <w:b/>
              </w:rPr>
              <w:t>ASAP</w:t>
            </w:r>
          </w:p>
        </w:tc>
        <w:tc>
          <w:tcPr>
            <w:tcW w:w="567" w:type="dxa"/>
            <w:shd w:val="clear" w:color="auto" w:fill="auto"/>
          </w:tcPr>
          <w:p w:rsidR="00523877" w:rsidRDefault="00593EF3" w:rsidP="00454E00">
            <w:pPr>
              <w:rPr>
                <w:b/>
              </w:rPr>
            </w:pPr>
            <w:r>
              <w:rPr>
                <w:b/>
              </w:rPr>
              <w:t>RS</w:t>
            </w:r>
          </w:p>
          <w:p w:rsidR="00593EF3" w:rsidRDefault="00593EF3" w:rsidP="00454E00">
            <w:pPr>
              <w:rPr>
                <w:b/>
              </w:rPr>
            </w:pPr>
          </w:p>
          <w:p w:rsidR="00593EF3" w:rsidRDefault="00593EF3" w:rsidP="00454E00">
            <w:pPr>
              <w:rPr>
                <w:b/>
              </w:rPr>
            </w:pPr>
          </w:p>
          <w:p w:rsidR="00593EF3" w:rsidRDefault="00593EF3" w:rsidP="00454E00">
            <w:pPr>
              <w:rPr>
                <w:b/>
              </w:rPr>
            </w:pPr>
          </w:p>
          <w:p w:rsidR="00593EF3" w:rsidRDefault="00593EF3" w:rsidP="00454E00">
            <w:pPr>
              <w:rPr>
                <w:b/>
              </w:rPr>
            </w:pPr>
            <w:r>
              <w:rPr>
                <w:b/>
              </w:rPr>
              <w:t>RS</w:t>
            </w:r>
          </w:p>
          <w:p w:rsidR="00593EF3" w:rsidRDefault="00593EF3" w:rsidP="00454E00">
            <w:pPr>
              <w:rPr>
                <w:b/>
              </w:rPr>
            </w:pPr>
          </w:p>
          <w:p w:rsidR="00593EF3" w:rsidRDefault="00593EF3" w:rsidP="00454E00">
            <w:pPr>
              <w:rPr>
                <w:b/>
              </w:rPr>
            </w:pPr>
          </w:p>
          <w:p w:rsidR="00593EF3" w:rsidRDefault="00593EF3" w:rsidP="00454E00">
            <w:pPr>
              <w:rPr>
                <w:b/>
              </w:rPr>
            </w:pPr>
          </w:p>
          <w:p w:rsidR="00593EF3" w:rsidRDefault="00593EF3" w:rsidP="00454E00">
            <w:pPr>
              <w:rPr>
                <w:b/>
              </w:rPr>
            </w:pPr>
          </w:p>
          <w:p w:rsidR="00593EF3" w:rsidRDefault="00593EF3" w:rsidP="00454E00">
            <w:pPr>
              <w:rPr>
                <w:b/>
              </w:rPr>
            </w:pPr>
          </w:p>
          <w:p w:rsidR="00593EF3" w:rsidRDefault="00593EF3" w:rsidP="00454E00">
            <w:pPr>
              <w:rPr>
                <w:b/>
              </w:rPr>
            </w:pPr>
          </w:p>
          <w:p w:rsidR="00593EF3" w:rsidRDefault="00593EF3" w:rsidP="00454E00">
            <w:pPr>
              <w:rPr>
                <w:b/>
              </w:rPr>
            </w:pPr>
            <w:r>
              <w:rPr>
                <w:b/>
              </w:rPr>
              <w:t>BM</w:t>
            </w:r>
          </w:p>
        </w:tc>
        <w:tc>
          <w:tcPr>
            <w:tcW w:w="2410" w:type="dxa"/>
            <w:shd w:val="clear" w:color="auto" w:fill="auto"/>
          </w:tcPr>
          <w:p w:rsidR="00523877" w:rsidRDefault="00593EF3" w:rsidP="00A96EDB">
            <w:pPr>
              <w:rPr>
                <w:b/>
                <w:color w:val="FF0000"/>
              </w:rPr>
            </w:pPr>
            <w:r>
              <w:rPr>
                <w:b/>
                <w:color w:val="FF0000"/>
              </w:rPr>
              <w:t>RS to share link to KHG DAHA Presentation Sept 2019</w:t>
            </w:r>
          </w:p>
          <w:p w:rsidR="00593EF3" w:rsidRDefault="00593EF3" w:rsidP="00A96EDB">
            <w:pPr>
              <w:rPr>
                <w:b/>
                <w:color w:val="FF0000"/>
              </w:rPr>
            </w:pPr>
          </w:p>
          <w:p w:rsidR="00593EF3" w:rsidRDefault="00593EF3" w:rsidP="00A96EDB">
            <w:pPr>
              <w:rPr>
                <w:b/>
                <w:color w:val="FF0000"/>
              </w:rPr>
            </w:pPr>
            <w:r>
              <w:rPr>
                <w:b/>
                <w:color w:val="FF0000"/>
              </w:rPr>
              <w:t>Add to June KTMSG agenda</w:t>
            </w:r>
          </w:p>
          <w:p w:rsidR="00593EF3" w:rsidRDefault="00593EF3" w:rsidP="00A96EDB">
            <w:pPr>
              <w:rPr>
                <w:b/>
                <w:color w:val="FF0000"/>
              </w:rPr>
            </w:pPr>
          </w:p>
          <w:p w:rsidR="00593EF3" w:rsidRDefault="00593EF3" w:rsidP="00A96EDB">
            <w:pPr>
              <w:rPr>
                <w:b/>
                <w:color w:val="FF0000"/>
              </w:rPr>
            </w:pPr>
          </w:p>
          <w:p w:rsidR="00593EF3" w:rsidRDefault="00593EF3" w:rsidP="00A96EDB">
            <w:pPr>
              <w:rPr>
                <w:b/>
                <w:color w:val="FF0000"/>
              </w:rPr>
            </w:pPr>
          </w:p>
          <w:p w:rsidR="00593EF3" w:rsidRDefault="00593EF3" w:rsidP="00A96EDB">
            <w:pPr>
              <w:rPr>
                <w:b/>
                <w:color w:val="FF0000"/>
              </w:rPr>
            </w:pPr>
          </w:p>
          <w:p w:rsidR="00593EF3" w:rsidRDefault="00593EF3" w:rsidP="00A96EDB">
            <w:pPr>
              <w:rPr>
                <w:b/>
                <w:color w:val="FF0000"/>
              </w:rPr>
            </w:pPr>
          </w:p>
          <w:p w:rsidR="00593EF3" w:rsidRPr="00B868AF" w:rsidRDefault="00593EF3" w:rsidP="00593EF3">
            <w:pPr>
              <w:rPr>
                <w:b/>
                <w:color w:val="FF0000"/>
              </w:rPr>
            </w:pPr>
            <w:r>
              <w:rPr>
                <w:b/>
                <w:color w:val="FF0000"/>
              </w:rPr>
              <w:t>BM to share contact details with Julie Terry</w:t>
            </w:r>
          </w:p>
        </w:tc>
      </w:tr>
      <w:tr w:rsidR="00FE602C" w:rsidRPr="00745BAC" w:rsidTr="00C2470F">
        <w:tc>
          <w:tcPr>
            <w:tcW w:w="1419" w:type="dxa"/>
          </w:tcPr>
          <w:p w:rsidR="00D03CE7" w:rsidRDefault="009B76CD" w:rsidP="009E49FB">
            <w:pPr>
              <w:rPr>
                <w:b/>
              </w:rPr>
            </w:pPr>
            <w:r>
              <w:rPr>
                <w:b/>
              </w:rPr>
              <w:t>KF&amp;RS Report</w:t>
            </w:r>
          </w:p>
        </w:tc>
        <w:tc>
          <w:tcPr>
            <w:tcW w:w="10631" w:type="dxa"/>
            <w:shd w:val="clear" w:color="auto" w:fill="auto"/>
          </w:tcPr>
          <w:p w:rsidR="00566AF7" w:rsidRDefault="00566AF7" w:rsidP="005148CC">
            <w:pPr>
              <w:jc w:val="both"/>
              <w:rPr>
                <w:rFonts w:ascii="Calibri" w:hAnsi="Calibri" w:cs="Calibri"/>
              </w:rPr>
            </w:pPr>
            <w:r>
              <w:rPr>
                <w:rFonts w:ascii="Calibri" w:hAnsi="Calibri" w:cs="Calibri"/>
              </w:rPr>
              <w:t>Report from KF&amp;RS shared ahead of the meeting, with a view to ensure that colleagues are sign posting and messages to share with tenants about where they access furniture or items that are gifted or furniture left in the home.</w:t>
            </w:r>
          </w:p>
          <w:p w:rsidR="00566AF7" w:rsidRPr="00C94FD9" w:rsidRDefault="00566AF7" w:rsidP="005148CC">
            <w:pPr>
              <w:jc w:val="both"/>
              <w:rPr>
                <w:rFonts w:ascii="Calibri" w:hAnsi="Calibri" w:cs="Calibri"/>
              </w:rPr>
            </w:pPr>
          </w:p>
        </w:tc>
        <w:tc>
          <w:tcPr>
            <w:tcW w:w="850" w:type="dxa"/>
            <w:shd w:val="clear" w:color="auto" w:fill="auto"/>
          </w:tcPr>
          <w:p w:rsidR="00B2180E" w:rsidRPr="00B2180E" w:rsidRDefault="00B2180E">
            <w:pPr>
              <w:rPr>
                <w:b/>
              </w:rPr>
            </w:pPr>
          </w:p>
        </w:tc>
        <w:tc>
          <w:tcPr>
            <w:tcW w:w="567" w:type="dxa"/>
            <w:shd w:val="clear" w:color="auto" w:fill="auto"/>
          </w:tcPr>
          <w:p w:rsidR="00B2180E" w:rsidRPr="007F161E" w:rsidRDefault="00B2180E" w:rsidP="00EB5229">
            <w:pPr>
              <w:rPr>
                <w:b/>
              </w:rPr>
            </w:pPr>
          </w:p>
        </w:tc>
        <w:tc>
          <w:tcPr>
            <w:tcW w:w="2410" w:type="dxa"/>
            <w:shd w:val="clear" w:color="auto" w:fill="auto"/>
          </w:tcPr>
          <w:p w:rsidR="00B2180E" w:rsidRPr="00B868AF" w:rsidRDefault="00593EF3" w:rsidP="00EB5229">
            <w:pPr>
              <w:rPr>
                <w:b/>
                <w:color w:val="FF0000"/>
              </w:rPr>
            </w:pPr>
            <w:r>
              <w:rPr>
                <w:b/>
                <w:color w:val="FF0000"/>
              </w:rPr>
              <w:t>Colleagues to share as appropriate</w:t>
            </w:r>
          </w:p>
        </w:tc>
      </w:tr>
      <w:tr w:rsidR="00FE602C" w:rsidRPr="00745BAC" w:rsidTr="00C2470F">
        <w:tc>
          <w:tcPr>
            <w:tcW w:w="1419" w:type="dxa"/>
          </w:tcPr>
          <w:p w:rsidR="009B76CD" w:rsidRDefault="009B76CD" w:rsidP="00D03CE7">
            <w:pPr>
              <w:rPr>
                <w:b/>
              </w:rPr>
            </w:pPr>
            <w:r>
              <w:rPr>
                <w:b/>
              </w:rPr>
              <w:t>S21 Notice</w:t>
            </w:r>
          </w:p>
        </w:tc>
        <w:tc>
          <w:tcPr>
            <w:tcW w:w="10631" w:type="dxa"/>
            <w:shd w:val="clear" w:color="auto" w:fill="auto"/>
          </w:tcPr>
          <w:p w:rsidR="00C563CF" w:rsidRDefault="00566AF7" w:rsidP="00566AF7">
            <w:pPr>
              <w:jc w:val="both"/>
            </w:pPr>
            <w:r>
              <w:t>GP advised that the last update from the NHF was that this will happen but not sure on the implementation or timing.</w:t>
            </w:r>
          </w:p>
          <w:p w:rsidR="00566AF7" w:rsidRDefault="00566AF7" w:rsidP="00566AF7">
            <w:pPr>
              <w:jc w:val="both"/>
            </w:pPr>
            <w:r>
              <w:t>Colleagues to brief or share as more updates come forward.  DR to share any ad</w:t>
            </w:r>
            <w:r w:rsidR="003C371D">
              <w:t>ditional information and to remain on the agenda as a standing item.</w:t>
            </w:r>
          </w:p>
          <w:p w:rsidR="00566AF7" w:rsidRDefault="00566AF7" w:rsidP="00566AF7">
            <w:pPr>
              <w:jc w:val="both"/>
            </w:pPr>
          </w:p>
        </w:tc>
        <w:tc>
          <w:tcPr>
            <w:tcW w:w="850" w:type="dxa"/>
            <w:shd w:val="clear" w:color="auto" w:fill="auto"/>
          </w:tcPr>
          <w:p w:rsidR="00D03CE7" w:rsidRPr="00717518" w:rsidRDefault="00D03CE7" w:rsidP="00454E00">
            <w:pPr>
              <w:rPr>
                <w:b/>
              </w:rPr>
            </w:pPr>
          </w:p>
        </w:tc>
        <w:tc>
          <w:tcPr>
            <w:tcW w:w="567" w:type="dxa"/>
            <w:shd w:val="clear" w:color="auto" w:fill="auto"/>
          </w:tcPr>
          <w:p w:rsidR="00496859" w:rsidRPr="007F161E" w:rsidRDefault="00496859" w:rsidP="00454E00">
            <w:pPr>
              <w:rPr>
                <w:b/>
              </w:rPr>
            </w:pPr>
          </w:p>
        </w:tc>
        <w:tc>
          <w:tcPr>
            <w:tcW w:w="2410" w:type="dxa"/>
            <w:shd w:val="clear" w:color="auto" w:fill="auto"/>
          </w:tcPr>
          <w:p w:rsidR="00496859" w:rsidRPr="00B868AF" w:rsidRDefault="00593EF3" w:rsidP="00EB5229">
            <w:pPr>
              <w:rPr>
                <w:b/>
                <w:color w:val="FF0000"/>
              </w:rPr>
            </w:pPr>
            <w:r>
              <w:rPr>
                <w:b/>
                <w:color w:val="FF0000"/>
              </w:rPr>
              <w:t xml:space="preserve">RS to note for agenda </w:t>
            </w:r>
          </w:p>
        </w:tc>
      </w:tr>
      <w:tr w:rsidR="00FE602C" w:rsidRPr="00745BAC" w:rsidTr="00C2470F">
        <w:tc>
          <w:tcPr>
            <w:tcW w:w="1419" w:type="dxa"/>
          </w:tcPr>
          <w:p w:rsidR="000C31B1" w:rsidRPr="00DD4308" w:rsidRDefault="009B76CD" w:rsidP="000C31B1">
            <w:pPr>
              <w:rPr>
                <w:b/>
              </w:rPr>
            </w:pPr>
            <w:r>
              <w:rPr>
                <w:b/>
              </w:rPr>
              <w:t>Pet Policy Discussion</w:t>
            </w:r>
          </w:p>
        </w:tc>
        <w:tc>
          <w:tcPr>
            <w:tcW w:w="10631" w:type="dxa"/>
            <w:shd w:val="clear" w:color="auto" w:fill="auto"/>
          </w:tcPr>
          <w:p w:rsidR="00C563CF" w:rsidRDefault="003C371D" w:rsidP="003E0CF6">
            <w:pPr>
              <w:jc w:val="both"/>
            </w:pPr>
            <w:r>
              <w:t>Helen</w:t>
            </w:r>
            <w:r w:rsidR="00593EF3">
              <w:t xml:space="preserve"> Sudbury</w:t>
            </w:r>
            <w:r>
              <w:t xml:space="preserve"> asked for this to be raised but was unable to attend.   John Littlemore </w:t>
            </w:r>
            <w:r w:rsidR="00E37169">
              <w:t>has raised this as an issue and barrier around assisting vulnerable clients and supporting when moving into TA or into permanent accommodation.</w:t>
            </w:r>
          </w:p>
          <w:p w:rsidR="00E37169" w:rsidRDefault="00E37169" w:rsidP="00E37169">
            <w:pPr>
              <w:jc w:val="both"/>
            </w:pPr>
            <w:r>
              <w:t>WKHA has recently updated their Pet Policy, they are permitted in the majority of homes with the expectation of where there are shared premises, with a managed application process, including caring for pets in unforeseen or planned absence.  In schemes one small dog or house cat is permitted.   WKHA have had a challenge from a scheme resident and have worked with partners to ensure the best outcome.  WKHA to share example of new policy if colleague’s request, JT advised that this has not increased an administration burden for staff, spend time and resource campaigning around pet care and moving towards prevention of any issues.</w:t>
            </w:r>
          </w:p>
          <w:p w:rsidR="00E37169" w:rsidRDefault="00E37169" w:rsidP="00E37169">
            <w:pPr>
              <w:jc w:val="both"/>
            </w:pPr>
          </w:p>
          <w:p w:rsidR="00E37169" w:rsidRDefault="00366D95" w:rsidP="00E37169">
            <w:pPr>
              <w:jc w:val="both"/>
            </w:pPr>
            <w:r>
              <w:t>John Littlemore would like to set up a T&amp;FG to look at this issue, JT, FD both volunteered, DE advised that he will ask at DBC about a volunteer.</w:t>
            </w:r>
          </w:p>
          <w:p w:rsidR="00366D95" w:rsidRPr="001C48C5" w:rsidRDefault="00366D95" w:rsidP="00E37169">
            <w:pPr>
              <w:jc w:val="both"/>
            </w:pPr>
          </w:p>
        </w:tc>
        <w:tc>
          <w:tcPr>
            <w:tcW w:w="850" w:type="dxa"/>
            <w:shd w:val="clear" w:color="auto" w:fill="auto"/>
          </w:tcPr>
          <w:p w:rsidR="00F418B5" w:rsidRDefault="00F418B5"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Pr="00D95B8C" w:rsidRDefault="00593EF3" w:rsidP="000C31B1">
            <w:pPr>
              <w:rPr>
                <w:b/>
              </w:rPr>
            </w:pPr>
            <w:r>
              <w:rPr>
                <w:b/>
              </w:rPr>
              <w:t>ASAP</w:t>
            </w:r>
          </w:p>
        </w:tc>
        <w:tc>
          <w:tcPr>
            <w:tcW w:w="567" w:type="dxa"/>
            <w:shd w:val="clear" w:color="auto" w:fill="auto"/>
          </w:tcPr>
          <w:p w:rsidR="00F418B5" w:rsidRDefault="00F418B5"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Pr="00D96F1E" w:rsidRDefault="00593EF3" w:rsidP="000C31B1">
            <w:pPr>
              <w:rPr>
                <w:b/>
              </w:rPr>
            </w:pPr>
            <w:r>
              <w:rPr>
                <w:b/>
              </w:rPr>
              <w:t>DE</w:t>
            </w:r>
          </w:p>
        </w:tc>
        <w:tc>
          <w:tcPr>
            <w:tcW w:w="2410" w:type="dxa"/>
            <w:shd w:val="clear" w:color="auto" w:fill="auto"/>
          </w:tcPr>
          <w:p w:rsidR="00F418B5" w:rsidRPr="00B868AF" w:rsidRDefault="00366D95" w:rsidP="000C31B1">
            <w:pPr>
              <w:rPr>
                <w:b/>
                <w:color w:val="FF0000"/>
              </w:rPr>
            </w:pPr>
            <w:r w:rsidRPr="00B868AF">
              <w:rPr>
                <w:b/>
                <w:color w:val="FF0000"/>
              </w:rPr>
              <w:t>Colleagues to share policy with HS</w:t>
            </w:r>
          </w:p>
          <w:p w:rsidR="00366D95" w:rsidRPr="00B868AF" w:rsidRDefault="00366D95" w:rsidP="000C31B1">
            <w:pPr>
              <w:rPr>
                <w:b/>
                <w:color w:val="FF0000"/>
              </w:rPr>
            </w:pPr>
          </w:p>
          <w:p w:rsidR="00366D95" w:rsidRPr="00B868AF" w:rsidRDefault="00366D95" w:rsidP="000C31B1">
            <w:pPr>
              <w:rPr>
                <w:b/>
                <w:color w:val="FF0000"/>
              </w:rPr>
            </w:pPr>
          </w:p>
          <w:p w:rsidR="00366D95" w:rsidRDefault="00366D95" w:rsidP="000C31B1">
            <w:pPr>
              <w:rPr>
                <w:b/>
                <w:color w:val="FF0000"/>
              </w:rPr>
            </w:pPr>
          </w:p>
          <w:p w:rsidR="00593EF3" w:rsidRDefault="00593EF3" w:rsidP="000C31B1">
            <w:pPr>
              <w:rPr>
                <w:b/>
                <w:color w:val="FF0000"/>
              </w:rPr>
            </w:pPr>
          </w:p>
          <w:p w:rsidR="00593EF3" w:rsidRDefault="00593EF3" w:rsidP="000C31B1">
            <w:pPr>
              <w:rPr>
                <w:b/>
                <w:color w:val="FF0000"/>
              </w:rPr>
            </w:pPr>
          </w:p>
          <w:p w:rsidR="00593EF3" w:rsidRDefault="00593EF3" w:rsidP="000C31B1">
            <w:pPr>
              <w:rPr>
                <w:b/>
                <w:color w:val="FF0000"/>
              </w:rPr>
            </w:pPr>
          </w:p>
          <w:p w:rsidR="00366D95" w:rsidRPr="00B868AF" w:rsidRDefault="00593EF3" w:rsidP="00593EF3">
            <w:pPr>
              <w:rPr>
                <w:b/>
                <w:color w:val="FF0000"/>
              </w:rPr>
            </w:pPr>
            <w:r>
              <w:rPr>
                <w:b/>
                <w:color w:val="FF0000"/>
              </w:rPr>
              <w:t>DE to confirm if DBC would like to be part of T&amp;FG</w:t>
            </w:r>
          </w:p>
        </w:tc>
      </w:tr>
      <w:tr w:rsidR="00953E7F" w:rsidRPr="00745BAC" w:rsidTr="00C2470F">
        <w:tc>
          <w:tcPr>
            <w:tcW w:w="1419" w:type="dxa"/>
          </w:tcPr>
          <w:p w:rsidR="00953E7F" w:rsidRDefault="009B76CD" w:rsidP="000C31B1">
            <w:pPr>
              <w:rPr>
                <w:b/>
              </w:rPr>
            </w:pPr>
            <w:r>
              <w:rPr>
                <w:b/>
              </w:rPr>
              <w:t>Vice Chair KTMSG</w:t>
            </w:r>
          </w:p>
          <w:p w:rsidR="00EB72D9" w:rsidRDefault="00EB72D9" w:rsidP="000C31B1">
            <w:pPr>
              <w:rPr>
                <w:b/>
              </w:rPr>
            </w:pPr>
          </w:p>
        </w:tc>
        <w:tc>
          <w:tcPr>
            <w:tcW w:w="10631" w:type="dxa"/>
            <w:shd w:val="clear" w:color="auto" w:fill="auto"/>
          </w:tcPr>
          <w:p w:rsidR="007E464E" w:rsidRPr="001C48C5" w:rsidRDefault="009A1621" w:rsidP="003E0CF6">
            <w:pPr>
              <w:jc w:val="both"/>
            </w:pPr>
            <w:r>
              <w:t>Role of VC in the main and the work of the group.  RS to put back out to</w:t>
            </w:r>
            <w:r w:rsidR="00E50995">
              <w:t xml:space="preserve"> the wider group and colleagues to respond within the deadline (3 weeks).</w:t>
            </w:r>
          </w:p>
        </w:tc>
        <w:tc>
          <w:tcPr>
            <w:tcW w:w="850" w:type="dxa"/>
            <w:shd w:val="clear" w:color="auto" w:fill="auto"/>
          </w:tcPr>
          <w:p w:rsidR="00953E7F" w:rsidRDefault="00953E7F" w:rsidP="000C31B1">
            <w:pPr>
              <w:rPr>
                <w:b/>
              </w:rPr>
            </w:pPr>
          </w:p>
          <w:p w:rsidR="00593EF3" w:rsidRPr="00D95B8C" w:rsidRDefault="00593EF3" w:rsidP="000C31B1">
            <w:pPr>
              <w:rPr>
                <w:b/>
              </w:rPr>
            </w:pPr>
            <w:r>
              <w:rPr>
                <w:b/>
              </w:rPr>
              <w:t>By 20</w:t>
            </w:r>
            <w:r w:rsidRPr="00593EF3">
              <w:rPr>
                <w:b/>
                <w:vertAlign w:val="superscript"/>
              </w:rPr>
              <w:t>th</w:t>
            </w:r>
            <w:r>
              <w:rPr>
                <w:b/>
              </w:rPr>
              <w:t xml:space="preserve"> March</w:t>
            </w:r>
          </w:p>
        </w:tc>
        <w:tc>
          <w:tcPr>
            <w:tcW w:w="567" w:type="dxa"/>
            <w:shd w:val="clear" w:color="auto" w:fill="auto"/>
          </w:tcPr>
          <w:p w:rsidR="00953E7F" w:rsidRDefault="00953E7F" w:rsidP="000C31B1">
            <w:pPr>
              <w:rPr>
                <w:b/>
              </w:rPr>
            </w:pPr>
          </w:p>
          <w:p w:rsidR="00593EF3" w:rsidRPr="00D96F1E" w:rsidRDefault="00593EF3" w:rsidP="000C31B1">
            <w:pPr>
              <w:rPr>
                <w:b/>
              </w:rPr>
            </w:pPr>
            <w:r>
              <w:rPr>
                <w:b/>
              </w:rPr>
              <w:t>ALL</w:t>
            </w:r>
          </w:p>
        </w:tc>
        <w:tc>
          <w:tcPr>
            <w:tcW w:w="2410" w:type="dxa"/>
            <w:shd w:val="clear" w:color="auto" w:fill="auto"/>
          </w:tcPr>
          <w:p w:rsidR="00953E7F" w:rsidRPr="00B868AF" w:rsidRDefault="00593EF3" w:rsidP="000C31B1">
            <w:pPr>
              <w:rPr>
                <w:b/>
                <w:color w:val="FF0000"/>
              </w:rPr>
            </w:pPr>
            <w:r>
              <w:rPr>
                <w:b/>
                <w:color w:val="FF0000"/>
              </w:rPr>
              <w:t>Colleagues to notify RS of interest in role by 20/03/2020</w:t>
            </w:r>
          </w:p>
        </w:tc>
      </w:tr>
      <w:tr w:rsidR="009B76CD" w:rsidRPr="00745BAC" w:rsidTr="00C2470F">
        <w:tc>
          <w:tcPr>
            <w:tcW w:w="1419" w:type="dxa"/>
          </w:tcPr>
          <w:p w:rsidR="009B76CD" w:rsidRDefault="009B76CD" w:rsidP="000C31B1">
            <w:pPr>
              <w:rPr>
                <w:b/>
              </w:rPr>
            </w:pPr>
            <w:r>
              <w:rPr>
                <w:b/>
              </w:rPr>
              <w:t>Fixed Term Tenancies</w:t>
            </w:r>
          </w:p>
        </w:tc>
        <w:tc>
          <w:tcPr>
            <w:tcW w:w="10631" w:type="dxa"/>
            <w:shd w:val="clear" w:color="auto" w:fill="auto"/>
          </w:tcPr>
          <w:p w:rsidR="00EB72D9" w:rsidRDefault="00366D95" w:rsidP="003E0CF6">
            <w:pPr>
              <w:jc w:val="both"/>
            </w:pPr>
            <w:r>
              <w:t>GP advised that WKHA are reviewing Fixed Term Tenancies</w:t>
            </w:r>
            <w:r w:rsidR="00EB72D9">
              <w:t xml:space="preserve"> having taken the decision to use them moving forward</w:t>
            </w:r>
            <w:r>
              <w:t>, GCHA have removed them via a Board decision due to the Housing Green Paper and intern</w:t>
            </w:r>
            <w:r w:rsidR="00EB72D9">
              <w:t>al data and administrative burden (had them for 5 years), TCH are phasing out now merger with Peabody, Radcliffe have FTT and are keeping them, have had them legally reviewed recently and are linking to tenancy audit, Moat have used them but are phasing out, Medway are still using them with a recommendation report to phase them out, with no tenancies having been ended.   FD advised that GCHA felt that they didn’t sit with the community focus and ethos of the organisation, asking households to become an invested member of the community without security of tenure.  Dartford BC are reviewing the use of them currently and producing a report.  FD happy to share the recent GCHA Board report.</w:t>
            </w:r>
          </w:p>
          <w:p w:rsidR="00EB72D9" w:rsidRPr="001C48C5" w:rsidRDefault="00EB72D9" w:rsidP="003E0CF6">
            <w:pPr>
              <w:jc w:val="both"/>
            </w:pPr>
          </w:p>
        </w:tc>
        <w:tc>
          <w:tcPr>
            <w:tcW w:w="850" w:type="dxa"/>
            <w:shd w:val="clear" w:color="auto" w:fill="auto"/>
          </w:tcPr>
          <w:p w:rsidR="009B76CD" w:rsidRDefault="009B76CD"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Pr="00D95B8C" w:rsidRDefault="00593EF3" w:rsidP="000C31B1">
            <w:pPr>
              <w:rPr>
                <w:b/>
              </w:rPr>
            </w:pPr>
            <w:r>
              <w:rPr>
                <w:b/>
              </w:rPr>
              <w:t>As avail</w:t>
            </w:r>
          </w:p>
        </w:tc>
        <w:tc>
          <w:tcPr>
            <w:tcW w:w="567" w:type="dxa"/>
            <w:shd w:val="clear" w:color="auto" w:fill="auto"/>
          </w:tcPr>
          <w:p w:rsidR="009B76CD" w:rsidRDefault="009B76CD"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Pr="00D96F1E" w:rsidRDefault="00593EF3" w:rsidP="000C31B1">
            <w:pPr>
              <w:rPr>
                <w:b/>
              </w:rPr>
            </w:pPr>
            <w:r>
              <w:rPr>
                <w:b/>
              </w:rPr>
              <w:t>FD</w:t>
            </w:r>
          </w:p>
        </w:tc>
        <w:tc>
          <w:tcPr>
            <w:tcW w:w="2410" w:type="dxa"/>
            <w:shd w:val="clear" w:color="auto" w:fill="auto"/>
          </w:tcPr>
          <w:p w:rsidR="009B76CD" w:rsidRDefault="009B76CD" w:rsidP="000C31B1">
            <w:pPr>
              <w:rPr>
                <w:b/>
                <w:color w:val="FF0000"/>
              </w:rPr>
            </w:pPr>
          </w:p>
          <w:p w:rsidR="00593EF3" w:rsidRDefault="00593EF3" w:rsidP="000C31B1">
            <w:pPr>
              <w:rPr>
                <w:b/>
                <w:color w:val="FF0000"/>
              </w:rPr>
            </w:pPr>
          </w:p>
          <w:p w:rsidR="00593EF3" w:rsidRDefault="00593EF3" w:rsidP="000C31B1">
            <w:pPr>
              <w:rPr>
                <w:b/>
                <w:color w:val="FF0000"/>
              </w:rPr>
            </w:pPr>
          </w:p>
          <w:p w:rsidR="00593EF3" w:rsidRDefault="00593EF3" w:rsidP="000C31B1">
            <w:pPr>
              <w:rPr>
                <w:b/>
                <w:color w:val="FF0000"/>
              </w:rPr>
            </w:pPr>
          </w:p>
          <w:p w:rsidR="00593EF3" w:rsidRDefault="00593EF3" w:rsidP="000C31B1">
            <w:pPr>
              <w:rPr>
                <w:b/>
                <w:color w:val="FF0000"/>
              </w:rPr>
            </w:pPr>
          </w:p>
          <w:p w:rsidR="00593EF3" w:rsidRDefault="00593EF3" w:rsidP="000C31B1">
            <w:pPr>
              <w:rPr>
                <w:b/>
                <w:color w:val="FF0000"/>
              </w:rPr>
            </w:pPr>
          </w:p>
          <w:p w:rsidR="00593EF3" w:rsidRPr="00B868AF" w:rsidRDefault="00593EF3" w:rsidP="000C31B1">
            <w:pPr>
              <w:rPr>
                <w:b/>
                <w:color w:val="FF0000"/>
              </w:rPr>
            </w:pPr>
            <w:r>
              <w:rPr>
                <w:b/>
                <w:color w:val="FF0000"/>
              </w:rPr>
              <w:t>FD to share GCHA Board Report</w:t>
            </w:r>
          </w:p>
        </w:tc>
      </w:tr>
      <w:tr w:rsidR="00953E7F" w:rsidRPr="00745BAC" w:rsidTr="00C2470F">
        <w:tc>
          <w:tcPr>
            <w:tcW w:w="1419" w:type="dxa"/>
          </w:tcPr>
          <w:p w:rsidR="00953E7F" w:rsidRDefault="00953E7F" w:rsidP="000C31B1">
            <w:pPr>
              <w:rPr>
                <w:b/>
              </w:rPr>
            </w:pPr>
            <w:r>
              <w:rPr>
                <w:b/>
              </w:rPr>
              <w:t>AOB</w:t>
            </w:r>
          </w:p>
        </w:tc>
        <w:tc>
          <w:tcPr>
            <w:tcW w:w="10631" w:type="dxa"/>
            <w:shd w:val="clear" w:color="auto" w:fill="auto"/>
          </w:tcPr>
          <w:p w:rsidR="00E50995" w:rsidRDefault="00E50995" w:rsidP="003E0CF6">
            <w:pPr>
              <w:jc w:val="both"/>
            </w:pPr>
            <w:r>
              <w:t>Next</w:t>
            </w:r>
            <w:r w:rsidR="00593EF3">
              <w:t xml:space="preserve"> KTMSG</w:t>
            </w:r>
            <w:r>
              <w:t xml:space="preserve"> Agenda</w:t>
            </w:r>
            <w:r w:rsidR="00593EF3">
              <w:t>s (June/Oct)</w:t>
            </w:r>
            <w:r>
              <w:t xml:space="preserve"> – DAHA/Reciprocal, UC and S21, Homes Act discussion (preparation or impact), discussion about Resident Annual Reporting and how Housing Management are reporting their performance through this communication, Voice Scope would like to present to KTMSG and focus on arrears – GP to look at them in more detail or potentially have 20 mins on the agenda.  FTA – how are colleagues managing them?  FD have a meeting planned with Housing Partners and their offer to collect former tenancy arrears, FD to share back with the group once met with them.</w:t>
            </w:r>
          </w:p>
          <w:p w:rsidR="00E50995" w:rsidRDefault="00E50995" w:rsidP="003E0CF6">
            <w:pPr>
              <w:jc w:val="both"/>
            </w:pPr>
          </w:p>
          <w:p w:rsidR="00E50995" w:rsidRDefault="00E50995" w:rsidP="003E0CF6">
            <w:pPr>
              <w:jc w:val="both"/>
            </w:pPr>
            <w:r>
              <w:t>Housing Partners – DE shared an email from them about how data is held and notification if held outside the EU.  This is more applicable to organisations who subscribe to Home Swapper.</w:t>
            </w:r>
          </w:p>
          <w:p w:rsidR="00E50995" w:rsidRDefault="00E50995" w:rsidP="003E0CF6">
            <w:pPr>
              <w:jc w:val="both"/>
            </w:pPr>
          </w:p>
          <w:p w:rsidR="00E50995" w:rsidRPr="001C48C5" w:rsidRDefault="00E50995" w:rsidP="003E0CF6">
            <w:pPr>
              <w:jc w:val="both"/>
            </w:pPr>
            <w:r>
              <w:t>Tenancy Training with Virtual College – Dartford BC are exploring this, it has a number of modules around sustaining a tenancy, Golding Homes are using an aid for their residents, Virtual College are currently updating their modules, agreed to invite to a future meeting.</w:t>
            </w:r>
          </w:p>
        </w:tc>
        <w:tc>
          <w:tcPr>
            <w:tcW w:w="850" w:type="dxa"/>
            <w:shd w:val="clear" w:color="auto" w:fill="auto"/>
          </w:tcPr>
          <w:p w:rsidR="00953E7F" w:rsidRDefault="00593EF3" w:rsidP="000C31B1">
            <w:pPr>
              <w:rPr>
                <w:b/>
              </w:rPr>
            </w:pPr>
            <w:r>
              <w:rPr>
                <w:b/>
              </w:rPr>
              <w:t>ASAP</w:t>
            </w: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Pr="00D95B8C" w:rsidRDefault="00593EF3" w:rsidP="000C31B1">
            <w:pPr>
              <w:rPr>
                <w:b/>
              </w:rPr>
            </w:pPr>
            <w:r>
              <w:rPr>
                <w:b/>
              </w:rPr>
              <w:t>ASAP</w:t>
            </w:r>
          </w:p>
        </w:tc>
        <w:tc>
          <w:tcPr>
            <w:tcW w:w="567" w:type="dxa"/>
            <w:shd w:val="clear" w:color="auto" w:fill="auto"/>
          </w:tcPr>
          <w:p w:rsidR="00953E7F" w:rsidRDefault="00593EF3" w:rsidP="000C31B1">
            <w:pPr>
              <w:rPr>
                <w:b/>
              </w:rPr>
            </w:pPr>
            <w:r>
              <w:rPr>
                <w:b/>
              </w:rPr>
              <w:t>GP/RS</w:t>
            </w: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Default="00593EF3" w:rsidP="000C31B1">
            <w:pPr>
              <w:rPr>
                <w:b/>
              </w:rPr>
            </w:pPr>
          </w:p>
          <w:p w:rsidR="00593EF3" w:rsidRPr="00D96F1E" w:rsidRDefault="00593EF3" w:rsidP="000C31B1">
            <w:pPr>
              <w:rPr>
                <w:b/>
              </w:rPr>
            </w:pPr>
            <w:r>
              <w:rPr>
                <w:b/>
              </w:rPr>
              <w:t>DE</w:t>
            </w:r>
          </w:p>
        </w:tc>
        <w:tc>
          <w:tcPr>
            <w:tcW w:w="2410" w:type="dxa"/>
            <w:shd w:val="clear" w:color="auto" w:fill="auto"/>
          </w:tcPr>
          <w:p w:rsidR="00E50995" w:rsidRPr="00B868AF" w:rsidRDefault="00E50995" w:rsidP="000C31B1">
            <w:pPr>
              <w:rPr>
                <w:b/>
                <w:color w:val="FF0000"/>
              </w:rPr>
            </w:pPr>
            <w:r w:rsidRPr="00B868AF">
              <w:rPr>
                <w:b/>
                <w:color w:val="FF0000"/>
              </w:rPr>
              <w:t>RS and GP to agree order for future meetings</w:t>
            </w:r>
          </w:p>
          <w:p w:rsidR="00E50995" w:rsidRPr="00B868AF" w:rsidRDefault="00E50995" w:rsidP="000C31B1">
            <w:pPr>
              <w:rPr>
                <w:b/>
                <w:color w:val="FF0000"/>
              </w:rPr>
            </w:pPr>
          </w:p>
          <w:p w:rsidR="00E50995" w:rsidRPr="00B868AF" w:rsidRDefault="00E50995" w:rsidP="000C31B1">
            <w:pPr>
              <w:rPr>
                <w:b/>
                <w:color w:val="FF0000"/>
              </w:rPr>
            </w:pPr>
          </w:p>
          <w:p w:rsidR="00E50995" w:rsidRPr="00B868AF" w:rsidRDefault="00E50995" w:rsidP="000C31B1">
            <w:pPr>
              <w:rPr>
                <w:b/>
                <w:color w:val="FF0000"/>
              </w:rPr>
            </w:pPr>
          </w:p>
          <w:p w:rsidR="00E50995" w:rsidRPr="00B868AF" w:rsidRDefault="00E50995" w:rsidP="000C31B1">
            <w:pPr>
              <w:rPr>
                <w:b/>
                <w:color w:val="FF0000"/>
              </w:rPr>
            </w:pPr>
            <w:r w:rsidRPr="00B868AF">
              <w:rPr>
                <w:b/>
                <w:color w:val="FF0000"/>
              </w:rPr>
              <w:t xml:space="preserve">Colleagues using Home Swapper to be aware of change </w:t>
            </w:r>
          </w:p>
          <w:p w:rsidR="00E50995" w:rsidRPr="00B868AF" w:rsidRDefault="00E50995" w:rsidP="000C31B1">
            <w:pPr>
              <w:rPr>
                <w:b/>
                <w:color w:val="FF0000"/>
              </w:rPr>
            </w:pPr>
          </w:p>
          <w:p w:rsidR="00E50995" w:rsidRPr="00B868AF" w:rsidRDefault="00E50995" w:rsidP="000C31B1">
            <w:pPr>
              <w:rPr>
                <w:b/>
                <w:color w:val="FF0000"/>
              </w:rPr>
            </w:pPr>
            <w:r w:rsidRPr="00B868AF">
              <w:rPr>
                <w:b/>
                <w:color w:val="FF0000"/>
              </w:rPr>
              <w:t>DE to share contact for Virtual College to come to future meeting</w:t>
            </w:r>
          </w:p>
        </w:tc>
      </w:tr>
      <w:tr w:rsidR="00E50995" w:rsidRPr="00745BAC" w:rsidTr="00C2470F">
        <w:tc>
          <w:tcPr>
            <w:tcW w:w="1419" w:type="dxa"/>
          </w:tcPr>
          <w:p w:rsidR="00E50995" w:rsidRDefault="00E50995" w:rsidP="000C31B1">
            <w:pPr>
              <w:rPr>
                <w:b/>
              </w:rPr>
            </w:pPr>
            <w:r>
              <w:rPr>
                <w:b/>
              </w:rPr>
              <w:t>Multi Agency Hub</w:t>
            </w:r>
          </w:p>
        </w:tc>
        <w:tc>
          <w:tcPr>
            <w:tcW w:w="10631" w:type="dxa"/>
            <w:shd w:val="clear" w:color="auto" w:fill="auto"/>
          </w:tcPr>
          <w:p w:rsidR="00E50995" w:rsidRDefault="00E50995" w:rsidP="00433E46">
            <w:pPr>
              <w:jc w:val="both"/>
            </w:pPr>
            <w:r>
              <w:t>MW provided an overview of the Dartfor</w:t>
            </w:r>
            <w:r w:rsidR="00433E46">
              <w:t>d</w:t>
            </w:r>
            <w:r>
              <w:t xml:space="preserve"> Hub – a space for partners to come and work in Dartford in house, to access staff and information, to support clients with most complex needs and assisting with </w:t>
            </w:r>
            <w:r w:rsidR="00433E46">
              <w:t>caseloads</w:t>
            </w:r>
            <w:r>
              <w:t xml:space="preserve">. </w:t>
            </w:r>
            <w:r w:rsidR="00433E46">
              <w:t xml:space="preserve"> A new focus on prevention, earlier and proactive, 56 days to prevent and relief those threatened with homelessness.  </w:t>
            </w:r>
          </w:p>
          <w:p w:rsidR="00433E46" w:rsidRDefault="00433E46" w:rsidP="00433E46">
            <w:pPr>
              <w:jc w:val="both"/>
            </w:pPr>
          </w:p>
          <w:p w:rsidR="00433E46" w:rsidRDefault="00433E46" w:rsidP="00433E46">
            <w:pPr>
              <w:jc w:val="both"/>
            </w:pPr>
            <w:r>
              <w:t>The Homeless Reduction Act Code of Guidance has resulted in the setup of the Hub in Dartford, with more details in the slides shared, providing a more holistic service response.   Not all services are present in the Hub physically but do understand the partnership arrangements and commitment.</w:t>
            </w:r>
          </w:p>
          <w:p w:rsidR="00433E46" w:rsidRDefault="00433E46" w:rsidP="00433E46">
            <w:pPr>
              <w:jc w:val="both"/>
            </w:pPr>
          </w:p>
          <w:p w:rsidR="006E77A9" w:rsidRDefault="006E77A9" w:rsidP="00433E46">
            <w:pPr>
              <w:jc w:val="both"/>
            </w:pPr>
            <w:r>
              <w:t>There are protocols in place for data sharing and software has been developed to support the sharing of information.  Referrals between agencies about a client are usually via managed appointments, to manage the demand and with agreement of the client.</w:t>
            </w:r>
          </w:p>
          <w:p w:rsidR="006E77A9" w:rsidRDefault="006E77A9" w:rsidP="00433E46">
            <w:pPr>
              <w:jc w:val="both"/>
            </w:pPr>
          </w:p>
          <w:p w:rsidR="00DE0BFD" w:rsidRDefault="00DE0BFD" w:rsidP="00433E46">
            <w:pPr>
              <w:jc w:val="both"/>
            </w:pPr>
            <w:r>
              <w:t>There are a number of RP’s who DCB would like to invite to be part of the Hub, colleagues with stock in or around Dartford who are interested in using the Hub as a base to make contact with Mike or Toni Carter at Dartford BC.</w:t>
            </w:r>
            <w:r w:rsidR="001D776C">
              <w:t xml:space="preserve">  The slides indicated what agencies are in place and what agencies DBC are working with to bring into the Hub.</w:t>
            </w:r>
          </w:p>
          <w:p w:rsidR="001D776C" w:rsidRDefault="001D776C" w:rsidP="00433E46">
            <w:pPr>
              <w:jc w:val="both"/>
            </w:pPr>
          </w:p>
          <w:p w:rsidR="00F62E6C" w:rsidRDefault="00F62E6C" w:rsidP="00433E46">
            <w:pPr>
              <w:jc w:val="both"/>
            </w:pPr>
          </w:p>
          <w:p w:rsidR="00F62E6C" w:rsidRDefault="00F62E6C" w:rsidP="00433E46">
            <w:pPr>
              <w:jc w:val="both"/>
            </w:pPr>
            <w:r>
              <w:t>The Hub is about prevention of homelessness, supporting those with complex need and tenancy sustainment.</w:t>
            </w:r>
            <w:r w:rsidR="009221BA">
              <w:t xml:space="preserve">   BG advised that Moat Foundation colleagues will be directed to the Hub to support residents of Moat who are living in or around Dartford.</w:t>
            </w:r>
          </w:p>
          <w:p w:rsidR="009221BA" w:rsidRDefault="009221BA" w:rsidP="00433E46">
            <w:pPr>
              <w:jc w:val="both"/>
            </w:pPr>
          </w:p>
          <w:p w:rsidR="009221BA" w:rsidRDefault="009221BA" w:rsidP="009221BA">
            <w:pPr>
              <w:jc w:val="both"/>
            </w:pPr>
            <w:r>
              <w:t>Unless a Duty to Refer Dartford BC is the lead for a case and Joint Plan.</w:t>
            </w:r>
          </w:p>
          <w:p w:rsidR="009221BA" w:rsidRDefault="009221BA" w:rsidP="009221BA">
            <w:pPr>
              <w:jc w:val="both"/>
            </w:pPr>
          </w:p>
        </w:tc>
        <w:tc>
          <w:tcPr>
            <w:tcW w:w="850" w:type="dxa"/>
            <w:shd w:val="clear" w:color="auto" w:fill="auto"/>
          </w:tcPr>
          <w:p w:rsidR="00E50995" w:rsidRPr="00D95B8C" w:rsidRDefault="0064049D" w:rsidP="000C31B1">
            <w:pPr>
              <w:rPr>
                <w:b/>
              </w:rPr>
            </w:pPr>
            <w:r>
              <w:rPr>
                <w:b/>
              </w:rPr>
              <w:t>With Notes</w:t>
            </w:r>
          </w:p>
        </w:tc>
        <w:tc>
          <w:tcPr>
            <w:tcW w:w="567" w:type="dxa"/>
            <w:shd w:val="clear" w:color="auto" w:fill="auto"/>
          </w:tcPr>
          <w:p w:rsidR="00E50995" w:rsidRPr="00D96F1E" w:rsidRDefault="0064049D" w:rsidP="000C31B1">
            <w:pPr>
              <w:rPr>
                <w:b/>
              </w:rPr>
            </w:pPr>
            <w:r>
              <w:rPr>
                <w:b/>
              </w:rPr>
              <w:t xml:space="preserve">RS </w:t>
            </w:r>
          </w:p>
        </w:tc>
        <w:tc>
          <w:tcPr>
            <w:tcW w:w="2410" w:type="dxa"/>
            <w:shd w:val="clear" w:color="auto" w:fill="auto"/>
          </w:tcPr>
          <w:p w:rsidR="00E50995" w:rsidRPr="00B868AF" w:rsidRDefault="0064049D" w:rsidP="000C31B1">
            <w:pPr>
              <w:rPr>
                <w:b/>
                <w:color w:val="FF0000"/>
              </w:rPr>
            </w:pPr>
            <w:r w:rsidRPr="00B868AF">
              <w:rPr>
                <w:b/>
                <w:color w:val="FF0000"/>
              </w:rPr>
              <w:t>RS to share slides with colleagues</w:t>
            </w:r>
          </w:p>
        </w:tc>
      </w:tr>
    </w:tbl>
    <w:p w:rsidR="00F418B5" w:rsidRDefault="00F418B5" w:rsidP="00E21560">
      <w:pPr>
        <w:rPr>
          <w:b/>
        </w:rPr>
      </w:pPr>
    </w:p>
    <w:p w:rsidR="00443F82" w:rsidRPr="00DF015F" w:rsidRDefault="00F418B5" w:rsidP="00E21560">
      <w:pPr>
        <w:rPr>
          <w:b/>
        </w:rPr>
      </w:pPr>
      <w:r>
        <w:rPr>
          <w:b/>
        </w:rPr>
        <w:t xml:space="preserve">Thanks noted to </w:t>
      </w:r>
      <w:r w:rsidR="0031503F">
        <w:rPr>
          <w:b/>
        </w:rPr>
        <w:t>Dartford</w:t>
      </w:r>
      <w:r w:rsidR="008936B0">
        <w:rPr>
          <w:b/>
        </w:rPr>
        <w:t xml:space="preserve"> BC</w:t>
      </w:r>
      <w:r w:rsidR="007641BA">
        <w:rPr>
          <w:b/>
        </w:rPr>
        <w:t xml:space="preserve"> for</w:t>
      </w:r>
      <w:r w:rsidR="00277B63">
        <w:rPr>
          <w:b/>
        </w:rPr>
        <w:t xml:space="preserve"> hosting</w:t>
      </w:r>
      <w:r w:rsidR="00C563CF">
        <w:rPr>
          <w:b/>
        </w:rPr>
        <w:t xml:space="preserve"> and provision of refreshments.</w:t>
      </w:r>
    </w:p>
    <w:sectPr w:rsidR="00443F82" w:rsidRPr="00DF015F"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5C5" w:rsidRDefault="003065C5" w:rsidP="001D0582">
      <w:pPr>
        <w:spacing w:after="0" w:line="240" w:lineRule="auto"/>
      </w:pPr>
      <w:r>
        <w:separator/>
      </w:r>
    </w:p>
  </w:endnote>
  <w:endnote w:type="continuationSeparator" w:id="0">
    <w:p w:rsidR="003065C5" w:rsidRDefault="003065C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E50995" w:rsidRDefault="00E50995">
        <w:pPr>
          <w:pStyle w:val="Footer"/>
          <w:jc w:val="center"/>
        </w:pPr>
        <w:r>
          <w:fldChar w:fldCharType="begin"/>
        </w:r>
        <w:r>
          <w:instrText xml:space="preserve"> PAGE   \* MERGEFORMAT </w:instrText>
        </w:r>
        <w:r>
          <w:fldChar w:fldCharType="separate"/>
        </w:r>
        <w:r w:rsidR="003D4701">
          <w:rPr>
            <w:noProof/>
          </w:rPr>
          <w:t>1</w:t>
        </w:r>
        <w:r>
          <w:rPr>
            <w:noProof/>
          </w:rPr>
          <w:fldChar w:fldCharType="end"/>
        </w:r>
      </w:p>
    </w:sdtContent>
  </w:sdt>
  <w:p w:rsidR="00E50995" w:rsidRDefault="00E50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5C5" w:rsidRDefault="003065C5" w:rsidP="001D0582">
      <w:pPr>
        <w:spacing w:after="0" w:line="240" w:lineRule="auto"/>
      </w:pPr>
      <w:r>
        <w:separator/>
      </w:r>
    </w:p>
  </w:footnote>
  <w:footnote w:type="continuationSeparator" w:id="0">
    <w:p w:rsidR="003065C5" w:rsidRDefault="003065C5"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95" w:rsidRPr="00264669" w:rsidRDefault="003D4701">
    <w:pPr>
      <w:pStyle w:val="Header"/>
      <w:rPr>
        <w:b/>
      </w:rPr>
    </w:pPr>
    <w:sdt>
      <w:sdtPr>
        <w:rPr>
          <w:b/>
        </w:rPr>
        <w:id w:val="191227505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0995">
      <w:rPr>
        <w:b/>
      </w:rPr>
      <w:t>KTMSG Meeting Notes 27</w:t>
    </w:r>
    <w:r w:rsidR="00E50995" w:rsidRPr="008936B0">
      <w:rPr>
        <w:b/>
        <w:vertAlign w:val="superscript"/>
      </w:rPr>
      <w:t>th</w:t>
    </w:r>
    <w:r w:rsidR="00E50995">
      <w:rPr>
        <w:b/>
      </w:rPr>
      <w:t xml:space="preserve"> February 2020, </w:t>
    </w:r>
    <w:r w:rsidR="00B868AF">
      <w:rPr>
        <w:b/>
      </w:rPr>
      <w:t>Dartford Borough Council, Civic Centre, Home Gardens, Dartford, Kent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C434D"/>
    <w:multiLevelType w:val="hybridMultilevel"/>
    <w:tmpl w:val="6B0C1C1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E7C43"/>
    <w:multiLevelType w:val="hybridMultilevel"/>
    <w:tmpl w:val="0CDEF3AA"/>
    <w:lvl w:ilvl="0" w:tplc="2AFA19E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DD3ABC"/>
    <w:multiLevelType w:val="hybridMultilevel"/>
    <w:tmpl w:val="1E12E0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0E1E26"/>
    <w:multiLevelType w:val="hybridMultilevel"/>
    <w:tmpl w:val="0BE83E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25B29"/>
    <w:multiLevelType w:val="hybridMultilevel"/>
    <w:tmpl w:val="EA28C8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5B034C40"/>
    <w:multiLevelType w:val="hybridMultilevel"/>
    <w:tmpl w:val="3976C9A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E660D3D"/>
    <w:multiLevelType w:val="hybridMultilevel"/>
    <w:tmpl w:val="09EE5F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E3960"/>
    <w:multiLevelType w:val="hybridMultilevel"/>
    <w:tmpl w:val="069876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3"/>
  </w:num>
  <w:num w:numId="5">
    <w:abstractNumId w:val="6"/>
  </w:num>
  <w:num w:numId="6">
    <w:abstractNumId w:val="10"/>
  </w:num>
  <w:num w:numId="7">
    <w:abstractNumId w:val="5"/>
  </w:num>
  <w:num w:numId="8">
    <w:abstractNumId w:val="4"/>
  </w:num>
  <w:num w:numId="9">
    <w:abstractNumId w:val="11"/>
  </w:num>
  <w:num w:numId="10">
    <w:abstractNumId w:val="3"/>
  </w:num>
  <w:num w:numId="11">
    <w:abstractNumId w:val="7"/>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5488"/>
    <w:rsid w:val="00020283"/>
    <w:rsid w:val="00020716"/>
    <w:rsid w:val="00021BCC"/>
    <w:rsid w:val="00026856"/>
    <w:rsid w:val="000279B1"/>
    <w:rsid w:val="00031DE3"/>
    <w:rsid w:val="00031DE6"/>
    <w:rsid w:val="00052289"/>
    <w:rsid w:val="000564F4"/>
    <w:rsid w:val="00061235"/>
    <w:rsid w:val="000624FA"/>
    <w:rsid w:val="00062F79"/>
    <w:rsid w:val="00064A20"/>
    <w:rsid w:val="000778DD"/>
    <w:rsid w:val="000779CD"/>
    <w:rsid w:val="00080CC5"/>
    <w:rsid w:val="0008129C"/>
    <w:rsid w:val="000871E7"/>
    <w:rsid w:val="00087D03"/>
    <w:rsid w:val="00091CE3"/>
    <w:rsid w:val="00092B85"/>
    <w:rsid w:val="00094D7E"/>
    <w:rsid w:val="0009691C"/>
    <w:rsid w:val="0009710B"/>
    <w:rsid w:val="000A7E2C"/>
    <w:rsid w:val="000B4C89"/>
    <w:rsid w:val="000B54B8"/>
    <w:rsid w:val="000B5B47"/>
    <w:rsid w:val="000C31B1"/>
    <w:rsid w:val="000C394D"/>
    <w:rsid w:val="000C5D16"/>
    <w:rsid w:val="000D1026"/>
    <w:rsid w:val="000D2F8E"/>
    <w:rsid w:val="000E1ABA"/>
    <w:rsid w:val="000E6197"/>
    <w:rsid w:val="000F4EEA"/>
    <w:rsid w:val="000F5E04"/>
    <w:rsid w:val="0010119D"/>
    <w:rsid w:val="00103E4A"/>
    <w:rsid w:val="00104544"/>
    <w:rsid w:val="00105208"/>
    <w:rsid w:val="001054A9"/>
    <w:rsid w:val="00106D8C"/>
    <w:rsid w:val="0011025C"/>
    <w:rsid w:val="00110C77"/>
    <w:rsid w:val="00111B2B"/>
    <w:rsid w:val="00112C6A"/>
    <w:rsid w:val="00115F2B"/>
    <w:rsid w:val="00124F1C"/>
    <w:rsid w:val="001262F3"/>
    <w:rsid w:val="00130227"/>
    <w:rsid w:val="00130B92"/>
    <w:rsid w:val="001325F9"/>
    <w:rsid w:val="00136005"/>
    <w:rsid w:val="00141109"/>
    <w:rsid w:val="00141F91"/>
    <w:rsid w:val="00146945"/>
    <w:rsid w:val="00147F95"/>
    <w:rsid w:val="00150D2E"/>
    <w:rsid w:val="0015139D"/>
    <w:rsid w:val="00156EA5"/>
    <w:rsid w:val="00160B13"/>
    <w:rsid w:val="00161B9E"/>
    <w:rsid w:val="0016325A"/>
    <w:rsid w:val="00164913"/>
    <w:rsid w:val="00165673"/>
    <w:rsid w:val="00176801"/>
    <w:rsid w:val="00177E49"/>
    <w:rsid w:val="001816BB"/>
    <w:rsid w:val="00181F41"/>
    <w:rsid w:val="00182CF3"/>
    <w:rsid w:val="00187F84"/>
    <w:rsid w:val="0019215E"/>
    <w:rsid w:val="00197BCD"/>
    <w:rsid w:val="001A0526"/>
    <w:rsid w:val="001A1975"/>
    <w:rsid w:val="001A2367"/>
    <w:rsid w:val="001B142B"/>
    <w:rsid w:val="001B4C9F"/>
    <w:rsid w:val="001B74E2"/>
    <w:rsid w:val="001B7F2E"/>
    <w:rsid w:val="001C0F9A"/>
    <w:rsid w:val="001C1D02"/>
    <w:rsid w:val="001C48C5"/>
    <w:rsid w:val="001C50C4"/>
    <w:rsid w:val="001C601C"/>
    <w:rsid w:val="001C6788"/>
    <w:rsid w:val="001D0582"/>
    <w:rsid w:val="001D34C8"/>
    <w:rsid w:val="001D6CF3"/>
    <w:rsid w:val="001D776C"/>
    <w:rsid w:val="001D78C0"/>
    <w:rsid w:val="001E0C8A"/>
    <w:rsid w:val="001E1A44"/>
    <w:rsid w:val="001E4B9E"/>
    <w:rsid w:val="001E7873"/>
    <w:rsid w:val="001F00E7"/>
    <w:rsid w:val="001F399C"/>
    <w:rsid w:val="001F406A"/>
    <w:rsid w:val="001F687A"/>
    <w:rsid w:val="00200B68"/>
    <w:rsid w:val="002036A2"/>
    <w:rsid w:val="002147E0"/>
    <w:rsid w:val="00231434"/>
    <w:rsid w:val="00252846"/>
    <w:rsid w:val="00252D55"/>
    <w:rsid w:val="002550E8"/>
    <w:rsid w:val="002615C8"/>
    <w:rsid w:val="00261D00"/>
    <w:rsid w:val="00261DD6"/>
    <w:rsid w:val="00264669"/>
    <w:rsid w:val="002654AF"/>
    <w:rsid w:val="002679ED"/>
    <w:rsid w:val="002709ED"/>
    <w:rsid w:val="0027373A"/>
    <w:rsid w:val="00273D14"/>
    <w:rsid w:val="002742D2"/>
    <w:rsid w:val="0027468E"/>
    <w:rsid w:val="00274D16"/>
    <w:rsid w:val="00276FDC"/>
    <w:rsid w:val="00277B63"/>
    <w:rsid w:val="00282512"/>
    <w:rsid w:val="00282AB7"/>
    <w:rsid w:val="00284C0C"/>
    <w:rsid w:val="00285E0B"/>
    <w:rsid w:val="002866AD"/>
    <w:rsid w:val="00293C7B"/>
    <w:rsid w:val="0029660B"/>
    <w:rsid w:val="002A366D"/>
    <w:rsid w:val="002B04EC"/>
    <w:rsid w:val="002B0598"/>
    <w:rsid w:val="002B184E"/>
    <w:rsid w:val="002B5DFA"/>
    <w:rsid w:val="002C4971"/>
    <w:rsid w:val="002D03A5"/>
    <w:rsid w:val="002D0D5E"/>
    <w:rsid w:val="002D7698"/>
    <w:rsid w:val="002E0100"/>
    <w:rsid w:val="002F4A59"/>
    <w:rsid w:val="00300A74"/>
    <w:rsid w:val="003065C5"/>
    <w:rsid w:val="00311C62"/>
    <w:rsid w:val="00312364"/>
    <w:rsid w:val="00313019"/>
    <w:rsid w:val="003144E8"/>
    <w:rsid w:val="0031503F"/>
    <w:rsid w:val="00315121"/>
    <w:rsid w:val="003205E8"/>
    <w:rsid w:val="00323A19"/>
    <w:rsid w:val="003251FA"/>
    <w:rsid w:val="0033294D"/>
    <w:rsid w:val="00332E76"/>
    <w:rsid w:val="003354F5"/>
    <w:rsid w:val="00343371"/>
    <w:rsid w:val="0034724C"/>
    <w:rsid w:val="00347D3D"/>
    <w:rsid w:val="00347FF5"/>
    <w:rsid w:val="003502C4"/>
    <w:rsid w:val="003561E6"/>
    <w:rsid w:val="003651B3"/>
    <w:rsid w:val="00366D95"/>
    <w:rsid w:val="003767FE"/>
    <w:rsid w:val="003805C2"/>
    <w:rsid w:val="00387E78"/>
    <w:rsid w:val="003900EE"/>
    <w:rsid w:val="00391561"/>
    <w:rsid w:val="0039354E"/>
    <w:rsid w:val="00393BA4"/>
    <w:rsid w:val="0039592E"/>
    <w:rsid w:val="00395DB1"/>
    <w:rsid w:val="003A12E5"/>
    <w:rsid w:val="003A72C3"/>
    <w:rsid w:val="003B0473"/>
    <w:rsid w:val="003B2F2C"/>
    <w:rsid w:val="003C2892"/>
    <w:rsid w:val="003C2B61"/>
    <w:rsid w:val="003C371D"/>
    <w:rsid w:val="003C3BFF"/>
    <w:rsid w:val="003C4E1E"/>
    <w:rsid w:val="003C5FDA"/>
    <w:rsid w:val="003D4701"/>
    <w:rsid w:val="003D7D3A"/>
    <w:rsid w:val="003E0CF6"/>
    <w:rsid w:val="003F5CB0"/>
    <w:rsid w:val="004000CA"/>
    <w:rsid w:val="004010A8"/>
    <w:rsid w:val="00401453"/>
    <w:rsid w:val="004173A6"/>
    <w:rsid w:val="00417A80"/>
    <w:rsid w:val="004216BC"/>
    <w:rsid w:val="004223D3"/>
    <w:rsid w:val="004241B5"/>
    <w:rsid w:val="0042628B"/>
    <w:rsid w:val="0042683E"/>
    <w:rsid w:val="00427AC7"/>
    <w:rsid w:val="00427CA9"/>
    <w:rsid w:val="00427D3E"/>
    <w:rsid w:val="0043172B"/>
    <w:rsid w:val="00432F07"/>
    <w:rsid w:val="00433611"/>
    <w:rsid w:val="00433E46"/>
    <w:rsid w:val="004345E4"/>
    <w:rsid w:val="00443C16"/>
    <w:rsid w:val="00443F82"/>
    <w:rsid w:val="00445779"/>
    <w:rsid w:val="00445815"/>
    <w:rsid w:val="004467BA"/>
    <w:rsid w:val="00446801"/>
    <w:rsid w:val="00451A7A"/>
    <w:rsid w:val="00452987"/>
    <w:rsid w:val="00453E3F"/>
    <w:rsid w:val="00454E00"/>
    <w:rsid w:val="004558CD"/>
    <w:rsid w:val="00465128"/>
    <w:rsid w:val="00471DD9"/>
    <w:rsid w:val="00477AFD"/>
    <w:rsid w:val="00486834"/>
    <w:rsid w:val="00487A05"/>
    <w:rsid w:val="00490760"/>
    <w:rsid w:val="0049191F"/>
    <w:rsid w:val="00492A6C"/>
    <w:rsid w:val="00493100"/>
    <w:rsid w:val="00496859"/>
    <w:rsid w:val="004A19A8"/>
    <w:rsid w:val="004A20DB"/>
    <w:rsid w:val="004A6165"/>
    <w:rsid w:val="004A72D5"/>
    <w:rsid w:val="004B0937"/>
    <w:rsid w:val="004B0BAA"/>
    <w:rsid w:val="004B0FDA"/>
    <w:rsid w:val="004B6795"/>
    <w:rsid w:val="004B7489"/>
    <w:rsid w:val="004C0DFB"/>
    <w:rsid w:val="004C57A0"/>
    <w:rsid w:val="004C5AF0"/>
    <w:rsid w:val="004C7313"/>
    <w:rsid w:val="004C7881"/>
    <w:rsid w:val="004D0171"/>
    <w:rsid w:val="004D1D2D"/>
    <w:rsid w:val="004D577A"/>
    <w:rsid w:val="00511E5E"/>
    <w:rsid w:val="00512D31"/>
    <w:rsid w:val="00514165"/>
    <w:rsid w:val="005148CC"/>
    <w:rsid w:val="00521852"/>
    <w:rsid w:val="0052288E"/>
    <w:rsid w:val="005233B2"/>
    <w:rsid w:val="00523877"/>
    <w:rsid w:val="00527061"/>
    <w:rsid w:val="0053334D"/>
    <w:rsid w:val="005427B0"/>
    <w:rsid w:val="00543109"/>
    <w:rsid w:val="00546258"/>
    <w:rsid w:val="005462D1"/>
    <w:rsid w:val="00552F8D"/>
    <w:rsid w:val="00565E65"/>
    <w:rsid w:val="00566AF7"/>
    <w:rsid w:val="005677D4"/>
    <w:rsid w:val="00572CEB"/>
    <w:rsid w:val="005755F2"/>
    <w:rsid w:val="00576705"/>
    <w:rsid w:val="00576D19"/>
    <w:rsid w:val="00576DBC"/>
    <w:rsid w:val="00577445"/>
    <w:rsid w:val="00582AE3"/>
    <w:rsid w:val="005866D1"/>
    <w:rsid w:val="005917CC"/>
    <w:rsid w:val="00592AC2"/>
    <w:rsid w:val="00593EF3"/>
    <w:rsid w:val="00596291"/>
    <w:rsid w:val="005A7FF7"/>
    <w:rsid w:val="005B0792"/>
    <w:rsid w:val="005B0F8F"/>
    <w:rsid w:val="005B2676"/>
    <w:rsid w:val="005B495B"/>
    <w:rsid w:val="005B7F31"/>
    <w:rsid w:val="005C5881"/>
    <w:rsid w:val="005C7995"/>
    <w:rsid w:val="005D1AB8"/>
    <w:rsid w:val="005D1DB6"/>
    <w:rsid w:val="005D68EF"/>
    <w:rsid w:val="005F3904"/>
    <w:rsid w:val="005F3C13"/>
    <w:rsid w:val="005F4F00"/>
    <w:rsid w:val="0060494E"/>
    <w:rsid w:val="006059D2"/>
    <w:rsid w:val="00607F00"/>
    <w:rsid w:val="0061242E"/>
    <w:rsid w:val="00614883"/>
    <w:rsid w:val="0061520B"/>
    <w:rsid w:val="006167D1"/>
    <w:rsid w:val="006202F2"/>
    <w:rsid w:val="00631572"/>
    <w:rsid w:val="00632AE4"/>
    <w:rsid w:val="00633F20"/>
    <w:rsid w:val="0064049D"/>
    <w:rsid w:val="00641215"/>
    <w:rsid w:val="00641D7C"/>
    <w:rsid w:val="00643730"/>
    <w:rsid w:val="00644EA6"/>
    <w:rsid w:val="0064548E"/>
    <w:rsid w:val="00647CA0"/>
    <w:rsid w:val="00647E40"/>
    <w:rsid w:val="00651D7A"/>
    <w:rsid w:val="00653369"/>
    <w:rsid w:val="006556BA"/>
    <w:rsid w:val="006573EE"/>
    <w:rsid w:val="00663CCF"/>
    <w:rsid w:val="00665893"/>
    <w:rsid w:val="006668AE"/>
    <w:rsid w:val="0067090E"/>
    <w:rsid w:val="0067369A"/>
    <w:rsid w:val="006775AA"/>
    <w:rsid w:val="0068214F"/>
    <w:rsid w:val="00692774"/>
    <w:rsid w:val="00692887"/>
    <w:rsid w:val="00695733"/>
    <w:rsid w:val="0069608E"/>
    <w:rsid w:val="00696E2D"/>
    <w:rsid w:val="006A0F46"/>
    <w:rsid w:val="006A3F16"/>
    <w:rsid w:val="006C2E89"/>
    <w:rsid w:val="006C2EBB"/>
    <w:rsid w:val="006C34AE"/>
    <w:rsid w:val="006C46AC"/>
    <w:rsid w:val="006C635E"/>
    <w:rsid w:val="006D52CE"/>
    <w:rsid w:val="006D5504"/>
    <w:rsid w:val="006D6D36"/>
    <w:rsid w:val="006E2643"/>
    <w:rsid w:val="006E77A9"/>
    <w:rsid w:val="006E7F9D"/>
    <w:rsid w:val="006F190F"/>
    <w:rsid w:val="006F33CE"/>
    <w:rsid w:val="006F7B7C"/>
    <w:rsid w:val="007029C8"/>
    <w:rsid w:val="00703042"/>
    <w:rsid w:val="00707E57"/>
    <w:rsid w:val="007103D5"/>
    <w:rsid w:val="00710536"/>
    <w:rsid w:val="007156DF"/>
    <w:rsid w:val="00717518"/>
    <w:rsid w:val="00717584"/>
    <w:rsid w:val="0071764F"/>
    <w:rsid w:val="007330A4"/>
    <w:rsid w:val="00734603"/>
    <w:rsid w:val="00734D65"/>
    <w:rsid w:val="00735129"/>
    <w:rsid w:val="00736BBC"/>
    <w:rsid w:val="00737FBB"/>
    <w:rsid w:val="0074229A"/>
    <w:rsid w:val="00745BAC"/>
    <w:rsid w:val="007466C4"/>
    <w:rsid w:val="00750F98"/>
    <w:rsid w:val="007541FB"/>
    <w:rsid w:val="00754D2D"/>
    <w:rsid w:val="00755D98"/>
    <w:rsid w:val="0075752D"/>
    <w:rsid w:val="007634E0"/>
    <w:rsid w:val="007641BA"/>
    <w:rsid w:val="007652BA"/>
    <w:rsid w:val="00766091"/>
    <w:rsid w:val="007679D1"/>
    <w:rsid w:val="0077139C"/>
    <w:rsid w:val="0077311A"/>
    <w:rsid w:val="00773CE1"/>
    <w:rsid w:val="00780F39"/>
    <w:rsid w:val="00780F97"/>
    <w:rsid w:val="007849CE"/>
    <w:rsid w:val="00786C96"/>
    <w:rsid w:val="00790DD4"/>
    <w:rsid w:val="00791545"/>
    <w:rsid w:val="00791F75"/>
    <w:rsid w:val="007925A7"/>
    <w:rsid w:val="00794ADB"/>
    <w:rsid w:val="007965F9"/>
    <w:rsid w:val="00796AB2"/>
    <w:rsid w:val="00797CC0"/>
    <w:rsid w:val="007A2E9A"/>
    <w:rsid w:val="007A5545"/>
    <w:rsid w:val="007A62D3"/>
    <w:rsid w:val="007A6841"/>
    <w:rsid w:val="007A7E26"/>
    <w:rsid w:val="007B1A6D"/>
    <w:rsid w:val="007B2603"/>
    <w:rsid w:val="007B323F"/>
    <w:rsid w:val="007C2A71"/>
    <w:rsid w:val="007C3F60"/>
    <w:rsid w:val="007C47C8"/>
    <w:rsid w:val="007D12F2"/>
    <w:rsid w:val="007D3984"/>
    <w:rsid w:val="007D64D7"/>
    <w:rsid w:val="007D68B3"/>
    <w:rsid w:val="007E464E"/>
    <w:rsid w:val="007F0D66"/>
    <w:rsid w:val="007F161E"/>
    <w:rsid w:val="007F6D5D"/>
    <w:rsid w:val="00800E06"/>
    <w:rsid w:val="0080322B"/>
    <w:rsid w:val="008032AC"/>
    <w:rsid w:val="00803549"/>
    <w:rsid w:val="008100C1"/>
    <w:rsid w:val="00821D19"/>
    <w:rsid w:val="008319F8"/>
    <w:rsid w:val="00831B42"/>
    <w:rsid w:val="008320FE"/>
    <w:rsid w:val="008328DA"/>
    <w:rsid w:val="0083542E"/>
    <w:rsid w:val="00836724"/>
    <w:rsid w:val="00840B44"/>
    <w:rsid w:val="00842D44"/>
    <w:rsid w:val="00843F80"/>
    <w:rsid w:val="0084435C"/>
    <w:rsid w:val="008515BE"/>
    <w:rsid w:val="0086276E"/>
    <w:rsid w:val="00862B63"/>
    <w:rsid w:val="00863010"/>
    <w:rsid w:val="008669A9"/>
    <w:rsid w:val="0087181E"/>
    <w:rsid w:val="00871A17"/>
    <w:rsid w:val="008741B9"/>
    <w:rsid w:val="0088213F"/>
    <w:rsid w:val="00883DB8"/>
    <w:rsid w:val="0088401D"/>
    <w:rsid w:val="00884433"/>
    <w:rsid w:val="00887E4E"/>
    <w:rsid w:val="00890084"/>
    <w:rsid w:val="0089332E"/>
    <w:rsid w:val="0089337E"/>
    <w:rsid w:val="008936B0"/>
    <w:rsid w:val="00895424"/>
    <w:rsid w:val="008A4FAD"/>
    <w:rsid w:val="008B2794"/>
    <w:rsid w:val="008B438C"/>
    <w:rsid w:val="008C704F"/>
    <w:rsid w:val="008D2124"/>
    <w:rsid w:val="008D33AE"/>
    <w:rsid w:val="008D4BE9"/>
    <w:rsid w:val="008D7427"/>
    <w:rsid w:val="008E0573"/>
    <w:rsid w:val="008E7E63"/>
    <w:rsid w:val="008F2A5E"/>
    <w:rsid w:val="008F4007"/>
    <w:rsid w:val="008F621A"/>
    <w:rsid w:val="008F72BF"/>
    <w:rsid w:val="008F7807"/>
    <w:rsid w:val="008F79D2"/>
    <w:rsid w:val="008F7F4C"/>
    <w:rsid w:val="009010A3"/>
    <w:rsid w:val="00905C95"/>
    <w:rsid w:val="00911690"/>
    <w:rsid w:val="00915066"/>
    <w:rsid w:val="009179A4"/>
    <w:rsid w:val="009221BA"/>
    <w:rsid w:val="009300B4"/>
    <w:rsid w:val="009420AC"/>
    <w:rsid w:val="009433A2"/>
    <w:rsid w:val="0094414E"/>
    <w:rsid w:val="00951CFE"/>
    <w:rsid w:val="00953E7F"/>
    <w:rsid w:val="00960571"/>
    <w:rsid w:val="0096510D"/>
    <w:rsid w:val="00965254"/>
    <w:rsid w:val="00976E41"/>
    <w:rsid w:val="009825AD"/>
    <w:rsid w:val="00986888"/>
    <w:rsid w:val="0098697A"/>
    <w:rsid w:val="00986BBC"/>
    <w:rsid w:val="00990F9A"/>
    <w:rsid w:val="00992028"/>
    <w:rsid w:val="00996975"/>
    <w:rsid w:val="009A08A6"/>
    <w:rsid w:val="009A1621"/>
    <w:rsid w:val="009B38FF"/>
    <w:rsid w:val="009B76CD"/>
    <w:rsid w:val="009C276C"/>
    <w:rsid w:val="009C548C"/>
    <w:rsid w:val="009C5ABD"/>
    <w:rsid w:val="009D22D0"/>
    <w:rsid w:val="009D3F0E"/>
    <w:rsid w:val="009D4A4C"/>
    <w:rsid w:val="009D4DD9"/>
    <w:rsid w:val="009D5581"/>
    <w:rsid w:val="009D65BB"/>
    <w:rsid w:val="009E1DCB"/>
    <w:rsid w:val="009E49FB"/>
    <w:rsid w:val="009E732B"/>
    <w:rsid w:val="009F0353"/>
    <w:rsid w:val="009F2480"/>
    <w:rsid w:val="00A01750"/>
    <w:rsid w:val="00A02477"/>
    <w:rsid w:val="00A041DA"/>
    <w:rsid w:val="00A05E24"/>
    <w:rsid w:val="00A2502B"/>
    <w:rsid w:val="00A2540C"/>
    <w:rsid w:val="00A3083F"/>
    <w:rsid w:val="00A31FFE"/>
    <w:rsid w:val="00A3360E"/>
    <w:rsid w:val="00A37EB0"/>
    <w:rsid w:val="00A41B69"/>
    <w:rsid w:val="00A444E4"/>
    <w:rsid w:val="00A45BAE"/>
    <w:rsid w:val="00A512AD"/>
    <w:rsid w:val="00A52DBB"/>
    <w:rsid w:val="00A5743A"/>
    <w:rsid w:val="00A64732"/>
    <w:rsid w:val="00A67D6B"/>
    <w:rsid w:val="00A74FDB"/>
    <w:rsid w:val="00A75210"/>
    <w:rsid w:val="00A77B74"/>
    <w:rsid w:val="00A87C6C"/>
    <w:rsid w:val="00A91826"/>
    <w:rsid w:val="00A9440C"/>
    <w:rsid w:val="00A94617"/>
    <w:rsid w:val="00A96EDB"/>
    <w:rsid w:val="00A973DB"/>
    <w:rsid w:val="00A97F4B"/>
    <w:rsid w:val="00AA0992"/>
    <w:rsid w:val="00AA3F5E"/>
    <w:rsid w:val="00AA3FD7"/>
    <w:rsid w:val="00AA45A1"/>
    <w:rsid w:val="00AA49A4"/>
    <w:rsid w:val="00AA5681"/>
    <w:rsid w:val="00AA5F0A"/>
    <w:rsid w:val="00AA6047"/>
    <w:rsid w:val="00AA69F4"/>
    <w:rsid w:val="00AA6FEA"/>
    <w:rsid w:val="00AB2C6C"/>
    <w:rsid w:val="00AB362D"/>
    <w:rsid w:val="00AB413A"/>
    <w:rsid w:val="00AB704F"/>
    <w:rsid w:val="00AB73A7"/>
    <w:rsid w:val="00AC2608"/>
    <w:rsid w:val="00AC328A"/>
    <w:rsid w:val="00AD494F"/>
    <w:rsid w:val="00AD5B09"/>
    <w:rsid w:val="00AD719D"/>
    <w:rsid w:val="00AD71FE"/>
    <w:rsid w:val="00AE13BF"/>
    <w:rsid w:val="00AE3556"/>
    <w:rsid w:val="00AE5827"/>
    <w:rsid w:val="00AE7410"/>
    <w:rsid w:val="00AF4B01"/>
    <w:rsid w:val="00AF5388"/>
    <w:rsid w:val="00B06BA6"/>
    <w:rsid w:val="00B17CEA"/>
    <w:rsid w:val="00B21776"/>
    <w:rsid w:val="00B2180E"/>
    <w:rsid w:val="00B25E02"/>
    <w:rsid w:val="00B26D32"/>
    <w:rsid w:val="00B3068A"/>
    <w:rsid w:val="00B3345C"/>
    <w:rsid w:val="00B342EE"/>
    <w:rsid w:val="00B471FC"/>
    <w:rsid w:val="00B47710"/>
    <w:rsid w:val="00B51336"/>
    <w:rsid w:val="00B51AC8"/>
    <w:rsid w:val="00B55164"/>
    <w:rsid w:val="00B553B4"/>
    <w:rsid w:val="00B56A5B"/>
    <w:rsid w:val="00B71326"/>
    <w:rsid w:val="00B71745"/>
    <w:rsid w:val="00B744F1"/>
    <w:rsid w:val="00B75B9A"/>
    <w:rsid w:val="00B77576"/>
    <w:rsid w:val="00B809BC"/>
    <w:rsid w:val="00B82FA9"/>
    <w:rsid w:val="00B83325"/>
    <w:rsid w:val="00B83A16"/>
    <w:rsid w:val="00B8529C"/>
    <w:rsid w:val="00B868AF"/>
    <w:rsid w:val="00B86C9E"/>
    <w:rsid w:val="00B8788B"/>
    <w:rsid w:val="00B94C69"/>
    <w:rsid w:val="00BA3231"/>
    <w:rsid w:val="00BA3D16"/>
    <w:rsid w:val="00BA7C08"/>
    <w:rsid w:val="00BB652C"/>
    <w:rsid w:val="00BC7803"/>
    <w:rsid w:val="00BD14A6"/>
    <w:rsid w:val="00BD3127"/>
    <w:rsid w:val="00BD315C"/>
    <w:rsid w:val="00BE1A78"/>
    <w:rsid w:val="00BE20D6"/>
    <w:rsid w:val="00BE5D7D"/>
    <w:rsid w:val="00BF07DA"/>
    <w:rsid w:val="00BF31E9"/>
    <w:rsid w:val="00BF51F4"/>
    <w:rsid w:val="00BF546C"/>
    <w:rsid w:val="00C01161"/>
    <w:rsid w:val="00C01220"/>
    <w:rsid w:val="00C039B7"/>
    <w:rsid w:val="00C166F9"/>
    <w:rsid w:val="00C22AE3"/>
    <w:rsid w:val="00C2470F"/>
    <w:rsid w:val="00C35551"/>
    <w:rsid w:val="00C42029"/>
    <w:rsid w:val="00C42CFA"/>
    <w:rsid w:val="00C4590A"/>
    <w:rsid w:val="00C51436"/>
    <w:rsid w:val="00C563CF"/>
    <w:rsid w:val="00C571A1"/>
    <w:rsid w:val="00C606DB"/>
    <w:rsid w:val="00C60D48"/>
    <w:rsid w:val="00C66676"/>
    <w:rsid w:val="00C70A53"/>
    <w:rsid w:val="00C70D27"/>
    <w:rsid w:val="00C775CC"/>
    <w:rsid w:val="00C778CC"/>
    <w:rsid w:val="00C86BD6"/>
    <w:rsid w:val="00C873FB"/>
    <w:rsid w:val="00C90A7B"/>
    <w:rsid w:val="00C935E4"/>
    <w:rsid w:val="00C94895"/>
    <w:rsid w:val="00C94FD9"/>
    <w:rsid w:val="00C97E4B"/>
    <w:rsid w:val="00CA27E0"/>
    <w:rsid w:val="00CA3430"/>
    <w:rsid w:val="00CA5390"/>
    <w:rsid w:val="00CA5CA8"/>
    <w:rsid w:val="00CA6FA0"/>
    <w:rsid w:val="00CB193D"/>
    <w:rsid w:val="00CB4A0D"/>
    <w:rsid w:val="00CC5D2C"/>
    <w:rsid w:val="00CD0A51"/>
    <w:rsid w:val="00CD1EC5"/>
    <w:rsid w:val="00CD3142"/>
    <w:rsid w:val="00CD3996"/>
    <w:rsid w:val="00CD42B4"/>
    <w:rsid w:val="00CE335C"/>
    <w:rsid w:val="00CE394E"/>
    <w:rsid w:val="00CF071E"/>
    <w:rsid w:val="00CF0830"/>
    <w:rsid w:val="00CF109C"/>
    <w:rsid w:val="00CF1FBA"/>
    <w:rsid w:val="00CF49BF"/>
    <w:rsid w:val="00CF620D"/>
    <w:rsid w:val="00CF7190"/>
    <w:rsid w:val="00D013B6"/>
    <w:rsid w:val="00D03209"/>
    <w:rsid w:val="00D03CE7"/>
    <w:rsid w:val="00D06ACE"/>
    <w:rsid w:val="00D103B4"/>
    <w:rsid w:val="00D110D6"/>
    <w:rsid w:val="00D11EC8"/>
    <w:rsid w:val="00D17D37"/>
    <w:rsid w:val="00D22FFF"/>
    <w:rsid w:val="00D31709"/>
    <w:rsid w:val="00D31BE2"/>
    <w:rsid w:val="00D3313F"/>
    <w:rsid w:val="00D34035"/>
    <w:rsid w:val="00D34CC5"/>
    <w:rsid w:val="00D40934"/>
    <w:rsid w:val="00D42118"/>
    <w:rsid w:val="00D43968"/>
    <w:rsid w:val="00D45F60"/>
    <w:rsid w:val="00D46BA6"/>
    <w:rsid w:val="00D4715B"/>
    <w:rsid w:val="00D51F63"/>
    <w:rsid w:val="00D546D5"/>
    <w:rsid w:val="00D5513D"/>
    <w:rsid w:val="00D55EE3"/>
    <w:rsid w:val="00D60CC5"/>
    <w:rsid w:val="00D630CF"/>
    <w:rsid w:val="00D67388"/>
    <w:rsid w:val="00D733CD"/>
    <w:rsid w:val="00D7439F"/>
    <w:rsid w:val="00D749D4"/>
    <w:rsid w:val="00D8069A"/>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B47D5"/>
    <w:rsid w:val="00DC1938"/>
    <w:rsid w:val="00DC208F"/>
    <w:rsid w:val="00DC2DDD"/>
    <w:rsid w:val="00DC5278"/>
    <w:rsid w:val="00DC71AE"/>
    <w:rsid w:val="00DD2DE3"/>
    <w:rsid w:val="00DD3C36"/>
    <w:rsid w:val="00DD4308"/>
    <w:rsid w:val="00DD4624"/>
    <w:rsid w:val="00DD6361"/>
    <w:rsid w:val="00DD775D"/>
    <w:rsid w:val="00DD7F1C"/>
    <w:rsid w:val="00DE0BFD"/>
    <w:rsid w:val="00DE3126"/>
    <w:rsid w:val="00DE3A94"/>
    <w:rsid w:val="00DF015F"/>
    <w:rsid w:val="00DF2FAC"/>
    <w:rsid w:val="00DF5A67"/>
    <w:rsid w:val="00DF63B0"/>
    <w:rsid w:val="00E02FF5"/>
    <w:rsid w:val="00E128D7"/>
    <w:rsid w:val="00E143E8"/>
    <w:rsid w:val="00E21560"/>
    <w:rsid w:val="00E37169"/>
    <w:rsid w:val="00E3745B"/>
    <w:rsid w:val="00E412F2"/>
    <w:rsid w:val="00E45720"/>
    <w:rsid w:val="00E45FCF"/>
    <w:rsid w:val="00E462BB"/>
    <w:rsid w:val="00E46ACC"/>
    <w:rsid w:val="00E50995"/>
    <w:rsid w:val="00E510EA"/>
    <w:rsid w:val="00E61F28"/>
    <w:rsid w:val="00E62BA2"/>
    <w:rsid w:val="00E66374"/>
    <w:rsid w:val="00E66FC1"/>
    <w:rsid w:val="00E805A7"/>
    <w:rsid w:val="00E839CE"/>
    <w:rsid w:val="00E86720"/>
    <w:rsid w:val="00E87A6E"/>
    <w:rsid w:val="00E9367E"/>
    <w:rsid w:val="00E93FA9"/>
    <w:rsid w:val="00E97F02"/>
    <w:rsid w:val="00EA1956"/>
    <w:rsid w:val="00EA5E98"/>
    <w:rsid w:val="00EA6CDC"/>
    <w:rsid w:val="00EB1CF0"/>
    <w:rsid w:val="00EB5229"/>
    <w:rsid w:val="00EB72D9"/>
    <w:rsid w:val="00EC1DA4"/>
    <w:rsid w:val="00ED12D0"/>
    <w:rsid w:val="00ED2FEC"/>
    <w:rsid w:val="00ED5C0C"/>
    <w:rsid w:val="00EF1965"/>
    <w:rsid w:val="00F04F04"/>
    <w:rsid w:val="00F106D2"/>
    <w:rsid w:val="00F10803"/>
    <w:rsid w:val="00F10EF9"/>
    <w:rsid w:val="00F13A74"/>
    <w:rsid w:val="00F1646F"/>
    <w:rsid w:val="00F27267"/>
    <w:rsid w:val="00F332C5"/>
    <w:rsid w:val="00F37E24"/>
    <w:rsid w:val="00F40C2A"/>
    <w:rsid w:val="00F4148D"/>
    <w:rsid w:val="00F418B5"/>
    <w:rsid w:val="00F45326"/>
    <w:rsid w:val="00F4695A"/>
    <w:rsid w:val="00F513B0"/>
    <w:rsid w:val="00F51BAF"/>
    <w:rsid w:val="00F557F7"/>
    <w:rsid w:val="00F55D17"/>
    <w:rsid w:val="00F6164E"/>
    <w:rsid w:val="00F6254F"/>
    <w:rsid w:val="00F62E6C"/>
    <w:rsid w:val="00F65737"/>
    <w:rsid w:val="00F706E2"/>
    <w:rsid w:val="00F7118B"/>
    <w:rsid w:val="00F745E9"/>
    <w:rsid w:val="00F76478"/>
    <w:rsid w:val="00F87203"/>
    <w:rsid w:val="00F87CBC"/>
    <w:rsid w:val="00F923D8"/>
    <w:rsid w:val="00F93BB2"/>
    <w:rsid w:val="00F948B2"/>
    <w:rsid w:val="00FA2BF4"/>
    <w:rsid w:val="00FA3F4C"/>
    <w:rsid w:val="00FA4738"/>
    <w:rsid w:val="00FA5FAC"/>
    <w:rsid w:val="00FB113B"/>
    <w:rsid w:val="00FB3AB9"/>
    <w:rsid w:val="00FB5696"/>
    <w:rsid w:val="00FC4CE4"/>
    <w:rsid w:val="00FC5808"/>
    <w:rsid w:val="00FC77C1"/>
    <w:rsid w:val="00FD3C64"/>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9092A9"/>
  <w15:docId w15:val="{999E7BCB-D85E-42F4-9EE4-7C3C99B2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locked/>
    <w:rsid w:val="00D013B6"/>
  </w:style>
  <w:style w:type="paragraph" w:styleId="BalloonText">
    <w:name w:val="Balloon Text"/>
    <w:basedOn w:val="Normal"/>
    <w:link w:val="BalloonTextChar"/>
    <w:uiPriority w:val="99"/>
    <w:semiHidden/>
    <w:unhideWhenUsed/>
    <w:rsid w:val="0018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6BB"/>
    <w:rPr>
      <w:rFonts w:ascii="Tahoma" w:hAnsi="Tahoma" w:cs="Tahoma"/>
      <w:sz w:val="16"/>
      <w:szCs w:val="16"/>
    </w:rPr>
  </w:style>
  <w:style w:type="paragraph" w:styleId="Subtitle">
    <w:name w:val="Subtitle"/>
    <w:basedOn w:val="Normal"/>
    <w:next w:val="Normal"/>
    <w:link w:val="SubtitleChar"/>
    <w:uiPriority w:val="11"/>
    <w:qFormat/>
    <w:rsid w:val="009D558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558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462729386">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6B219-5BCF-4C77-ABDC-989ABB78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cp:revision>
  <dcterms:created xsi:type="dcterms:W3CDTF">2020-02-28T12:26:00Z</dcterms:created>
  <dcterms:modified xsi:type="dcterms:W3CDTF">2020-02-28T12:26:00Z</dcterms:modified>
</cp:coreProperties>
</file>