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1F4B5" w14:textId="3920D37F" w:rsidR="00AF5FBD" w:rsidRDefault="00AF5FBD" w:rsidP="00AF5FBD">
      <w:pPr>
        <w:rPr>
          <w:rFonts w:ascii="Arial" w:hAnsi="Arial" w:cs="Arial"/>
          <w:b/>
          <w:bCs/>
          <w:sz w:val="24"/>
        </w:rPr>
      </w:pPr>
      <w:bookmarkStart w:id="0" w:name="_GoBack"/>
      <w:bookmarkEnd w:id="0"/>
    </w:p>
    <w:p w14:paraId="553EF00C" w14:textId="17E348F1" w:rsidR="00E02656" w:rsidRDefault="00E02656"/>
    <w:p w14:paraId="73042A69" w14:textId="77777777" w:rsidR="00C80A40" w:rsidRDefault="00AF5FBD" w:rsidP="00AF5FBD">
      <w:pPr>
        <w:jc w:val="both"/>
        <w:rPr>
          <w:sz w:val="24"/>
          <w:szCs w:val="24"/>
        </w:rPr>
      </w:pPr>
      <w:r w:rsidRPr="00AF5FBD">
        <w:rPr>
          <w:sz w:val="24"/>
          <w:szCs w:val="24"/>
        </w:rPr>
        <w:t xml:space="preserve">Adult Social Care: </w:t>
      </w:r>
    </w:p>
    <w:p w14:paraId="1A1FF787" w14:textId="77777777" w:rsidR="00C80A40" w:rsidRPr="00C80A40" w:rsidRDefault="00C80A40" w:rsidP="00AF5FBD">
      <w:pPr>
        <w:jc w:val="both"/>
        <w:rPr>
          <w:b/>
          <w:bCs/>
          <w:sz w:val="24"/>
          <w:szCs w:val="24"/>
        </w:rPr>
      </w:pPr>
      <w:r w:rsidRPr="00C80A40">
        <w:rPr>
          <w:b/>
          <w:bCs/>
          <w:sz w:val="24"/>
          <w:szCs w:val="24"/>
        </w:rPr>
        <w:t>Market Position Statements</w:t>
      </w:r>
    </w:p>
    <w:p w14:paraId="16790DA3" w14:textId="429AF35D" w:rsidR="007E6EA1" w:rsidRDefault="00AF5FBD" w:rsidP="00AF5FBD">
      <w:pPr>
        <w:jc w:val="both"/>
        <w:rPr>
          <w:sz w:val="24"/>
          <w:szCs w:val="24"/>
        </w:rPr>
      </w:pPr>
      <w:r w:rsidRPr="00AF5FBD">
        <w:rPr>
          <w:sz w:val="24"/>
          <w:szCs w:val="24"/>
        </w:rPr>
        <w:t xml:space="preserve">Commissioners are working with internal and external </w:t>
      </w:r>
      <w:proofErr w:type="gramStart"/>
      <w:r w:rsidRPr="00AF5FBD">
        <w:rPr>
          <w:sz w:val="24"/>
          <w:szCs w:val="24"/>
        </w:rPr>
        <w:t>stakeholders</w:t>
      </w:r>
      <w:proofErr w:type="gramEnd"/>
      <w:r w:rsidRPr="00AF5FBD">
        <w:rPr>
          <w:sz w:val="24"/>
          <w:szCs w:val="24"/>
        </w:rPr>
        <w:t xml:space="preserve"> service users to </w:t>
      </w:r>
      <w:r w:rsidR="002E3552">
        <w:rPr>
          <w:sz w:val="24"/>
          <w:szCs w:val="24"/>
        </w:rPr>
        <w:t xml:space="preserve">develop and </w:t>
      </w:r>
      <w:r w:rsidRPr="00AF5FBD">
        <w:rPr>
          <w:sz w:val="24"/>
          <w:szCs w:val="24"/>
        </w:rPr>
        <w:t xml:space="preserve">update the council’s suite of Market Position Statements. The Statements cover residential and extra care housing, care at home including supported living, discharge services, wellbeing including domestic abuse and homelessness support and carers. The purpose of the </w:t>
      </w:r>
      <w:r>
        <w:rPr>
          <w:sz w:val="24"/>
          <w:szCs w:val="24"/>
        </w:rPr>
        <w:t>S</w:t>
      </w:r>
      <w:r w:rsidRPr="00AF5FBD">
        <w:rPr>
          <w:sz w:val="24"/>
          <w:szCs w:val="24"/>
        </w:rPr>
        <w:t>tatements is to give an account of the support that is available</w:t>
      </w:r>
      <w:r>
        <w:rPr>
          <w:sz w:val="24"/>
          <w:szCs w:val="24"/>
        </w:rPr>
        <w:t xml:space="preserve"> currently</w:t>
      </w:r>
      <w:r w:rsidRPr="00AF5FBD">
        <w:rPr>
          <w:sz w:val="24"/>
          <w:szCs w:val="24"/>
        </w:rPr>
        <w:t xml:space="preserve">, what support and care services people might need in the future and to set out how commissioners </w:t>
      </w:r>
      <w:r>
        <w:rPr>
          <w:sz w:val="24"/>
          <w:szCs w:val="24"/>
        </w:rPr>
        <w:t xml:space="preserve">of adult social care </w:t>
      </w:r>
      <w:r w:rsidRPr="00AF5FBD">
        <w:rPr>
          <w:sz w:val="24"/>
          <w:szCs w:val="24"/>
        </w:rPr>
        <w:t>want to work with the sector</w:t>
      </w:r>
      <w:r>
        <w:rPr>
          <w:sz w:val="24"/>
          <w:szCs w:val="24"/>
        </w:rPr>
        <w:t xml:space="preserve">, including developers, </w:t>
      </w:r>
      <w:r w:rsidRPr="00AF5FBD">
        <w:rPr>
          <w:sz w:val="24"/>
          <w:szCs w:val="24"/>
        </w:rPr>
        <w:t xml:space="preserve"> to shape provision going forward.</w:t>
      </w:r>
      <w:r>
        <w:rPr>
          <w:sz w:val="24"/>
          <w:szCs w:val="24"/>
        </w:rPr>
        <w:t xml:space="preserve"> The changes in the market and demand as a result of the coronavirus pandemic will be reflected in the Statements. </w:t>
      </w:r>
      <w:r w:rsidR="002E3552">
        <w:rPr>
          <w:sz w:val="24"/>
          <w:szCs w:val="24"/>
        </w:rPr>
        <w:t>Publication anticipated in March 2021.</w:t>
      </w:r>
    </w:p>
    <w:p w14:paraId="325E3D96" w14:textId="77777777" w:rsidR="007E6EA1" w:rsidRDefault="007E6EA1" w:rsidP="00AF5FBD">
      <w:pPr>
        <w:jc w:val="both"/>
        <w:rPr>
          <w:sz w:val="24"/>
          <w:szCs w:val="24"/>
        </w:rPr>
      </w:pPr>
    </w:p>
    <w:p w14:paraId="057214FB" w14:textId="3D0CE29C" w:rsidR="00AF5FBD" w:rsidRPr="00C80A40" w:rsidRDefault="007E6EA1" w:rsidP="00AF5FBD">
      <w:pPr>
        <w:jc w:val="both"/>
        <w:rPr>
          <w:b/>
          <w:bCs/>
          <w:sz w:val="24"/>
          <w:szCs w:val="24"/>
        </w:rPr>
      </w:pPr>
      <w:r w:rsidRPr="00C80A40">
        <w:rPr>
          <w:b/>
          <w:bCs/>
          <w:sz w:val="24"/>
          <w:szCs w:val="24"/>
        </w:rPr>
        <w:t>Wellbeing Offer</w:t>
      </w:r>
    </w:p>
    <w:p w14:paraId="4D7DE14F" w14:textId="031DB986" w:rsidR="00AF5FBD" w:rsidRDefault="00C80A40" w:rsidP="00AF5FBD">
      <w:pPr>
        <w:jc w:val="both"/>
        <w:rPr>
          <w:sz w:val="24"/>
          <w:szCs w:val="24"/>
        </w:rPr>
      </w:pPr>
      <w:r>
        <w:rPr>
          <w:sz w:val="24"/>
          <w:szCs w:val="24"/>
        </w:rPr>
        <w:t xml:space="preserve">The Covid19 </w:t>
      </w:r>
      <w:r w:rsidR="008C2E5F">
        <w:rPr>
          <w:sz w:val="24"/>
          <w:szCs w:val="24"/>
        </w:rPr>
        <w:t>pandemic has impacted the timetabling of the procurement of the Wellbeing service. The procurement process is now ready to be restarted and in the meantime, our cabinet committee has agreed to extend all grants in accordance with the phasing of the procurement.</w:t>
      </w:r>
    </w:p>
    <w:p w14:paraId="266309AC" w14:textId="77777777" w:rsidR="00DF5921" w:rsidRDefault="00DF5921" w:rsidP="00AF5FBD">
      <w:pPr>
        <w:jc w:val="both"/>
        <w:rPr>
          <w:sz w:val="24"/>
          <w:szCs w:val="24"/>
        </w:rPr>
      </w:pPr>
    </w:p>
    <w:tbl>
      <w:tblPr>
        <w:tblStyle w:val="TableGrid"/>
        <w:tblW w:w="0" w:type="auto"/>
        <w:tblLook w:val="04A0" w:firstRow="1" w:lastRow="0" w:firstColumn="1" w:lastColumn="0" w:noHBand="0" w:noVBand="1"/>
      </w:tblPr>
      <w:tblGrid>
        <w:gridCol w:w="2840"/>
        <w:gridCol w:w="2841"/>
        <w:gridCol w:w="2841"/>
      </w:tblGrid>
      <w:tr w:rsidR="00DF5921" w14:paraId="7B895A84" w14:textId="77777777" w:rsidTr="00DF5921">
        <w:tc>
          <w:tcPr>
            <w:tcW w:w="2840" w:type="dxa"/>
            <w:shd w:val="clear" w:color="auto" w:fill="8DB3E2" w:themeFill="text2" w:themeFillTint="66"/>
          </w:tcPr>
          <w:p w14:paraId="77B00D2A" w14:textId="3681D049" w:rsidR="00DF5921" w:rsidRDefault="00DF5921" w:rsidP="00AF5FBD">
            <w:pPr>
              <w:jc w:val="both"/>
              <w:rPr>
                <w:sz w:val="24"/>
                <w:szCs w:val="24"/>
              </w:rPr>
            </w:pPr>
            <w:r>
              <w:rPr>
                <w:sz w:val="24"/>
                <w:szCs w:val="24"/>
              </w:rPr>
              <w:t>Phase 1</w:t>
            </w:r>
          </w:p>
        </w:tc>
        <w:tc>
          <w:tcPr>
            <w:tcW w:w="2841" w:type="dxa"/>
            <w:shd w:val="clear" w:color="auto" w:fill="8DB3E2" w:themeFill="text2" w:themeFillTint="66"/>
          </w:tcPr>
          <w:p w14:paraId="37F6050F" w14:textId="5DDAA908" w:rsidR="00DF5921" w:rsidRDefault="00DF5921" w:rsidP="00AF5FBD">
            <w:pPr>
              <w:jc w:val="both"/>
              <w:rPr>
                <w:sz w:val="24"/>
                <w:szCs w:val="24"/>
              </w:rPr>
            </w:pPr>
            <w:r>
              <w:rPr>
                <w:sz w:val="24"/>
                <w:szCs w:val="24"/>
              </w:rPr>
              <w:t>Phase 2</w:t>
            </w:r>
          </w:p>
        </w:tc>
        <w:tc>
          <w:tcPr>
            <w:tcW w:w="2841" w:type="dxa"/>
            <w:shd w:val="clear" w:color="auto" w:fill="8DB3E2" w:themeFill="text2" w:themeFillTint="66"/>
          </w:tcPr>
          <w:p w14:paraId="742CF394" w14:textId="6C2B5684" w:rsidR="00DF5921" w:rsidRDefault="00DF5921" w:rsidP="00AF5FBD">
            <w:pPr>
              <w:jc w:val="both"/>
              <w:rPr>
                <w:sz w:val="24"/>
                <w:szCs w:val="24"/>
              </w:rPr>
            </w:pPr>
            <w:r>
              <w:rPr>
                <w:sz w:val="24"/>
                <w:szCs w:val="24"/>
              </w:rPr>
              <w:t>Phase 3</w:t>
            </w:r>
          </w:p>
        </w:tc>
      </w:tr>
      <w:tr w:rsidR="00DF5921" w14:paraId="75B2A634" w14:textId="77777777" w:rsidTr="00DF5921">
        <w:tc>
          <w:tcPr>
            <w:tcW w:w="2840" w:type="dxa"/>
            <w:shd w:val="clear" w:color="auto" w:fill="D9D9D9" w:themeFill="background1" w:themeFillShade="D9"/>
          </w:tcPr>
          <w:p w14:paraId="5F626D91" w14:textId="7EDD3650" w:rsidR="00DF5921" w:rsidRDefault="00DF5921" w:rsidP="00AF5FBD">
            <w:pPr>
              <w:jc w:val="both"/>
              <w:rPr>
                <w:sz w:val="24"/>
                <w:szCs w:val="24"/>
              </w:rPr>
            </w:pPr>
            <w:r>
              <w:rPr>
                <w:sz w:val="24"/>
                <w:szCs w:val="24"/>
              </w:rPr>
              <w:t>Sept 2020 – Mar 2021</w:t>
            </w:r>
          </w:p>
        </w:tc>
        <w:tc>
          <w:tcPr>
            <w:tcW w:w="2841" w:type="dxa"/>
            <w:shd w:val="clear" w:color="auto" w:fill="D9D9D9" w:themeFill="background1" w:themeFillShade="D9"/>
          </w:tcPr>
          <w:p w14:paraId="5E123801" w14:textId="268D7506" w:rsidR="00DF5921" w:rsidRDefault="00DF5921" w:rsidP="00AF5FBD">
            <w:pPr>
              <w:jc w:val="both"/>
              <w:rPr>
                <w:sz w:val="24"/>
                <w:szCs w:val="24"/>
              </w:rPr>
            </w:pPr>
            <w:r>
              <w:rPr>
                <w:sz w:val="24"/>
                <w:szCs w:val="24"/>
              </w:rPr>
              <w:t>Jan- Sept 2021</w:t>
            </w:r>
          </w:p>
        </w:tc>
        <w:tc>
          <w:tcPr>
            <w:tcW w:w="2841" w:type="dxa"/>
            <w:shd w:val="clear" w:color="auto" w:fill="D9D9D9" w:themeFill="background1" w:themeFillShade="D9"/>
          </w:tcPr>
          <w:p w14:paraId="7BFB6084" w14:textId="5F66A758" w:rsidR="00DF5921" w:rsidRDefault="00DF5921" w:rsidP="00AF5FBD">
            <w:pPr>
              <w:jc w:val="both"/>
              <w:rPr>
                <w:sz w:val="24"/>
                <w:szCs w:val="24"/>
              </w:rPr>
            </w:pPr>
            <w:r>
              <w:rPr>
                <w:sz w:val="24"/>
                <w:szCs w:val="24"/>
              </w:rPr>
              <w:t>Jan 2021- Mar 2022</w:t>
            </w:r>
          </w:p>
        </w:tc>
      </w:tr>
      <w:tr w:rsidR="00DF5921" w14:paraId="371489DB" w14:textId="77777777" w:rsidTr="0084397C">
        <w:tc>
          <w:tcPr>
            <w:tcW w:w="2840" w:type="dxa"/>
            <w:shd w:val="clear" w:color="auto" w:fill="FABF8F" w:themeFill="accent6" w:themeFillTint="99"/>
          </w:tcPr>
          <w:p w14:paraId="48D702E9" w14:textId="77777777" w:rsidR="00DF5921" w:rsidRDefault="00DF5921" w:rsidP="00AF5FBD">
            <w:pPr>
              <w:jc w:val="both"/>
              <w:rPr>
                <w:sz w:val="24"/>
                <w:szCs w:val="24"/>
              </w:rPr>
            </w:pPr>
            <w:r>
              <w:rPr>
                <w:sz w:val="24"/>
                <w:szCs w:val="24"/>
              </w:rPr>
              <w:t>Sensory Impairment</w:t>
            </w:r>
          </w:p>
          <w:p w14:paraId="12DEE424" w14:textId="77777777" w:rsidR="00DF5921" w:rsidRDefault="00DF5921" w:rsidP="00AF5FBD">
            <w:pPr>
              <w:jc w:val="both"/>
              <w:rPr>
                <w:sz w:val="24"/>
                <w:szCs w:val="24"/>
              </w:rPr>
            </w:pPr>
          </w:p>
          <w:p w14:paraId="619F1BA4" w14:textId="72F3ED2E" w:rsidR="00DF5921" w:rsidRDefault="00DF5921" w:rsidP="00AF5FBD">
            <w:pPr>
              <w:jc w:val="both"/>
              <w:rPr>
                <w:sz w:val="24"/>
                <w:szCs w:val="24"/>
              </w:rPr>
            </w:pPr>
            <w:r>
              <w:rPr>
                <w:sz w:val="24"/>
                <w:szCs w:val="24"/>
              </w:rPr>
              <w:t>Wellbeing: Thanet/South Kent Coastal</w:t>
            </w:r>
          </w:p>
        </w:tc>
        <w:tc>
          <w:tcPr>
            <w:tcW w:w="2841" w:type="dxa"/>
            <w:shd w:val="clear" w:color="auto" w:fill="E36C0A" w:themeFill="accent6" w:themeFillShade="BF"/>
          </w:tcPr>
          <w:p w14:paraId="6BEC4628" w14:textId="77777777" w:rsidR="00DF5921" w:rsidRDefault="00DF5921" w:rsidP="00AF5FBD">
            <w:pPr>
              <w:jc w:val="both"/>
              <w:rPr>
                <w:sz w:val="24"/>
                <w:szCs w:val="24"/>
              </w:rPr>
            </w:pPr>
            <w:r>
              <w:rPr>
                <w:sz w:val="24"/>
                <w:szCs w:val="24"/>
              </w:rPr>
              <w:t>Physical Disability</w:t>
            </w:r>
          </w:p>
          <w:p w14:paraId="1D5A4116" w14:textId="77777777" w:rsidR="00DF5921" w:rsidRDefault="00DF5921" w:rsidP="00AF5FBD">
            <w:pPr>
              <w:jc w:val="both"/>
              <w:rPr>
                <w:sz w:val="24"/>
                <w:szCs w:val="24"/>
              </w:rPr>
            </w:pPr>
          </w:p>
          <w:p w14:paraId="2FF43B12" w14:textId="0BE2F83F" w:rsidR="00DF5921" w:rsidRDefault="00DF5921" w:rsidP="00AF5FBD">
            <w:pPr>
              <w:jc w:val="both"/>
              <w:rPr>
                <w:sz w:val="24"/>
                <w:szCs w:val="24"/>
              </w:rPr>
            </w:pPr>
            <w:r>
              <w:rPr>
                <w:sz w:val="24"/>
                <w:szCs w:val="24"/>
              </w:rPr>
              <w:t xml:space="preserve">Wellbeing: Dartford, Gravesham and </w:t>
            </w:r>
            <w:proofErr w:type="spellStart"/>
            <w:r>
              <w:rPr>
                <w:sz w:val="24"/>
                <w:szCs w:val="24"/>
              </w:rPr>
              <w:t>Swanley</w:t>
            </w:r>
            <w:proofErr w:type="spellEnd"/>
          </w:p>
        </w:tc>
        <w:tc>
          <w:tcPr>
            <w:tcW w:w="2841" w:type="dxa"/>
            <w:vMerge w:val="restart"/>
            <w:shd w:val="clear" w:color="auto" w:fill="FABF8F" w:themeFill="accent6" w:themeFillTint="99"/>
          </w:tcPr>
          <w:p w14:paraId="7DF5AA00" w14:textId="77777777" w:rsidR="00DF5921" w:rsidRDefault="00DF5921" w:rsidP="00AF5FBD">
            <w:pPr>
              <w:jc w:val="both"/>
              <w:rPr>
                <w:sz w:val="24"/>
                <w:szCs w:val="24"/>
              </w:rPr>
            </w:pPr>
          </w:p>
          <w:p w14:paraId="78FE01F1" w14:textId="77777777" w:rsidR="00DF5921" w:rsidRDefault="00DF5921" w:rsidP="00AF5FBD">
            <w:pPr>
              <w:jc w:val="both"/>
              <w:rPr>
                <w:sz w:val="24"/>
                <w:szCs w:val="24"/>
              </w:rPr>
            </w:pPr>
          </w:p>
          <w:p w14:paraId="0B61311A" w14:textId="77777777" w:rsidR="00DF5921" w:rsidRDefault="00DF5921" w:rsidP="00AF5FBD">
            <w:pPr>
              <w:jc w:val="both"/>
              <w:rPr>
                <w:sz w:val="24"/>
                <w:szCs w:val="24"/>
              </w:rPr>
            </w:pPr>
          </w:p>
          <w:p w14:paraId="7D4644F3" w14:textId="77777777" w:rsidR="00DF5921" w:rsidRDefault="00DF5921" w:rsidP="00AF5FBD">
            <w:pPr>
              <w:jc w:val="both"/>
              <w:rPr>
                <w:sz w:val="24"/>
                <w:szCs w:val="24"/>
              </w:rPr>
            </w:pPr>
          </w:p>
          <w:p w14:paraId="478AE8DF" w14:textId="0BD4C996" w:rsidR="00DF5921" w:rsidRDefault="00DF5921" w:rsidP="00AF5FBD">
            <w:pPr>
              <w:jc w:val="both"/>
              <w:rPr>
                <w:sz w:val="24"/>
                <w:szCs w:val="24"/>
              </w:rPr>
            </w:pPr>
            <w:r>
              <w:rPr>
                <w:sz w:val="24"/>
                <w:szCs w:val="24"/>
              </w:rPr>
              <w:t xml:space="preserve">Carers Short Breaks </w:t>
            </w:r>
          </w:p>
        </w:tc>
      </w:tr>
      <w:tr w:rsidR="00DF5921" w14:paraId="4BE55BEA" w14:textId="77777777" w:rsidTr="0084397C">
        <w:tc>
          <w:tcPr>
            <w:tcW w:w="2840" w:type="dxa"/>
            <w:vMerge w:val="restart"/>
            <w:shd w:val="clear" w:color="auto" w:fill="FABF8F" w:themeFill="accent6" w:themeFillTint="99"/>
          </w:tcPr>
          <w:p w14:paraId="497AECA1" w14:textId="77777777" w:rsidR="00DF5921" w:rsidRDefault="00DF5921" w:rsidP="00AF5FBD">
            <w:pPr>
              <w:jc w:val="both"/>
              <w:rPr>
                <w:sz w:val="24"/>
                <w:szCs w:val="24"/>
              </w:rPr>
            </w:pPr>
          </w:p>
          <w:p w14:paraId="29F95E0B" w14:textId="3D10D2FC" w:rsidR="00DF5921" w:rsidRDefault="00DF5921" w:rsidP="00AF5FBD">
            <w:pPr>
              <w:jc w:val="both"/>
              <w:rPr>
                <w:sz w:val="24"/>
                <w:szCs w:val="24"/>
              </w:rPr>
            </w:pPr>
            <w:r>
              <w:rPr>
                <w:sz w:val="24"/>
                <w:szCs w:val="24"/>
              </w:rPr>
              <w:t>Wellbeing: West Kent</w:t>
            </w:r>
          </w:p>
        </w:tc>
        <w:tc>
          <w:tcPr>
            <w:tcW w:w="2841" w:type="dxa"/>
            <w:shd w:val="clear" w:color="auto" w:fill="E36C0A" w:themeFill="accent6" w:themeFillShade="BF"/>
          </w:tcPr>
          <w:p w14:paraId="7CA55645" w14:textId="77777777" w:rsidR="00DF5921" w:rsidRDefault="00DF5921" w:rsidP="00AF5FBD">
            <w:pPr>
              <w:jc w:val="both"/>
              <w:rPr>
                <w:sz w:val="24"/>
                <w:szCs w:val="24"/>
              </w:rPr>
            </w:pPr>
          </w:p>
          <w:p w14:paraId="469EEF80" w14:textId="67CE9E8C" w:rsidR="00DF5921" w:rsidRDefault="00DF5921" w:rsidP="00AF5FBD">
            <w:pPr>
              <w:jc w:val="both"/>
              <w:rPr>
                <w:sz w:val="24"/>
                <w:szCs w:val="24"/>
              </w:rPr>
            </w:pPr>
            <w:r>
              <w:rPr>
                <w:sz w:val="24"/>
                <w:szCs w:val="24"/>
              </w:rPr>
              <w:t>Wellbeing: Ashford/Canterbury/Swale</w:t>
            </w:r>
          </w:p>
          <w:p w14:paraId="5E998A69" w14:textId="0BD006BB" w:rsidR="00DF5921" w:rsidRDefault="00DF5921" w:rsidP="00AF5FBD">
            <w:pPr>
              <w:jc w:val="both"/>
              <w:rPr>
                <w:sz w:val="24"/>
                <w:szCs w:val="24"/>
              </w:rPr>
            </w:pPr>
          </w:p>
        </w:tc>
        <w:tc>
          <w:tcPr>
            <w:tcW w:w="2841" w:type="dxa"/>
            <w:vMerge/>
            <w:shd w:val="clear" w:color="auto" w:fill="FABF8F" w:themeFill="accent6" w:themeFillTint="99"/>
          </w:tcPr>
          <w:p w14:paraId="435FC3BF" w14:textId="77777777" w:rsidR="00DF5921" w:rsidRDefault="00DF5921" w:rsidP="00AF5FBD">
            <w:pPr>
              <w:jc w:val="both"/>
              <w:rPr>
                <w:sz w:val="24"/>
                <w:szCs w:val="24"/>
              </w:rPr>
            </w:pPr>
          </w:p>
        </w:tc>
      </w:tr>
      <w:tr w:rsidR="00DF5921" w14:paraId="7815619C" w14:textId="77777777" w:rsidTr="0084397C">
        <w:tc>
          <w:tcPr>
            <w:tcW w:w="2840" w:type="dxa"/>
            <w:vMerge/>
            <w:shd w:val="clear" w:color="auto" w:fill="FABF8F" w:themeFill="accent6" w:themeFillTint="99"/>
          </w:tcPr>
          <w:p w14:paraId="3903FE91" w14:textId="77777777" w:rsidR="00DF5921" w:rsidRDefault="00DF5921" w:rsidP="00AF5FBD">
            <w:pPr>
              <w:jc w:val="both"/>
              <w:rPr>
                <w:sz w:val="24"/>
                <w:szCs w:val="24"/>
              </w:rPr>
            </w:pPr>
          </w:p>
        </w:tc>
        <w:tc>
          <w:tcPr>
            <w:tcW w:w="2841" w:type="dxa"/>
            <w:shd w:val="clear" w:color="auto" w:fill="E36C0A" w:themeFill="accent6" w:themeFillShade="BF"/>
          </w:tcPr>
          <w:p w14:paraId="537C6F82" w14:textId="77777777" w:rsidR="00DF5921" w:rsidRDefault="00DF5921" w:rsidP="00AF5FBD">
            <w:pPr>
              <w:jc w:val="both"/>
              <w:rPr>
                <w:sz w:val="24"/>
                <w:szCs w:val="24"/>
              </w:rPr>
            </w:pPr>
            <w:r>
              <w:rPr>
                <w:sz w:val="24"/>
                <w:szCs w:val="24"/>
              </w:rPr>
              <w:t>Specialist Dementia (all)</w:t>
            </w:r>
          </w:p>
          <w:p w14:paraId="6949E35B" w14:textId="5A56EAD9" w:rsidR="00DF5921" w:rsidRDefault="00DF5921" w:rsidP="00AF5FBD">
            <w:pPr>
              <w:jc w:val="both"/>
              <w:rPr>
                <w:sz w:val="24"/>
                <w:szCs w:val="24"/>
              </w:rPr>
            </w:pPr>
          </w:p>
        </w:tc>
        <w:tc>
          <w:tcPr>
            <w:tcW w:w="2841" w:type="dxa"/>
            <w:vMerge/>
            <w:shd w:val="clear" w:color="auto" w:fill="FABF8F" w:themeFill="accent6" w:themeFillTint="99"/>
          </w:tcPr>
          <w:p w14:paraId="52A3FC5D" w14:textId="77777777" w:rsidR="00DF5921" w:rsidRDefault="00DF5921" w:rsidP="00AF5FBD">
            <w:pPr>
              <w:jc w:val="both"/>
              <w:rPr>
                <w:sz w:val="24"/>
                <w:szCs w:val="24"/>
              </w:rPr>
            </w:pPr>
          </w:p>
        </w:tc>
      </w:tr>
      <w:tr w:rsidR="00DF5921" w14:paraId="44460525" w14:textId="77777777" w:rsidTr="0084397C">
        <w:tc>
          <w:tcPr>
            <w:tcW w:w="2840" w:type="dxa"/>
            <w:shd w:val="clear" w:color="auto" w:fill="FABF8F" w:themeFill="accent6" w:themeFillTint="99"/>
          </w:tcPr>
          <w:p w14:paraId="764B9769" w14:textId="77777777" w:rsidR="00DF5921" w:rsidRDefault="00DF5921" w:rsidP="00AF5FBD">
            <w:pPr>
              <w:jc w:val="both"/>
              <w:rPr>
                <w:sz w:val="24"/>
                <w:szCs w:val="24"/>
              </w:rPr>
            </w:pPr>
            <w:r>
              <w:rPr>
                <w:sz w:val="24"/>
                <w:szCs w:val="24"/>
              </w:rPr>
              <w:t xml:space="preserve">New Contracts start: </w:t>
            </w:r>
          </w:p>
          <w:p w14:paraId="674E981A" w14:textId="673EFBB7" w:rsidR="00DF5921" w:rsidRDefault="00DF5921" w:rsidP="00AF5FBD">
            <w:pPr>
              <w:jc w:val="both"/>
              <w:rPr>
                <w:sz w:val="24"/>
                <w:szCs w:val="24"/>
              </w:rPr>
            </w:pPr>
            <w:r>
              <w:rPr>
                <w:sz w:val="24"/>
                <w:szCs w:val="24"/>
              </w:rPr>
              <w:t>1 April 2021</w:t>
            </w:r>
          </w:p>
        </w:tc>
        <w:tc>
          <w:tcPr>
            <w:tcW w:w="2841" w:type="dxa"/>
            <w:shd w:val="clear" w:color="auto" w:fill="E36C0A" w:themeFill="accent6" w:themeFillShade="BF"/>
          </w:tcPr>
          <w:p w14:paraId="008A0256" w14:textId="77777777" w:rsidR="00DF5921" w:rsidRDefault="00DF5921" w:rsidP="00DF5921">
            <w:pPr>
              <w:jc w:val="both"/>
              <w:rPr>
                <w:sz w:val="24"/>
                <w:szCs w:val="24"/>
              </w:rPr>
            </w:pPr>
            <w:r>
              <w:rPr>
                <w:sz w:val="24"/>
                <w:szCs w:val="24"/>
              </w:rPr>
              <w:t xml:space="preserve">New Contracts start: </w:t>
            </w:r>
          </w:p>
          <w:p w14:paraId="4D2E1628" w14:textId="2763A2D3" w:rsidR="00DF5921" w:rsidRDefault="00DF5921" w:rsidP="00DF5921">
            <w:pPr>
              <w:jc w:val="both"/>
              <w:rPr>
                <w:sz w:val="24"/>
                <w:szCs w:val="24"/>
              </w:rPr>
            </w:pPr>
            <w:r>
              <w:rPr>
                <w:sz w:val="24"/>
                <w:szCs w:val="24"/>
              </w:rPr>
              <w:t>1 October 2021</w:t>
            </w:r>
          </w:p>
        </w:tc>
        <w:tc>
          <w:tcPr>
            <w:tcW w:w="2841" w:type="dxa"/>
            <w:shd w:val="clear" w:color="auto" w:fill="FABF8F" w:themeFill="accent6" w:themeFillTint="99"/>
          </w:tcPr>
          <w:p w14:paraId="0C29048F" w14:textId="77777777" w:rsidR="00DF5921" w:rsidRDefault="00DF5921" w:rsidP="00DF5921">
            <w:pPr>
              <w:jc w:val="both"/>
              <w:rPr>
                <w:sz w:val="24"/>
                <w:szCs w:val="24"/>
              </w:rPr>
            </w:pPr>
            <w:r>
              <w:rPr>
                <w:sz w:val="24"/>
                <w:szCs w:val="24"/>
              </w:rPr>
              <w:t xml:space="preserve">New Contracts start: </w:t>
            </w:r>
          </w:p>
          <w:p w14:paraId="7C14C7E8" w14:textId="6D926174" w:rsidR="00DF5921" w:rsidRDefault="00DF5921" w:rsidP="00DF5921">
            <w:pPr>
              <w:jc w:val="both"/>
              <w:rPr>
                <w:sz w:val="24"/>
                <w:szCs w:val="24"/>
              </w:rPr>
            </w:pPr>
            <w:r>
              <w:rPr>
                <w:sz w:val="24"/>
                <w:szCs w:val="24"/>
              </w:rPr>
              <w:t>1 April 2022</w:t>
            </w:r>
          </w:p>
        </w:tc>
      </w:tr>
    </w:tbl>
    <w:p w14:paraId="3987222F" w14:textId="77777777" w:rsidR="00DF5921" w:rsidRDefault="00DF5921" w:rsidP="00AF5FBD">
      <w:pPr>
        <w:jc w:val="both"/>
        <w:rPr>
          <w:sz w:val="24"/>
          <w:szCs w:val="24"/>
        </w:rPr>
      </w:pPr>
    </w:p>
    <w:p w14:paraId="3396F93C" w14:textId="77777777" w:rsidR="008C2E5F" w:rsidRDefault="008C2E5F" w:rsidP="00AF5FBD">
      <w:pPr>
        <w:jc w:val="both"/>
        <w:rPr>
          <w:sz w:val="24"/>
          <w:szCs w:val="24"/>
        </w:rPr>
      </w:pPr>
    </w:p>
    <w:p w14:paraId="4645751C" w14:textId="77777777" w:rsidR="00AF5FBD" w:rsidRPr="00AF5FBD" w:rsidRDefault="00AF5FBD" w:rsidP="00AF5FBD">
      <w:pPr>
        <w:jc w:val="both"/>
        <w:rPr>
          <w:sz w:val="24"/>
          <w:szCs w:val="24"/>
        </w:rPr>
      </w:pPr>
    </w:p>
    <w:p w14:paraId="7D1D8526" w14:textId="6F8ADDCD" w:rsidR="00AF5FBD" w:rsidRDefault="0084397C">
      <w:pPr>
        <w:rPr>
          <w:b/>
          <w:bCs/>
          <w:sz w:val="24"/>
          <w:szCs w:val="24"/>
        </w:rPr>
      </w:pPr>
      <w:r w:rsidRPr="0084397C">
        <w:rPr>
          <w:b/>
          <w:bCs/>
          <w:sz w:val="24"/>
          <w:szCs w:val="24"/>
        </w:rPr>
        <w:t>Emergency Assistance Grant</w:t>
      </w:r>
    </w:p>
    <w:p w14:paraId="3D6C0221" w14:textId="6A0A4BCD" w:rsidR="0084397C" w:rsidRDefault="0084397C" w:rsidP="002E3552">
      <w:pPr>
        <w:jc w:val="both"/>
        <w:rPr>
          <w:sz w:val="24"/>
          <w:szCs w:val="24"/>
        </w:rPr>
      </w:pPr>
      <w:r w:rsidRPr="0084397C">
        <w:rPr>
          <w:sz w:val="24"/>
          <w:szCs w:val="24"/>
        </w:rPr>
        <w:t xml:space="preserve">The Government has allocated £1,67m to KCC as a one-off contribution for the 2020-21 financial year to support households experiencing financial hardship as a result of Covid 19. This is the council’s share of the widely-trailed £63m nationally, which is intended to ‘help local authorities to continue to support those struggling to afford food and other essentials over the coming months due to COVID-19’. </w:t>
      </w:r>
      <w:r w:rsidR="002E3552">
        <w:rPr>
          <w:sz w:val="24"/>
          <w:szCs w:val="24"/>
        </w:rPr>
        <w:t>£735k</w:t>
      </w:r>
      <w:r w:rsidR="00F9689D">
        <w:rPr>
          <w:sz w:val="24"/>
          <w:szCs w:val="24"/>
        </w:rPr>
        <w:t xml:space="preserve"> of this money has been disseminated to district and borough councils, £200 has been given to Kent Community F</w:t>
      </w:r>
      <w:r w:rsidR="002E3552">
        <w:rPr>
          <w:sz w:val="24"/>
          <w:szCs w:val="24"/>
        </w:rPr>
        <w:t xml:space="preserve">oundation </w:t>
      </w:r>
      <w:r w:rsidR="00F9689D">
        <w:rPr>
          <w:sz w:val="24"/>
          <w:szCs w:val="24"/>
        </w:rPr>
        <w:t>and the remaining £73</w:t>
      </w:r>
      <w:r w:rsidR="002E3552">
        <w:rPr>
          <w:sz w:val="24"/>
          <w:szCs w:val="24"/>
        </w:rPr>
        <w:t>5</w:t>
      </w:r>
      <w:r w:rsidR="00F9689D">
        <w:rPr>
          <w:sz w:val="24"/>
          <w:szCs w:val="24"/>
        </w:rPr>
        <w:t>k has been awarded to KCC</w:t>
      </w:r>
      <w:r w:rsidR="002E3552">
        <w:rPr>
          <w:sz w:val="24"/>
          <w:szCs w:val="24"/>
        </w:rPr>
        <w:t>’</w:t>
      </w:r>
      <w:r w:rsidR="00F9689D">
        <w:rPr>
          <w:sz w:val="24"/>
          <w:szCs w:val="24"/>
        </w:rPr>
        <w:t>s local welfare service KSAS</w:t>
      </w:r>
      <w:r w:rsidR="00790DE0">
        <w:rPr>
          <w:sz w:val="24"/>
          <w:szCs w:val="24"/>
        </w:rPr>
        <w:t>.</w:t>
      </w:r>
    </w:p>
    <w:p w14:paraId="69E6BF22" w14:textId="5D8CBAC7" w:rsidR="00F9689D" w:rsidRDefault="00F9689D">
      <w:pPr>
        <w:rPr>
          <w:rFonts w:asciiTheme="minorHAnsi" w:hAnsiTheme="minorHAnsi" w:cstheme="minorHAnsi"/>
          <w:sz w:val="24"/>
          <w:szCs w:val="24"/>
        </w:rPr>
      </w:pPr>
      <w:r w:rsidRPr="00F9689D">
        <w:rPr>
          <w:rFonts w:asciiTheme="minorHAnsi" w:hAnsiTheme="minorHAnsi" w:cstheme="minorHAnsi"/>
          <w:sz w:val="24"/>
          <w:szCs w:val="24"/>
        </w:rPr>
        <w:lastRenderedPageBreak/>
        <w:t xml:space="preserve">The funding is assisting the council to help new cohorts of individuals, including those affected by the ending of the furlough scheme and the ending of the ban on evictions. The KSAS eligibility criteria have been extended and modified to account for this new demand and as a result, applications are rising.  Partners are encouraged to support residents in hardship to apply for help by visiting </w:t>
      </w:r>
      <w:hyperlink r:id="rId4" w:history="1">
        <w:r w:rsidRPr="00F9689D">
          <w:rPr>
            <w:rStyle w:val="Hyperlink"/>
            <w:rFonts w:asciiTheme="minorHAnsi" w:hAnsiTheme="minorHAnsi" w:cstheme="minorHAnsi"/>
            <w:sz w:val="24"/>
            <w:szCs w:val="24"/>
          </w:rPr>
          <w:t>www.kent.gov.uk/ksas</w:t>
        </w:r>
      </w:hyperlink>
      <w:r w:rsidRPr="00F9689D">
        <w:rPr>
          <w:rFonts w:asciiTheme="minorHAnsi" w:hAnsiTheme="minorHAnsi" w:cstheme="minorHAnsi"/>
          <w:sz w:val="24"/>
          <w:szCs w:val="24"/>
        </w:rPr>
        <w:t xml:space="preserve"> </w:t>
      </w:r>
    </w:p>
    <w:p w14:paraId="7AE65C8D" w14:textId="72797B84" w:rsidR="00F9689D" w:rsidRDefault="00F9689D">
      <w:pPr>
        <w:rPr>
          <w:rFonts w:asciiTheme="minorHAnsi" w:hAnsiTheme="minorHAnsi" w:cstheme="minorHAnsi"/>
          <w:sz w:val="24"/>
          <w:szCs w:val="24"/>
        </w:rPr>
      </w:pPr>
    </w:p>
    <w:p w14:paraId="39845F2E" w14:textId="1D50BABA" w:rsidR="00F9689D" w:rsidRPr="002E3552" w:rsidRDefault="00F9689D">
      <w:pPr>
        <w:rPr>
          <w:rFonts w:asciiTheme="minorHAnsi" w:hAnsiTheme="minorHAnsi" w:cstheme="minorHAnsi"/>
          <w:b/>
          <w:bCs/>
          <w:sz w:val="24"/>
          <w:szCs w:val="24"/>
        </w:rPr>
      </w:pPr>
      <w:r w:rsidRPr="002E3552">
        <w:rPr>
          <w:rFonts w:asciiTheme="minorHAnsi" w:hAnsiTheme="minorHAnsi" w:cstheme="minorHAnsi"/>
          <w:b/>
          <w:bCs/>
          <w:sz w:val="24"/>
          <w:szCs w:val="24"/>
        </w:rPr>
        <w:t>Business Continuity</w:t>
      </w:r>
    </w:p>
    <w:p w14:paraId="3D184557" w14:textId="6A5AE131" w:rsidR="00F9689D" w:rsidRDefault="002E3552">
      <w:pPr>
        <w:rPr>
          <w:rFonts w:asciiTheme="minorHAnsi" w:hAnsiTheme="minorHAnsi" w:cstheme="minorHAnsi"/>
          <w:sz w:val="24"/>
          <w:szCs w:val="24"/>
        </w:rPr>
      </w:pPr>
      <w:r>
        <w:rPr>
          <w:rFonts w:asciiTheme="minorHAnsi" w:hAnsiTheme="minorHAnsi" w:cstheme="minorHAnsi"/>
          <w:sz w:val="24"/>
          <w:szCs w:val="24"/>
        </w:rPr>
        <w:t>Commissioners</w:t>
      </w:r>
      <w:r w:rsidR="00F9689D">
        <w:rPr>
          <w:rFonts w:asciiTheme="minorHAnsi" w:hAnsiTheme="minorHAnsi" w:cstheme="minorHAnsi"/>
          <w:sz w:val="24"/>
          <w:szCs w:val="24"/>
        </w:rPr>
        <w:t xml:space="preserve"> are working with providers to ensure </w:t>
      </w:r>
      <w:proofErr w:type="gramStart"/>
      <w:r w:rsidR="00F9689D">
        <w:rPr>
          <w:rFonts w:asciiTheme="minorHAnsi" w:hAnsiTheme="minorHAnsi" w:cstheme="minorHAnsi"/>
          <w:sz w:val="24"/>
          <w:szCs w:val="24"/>
        </w:rPr>
        <w:t>that  learning</w:t>
      </w:r>
      <w:proofErr w:type="gramEnd"/>
      <w:r w:rsidR="00F9689D">
        <w:rPr>
          <w:rFonts w:asciiTheme="minorHAnsi" w:hAnsiTheme="minorHAnsi" w:cstheme="minorHAnsi"/>
          <w:sz w:val="24"/>
          <w:szCs w:val="24"/>
        </w:rPr>
        <w:t xml:space="preserve"> fr</w:t>
      </w:r>
      <w:r>
        <w:rPr>
          <w:rFonts w:asciiTheme="minorHAnsi" w:hAnsiTheme="minorHAnsi" w:cstheme="minorHAnsi"/>
          <w:sz w:val="24"/>
          <w:szCs w:val="24"/>
        </w:rPr>
        <w:t>o</w:t>
      </w:r>
      <w:r w:rsidR="00F9689D">
        <w:rPr>
          <w:rFonts w:asciiTheme="minorHAnsi" w:hAnsiTheme="minorHAnsi" w:cstheme="minorHAnsi"/>
          <w:sz w:val="24"/>
          <w:szCs w:val="24"/>
        </w:rPr>
        <w:t xml:space="preserve">m the pandemic are being applied to strengthen business continuity plans across the sector. A series of exercises and workshops are being undertaken </w:t>
      </w:r>
      <w:r>
        <w:rPr>
          <w:rFonts w:asciiTheme="minorHAnsi" w:hAnsiTheme="minorHAnsi" w:cstheme="minorHAnsi"/>
          <w:sz w:val="24"/>
          <w:szCs w:val="24"/>
        </w:rPr>
        <w:t>to test and explore the themes including those that may run concurrently such as EU transition, Winter Preparation and the possibility of local lockdown.</w:t>
      </w:r>
    </w:p>
    <w:p w14:paraId="20769581" w14:textId="00522C91" w:rsidR="002E3552" w:rsidRDefault="002E3552">
      <w:pPr>
        <w:rPr>
          <w:rFonts w:asciiTheme="minorHAnsi" w:hAnsiTheme="minorHAnsi" w:cstheme="minorHAnsi"/>
          <w:sz w:val="24"/>
          <w:szCs w:val="24"/>
        </w:rPr>
      </w:pPr>
    </w:p>
    <w:p w14:paraId="6B845AB7" w14:textId="3C8E5F6B" w:rsidR="002E3552" w:rsidRPr="002E3552" w:rsidRDefault="002E3552">
      <w:pPr>
        <w:rPr>
          <w:rFonts w:asciiTheme="minorHAnsi" w:hAnsiTheme="minorHAnsi" w:cstheme="minorHAnsi"/>
          <w:b/>
          <w:bCs/>
          <w:sz w:val="24"/>
          <w:szCs w:val="24"/>
        </w:rPr>
      </w:pPr>
      <w:r w:rsidRPr="002E3552">
        <w:rPr>
          <w:rFonts w:asciiTheme="minorHAnsi" w:hAnsiTheme="minorHAnsi" w:cstheme="minorHAnsi"/>
          <w:b/>
          <w:bCs/>
          <w:sz w:val="24"/>
          <w:szCs w:val="24"/>
        </w:rPr>
        <w:t>C19 Testing in Extra Care Housing and Supported Living</w:t>
      </w:r>
    </w:p>
    <w:p w14:paraId="3CEF5753" w14:textId="3A62718D" w:rsidR="002E3552" w:rsidRDefault="002E3552">
      <w:pPr>
        <w:rPr>
          <w:rFonts w:asciiTheme="minorHAnsi" w:hAnsiTheme="minorHAnsi" w:cstheme="minorHAnsi"/>
          <w:sz w:val="24"/>
          <w:szCs w:val="24"/>
        </w:rPr>
      </w:pPr>
      <w:r>
        <w:rPr>
          <w:rFonts w:asciiTheme="minorHAnsi" w:hAnsiTheme="minorHAnsi" w:cstheme="minorHAnsi"/>
          <w:sz w:val="24"/>
          <w:szCs w:val="24"/>
        </w:rPr>
        <w:t xml:space="preserve">The commissioners are working with providers, public health colleagues and the DHSC on testing in these settings.  In the short term, a single test is planned in October and it is hoped that routine testing will be introduced thereafter. </w:t>
      </w:r>
    </w:p>
    <w:p w14:paraId="138DFB2E" w14:textId="77777777" w:rsidR="002E3552" w:rsidRPr="00F9689D" w:rsidRDefault="002E3552">
      <w:pPr>
        <w:rPr>
          <w:rFonts w:asciiTheme="minorHAnsi" w:hAnsiTheme="minorHAnsi" w:cstheme="minorHAnsi"/>
          <w:sz w:val="24"/>
          <w:szCs w:val="24"/>
        </w:rPr>
      </w:pPr>
    </w:p>
    <w:sectPr w:rsidR="002E3552" w:rsidRPr="00F968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BD"/>
    <w:rsid w:val="001B785E"/>
    <w:rsid w:val="002E3552"/>
    <w:rsid w:val="00745049"/>
    <w:rsid w:val="00790DE0"/>
    <w:rsid w:val="007E6EA1"/>
    <w:rsid w:val="0084397C"/>
    <w:rsid w:val="008C2E5F"/>
    <w:rsid w:val="009D1E9F"/>
    <w:rsid w:val="00AF5FBD"/>
    <w:rsid w:val="00B366EB"/>
    <w:rsid w:val="00C25ED2"/>
    <w:rsid w:val="00C80A40"/>
    <w:rsid w:val="00DF171E"/>
    <w:rsid w:val="00DF5921"/>
    <w:rsid w:val="00E02656"/>
    <w:rsid w:val="00F9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4E355"/>
  <w15:chartTrackingRefBased/>
  <w15:docId w15:val="{BC7978C1-D234-4CA3-90FE-1419F6E8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FBD"/>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9689D"/>
    <w:rPr>
      <w:color w:val="0000FF" w:themeColor="hyperlink"/>
      <w:u w:val="single"/>
    </w:rPr>
  </w:style>
  <w:style w:type="character" w:customStyle="1" w:styleId="UnresolvedMention">
    <w:name w:val="Unresolved Mention"/>
    <w:basedOn w:val="DefaultParagraphFont"/>
    <w:uiPriority w:val="99"/>
    <w:semiHidden/>
    <w:unhideWhenUsed/>
    <w:rsid w:val="00F96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0703">
      <w:bodyDiv w:val="1"/>
      <w:marLeft w:val="0"/>
      <w:marRight w:val="0"/>
      <w:marTop w:val="0"/>
      <w:marBottom w:val="0"/>
      <w:divBdr>
        <w:top w:val="none" w:sz="0" w:space="0" w:color="auto"/>
        <w:left w:val="none" w:sz="0" w:space="0" w:color="auto"/>
        <w:bottom w:val="none" w:sz="0" w:space="0" w:color="auto"/>
        <w:right w:val="none" w:sz="0" w:space="0" w:color="auto"/>
      </w:divBdr>
    </w:div>
    <w:div w:id="15690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nt.gov.uk/k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Anthony - ST SC</dc:creator>
  <cp:keywords/>
  <dc:description/>
  <cp:lastModifiedBy>Rebecca Smith</cp:lastModifiedBy>
  <cp:revision>2</cp:revision>
  <dcterms:created xsi:type="dcterms:W3CDTF">2020-09-30T08:41:00Z</dcterms:created>
  <dcterms:modified xsi:type="dcterms:W3CDTF">2020-09-30T08:41:00Z</dcterms:modified>
</cp:coreProperties>
</file>