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B44664" w:rsidRDefault="00DF015F" w:rsidP="00E30D1D">
      <w:pPr>
        <w:jc w:val="both"/>
        <w:rPr>
          <w:b/>
        </w:rPr>
      </w:pPr>
      <w:r w:rsidRPr="00DF015F">
        <w:rPr>
          <w:b/>
        </w:rPr>
        <w:t>Present</w:t>
      </w:r>
      <w:r w:rsidR="006029C3">
        <w:rPr>
          <w:b/>
        </w:rPr>
        <w:t xml:space="preserve">: </w:t>
      </w:r>
      <w:r w:rsidR="00404216" w:rsidRPr="003C3800">
        <w:t>Jo Ellis, Chair &amp; TCH; Sharon Williams, Vice Chair &amp; Ashford BC; Rebecca Smith, KHG; Brian Horton, SELEP; Kerry Newbury, KHG Events Chair &amp; Optivo; Terry Spillard, Optivo; Mark Breathwick, Medway Council; June Heslop &amp; Sasha Harrison, SHG; Olushola Alao, Hyde Housing; Eve McMahon, NHF; John Littlemore, Maidstone BC; Steve Fox, GCHA; Gavin Missons, Sevenoaks DCDC; Deborah White, WKHA; Sophie Hargreaves, Clarion HG; Maria Jacobs, Moat; Tim Woolmer, KCC; Nick Gilchrist, Look Ahead; Linda Smith, KCC Public Health; Judith Vickress, DAHA; Fen</w:t>
      </w:r>
      <w:r w:rsidR="003C3800" w:rsidRPr="003C3800">
        <w:t>ella Pringle &amp; Helen Sunderland, EY; Clare Maynard, KCC</w:t>
      </w:r>
    </w:p>
    <w:p w:rsidR="000564F4" w:rsidRPr="00404216" w:rsidRDefault="00DF015F" w:rsidP="00E30D1D">
      <w:pPr>
        <w:jc w:val="both"/>
      </w:pPr>
      <w:r>
        <w:rPr>
          <w:b/>
        </w:rPr>
        <w:t>Apologies</w:t>
      </w:r>
      <w:r w:rsidR="007330A4" w:rsidRPr="00404216">
        <w:t xml:space="preserve">: </w:t>
      </w:r>
      <w:r w:rsidR="00F361D4" w:rsidRPr="00404216">
        <w:t xml:space="preserve">Charlotte Hudson, Swale BC; Carol Cairns, Homes England; Christy Holden, KCC; Eileen Martin, Optivo; Hayley Brooks, Sevenoaks DC; Debra Exall, KCC; Jane Iley, Rapport Housing and Care; Andrew Scott-Clark, Kent PH; Nick Fenton, KDG; Caroline Robbins, Look Ahead; Donna Pearson, Look Ahead; Stephen Elliot, Riverside; Caroline Smith, KCC; Louise Taylor, Dover DC; Alison Thompson, ERHA; Helen Campbell-Wroe, Pathways to Independence; </w:t>
      </w:r>
      <w:r w:rsidR="003C7852" w:rsidRPr="00404216">
        <w:t>Richard Longman, TGSE</w:t>
      </w:r>
      <w:r w:rsidR="006E6797" w:rsidRPr="00404216">
        <w:t>; Andrew Bircher, MHS Homes</w:t>
      </w:r>
      <w:r w:rsidR="003F1B70" w:rsidRPr="00404216">
        <w:t xml:space="preserve">; Jane Lang, TWBC; </w:t>
      </w:r>
    </w:p>
    <w:tbl>
      <w:tblPr>
        <w:tblStyle w:val="TableGrid"/>
        <w:tblW w:w="15877" w:type="dxa"/>
        <w:tblInd w:w="-998" w:type="dxa"/>
        <w:tblLayout w:type="fixed"/>
        <w:tblLook w:val="04A0" w:firstRow="1" w:lastRow="0" w:firstColumn="1" w:lastColumn="0" w:noHBand="0" w:noVBand="1"/>
      </w:tblPr>
      <w:tblGrid>
        <w:gridCol w:w="1702"/>
        <w:gridCol w:w="10206"/>
        <w:gridCol w:w="992"/>
        <w:gridCol w:w="769"/>
        <w:gridCol w:w="2208"/>
      </w:tblGrid>
      <w:tr w:rsidR="00490760" w:rsidRPr="00745BAC" w:rsidTr="00477A00">
        <w:trPr>
          <w:trHeight w:val="752"/>
        </w:trPr>
        <w:tc>
          <w:tcPr>
            <w:tcW w:w="1702" w:type="dxa"/>
            <w:shd w:val="clear" w:color="auto" w:fill="DBE5F1" w:themeFill="accent1" w:themeFillTint="33"/>
          </w:tcPr>
          <w:p w:rsidR="00432F07" w:rsidRPr="00745BAC" w:rsidRDefault="00432F07" w:rsidP="002B184E">
            <w:pPr>
              <w:jc w:val="center"/>
              <w:rPr>
                <w:b/>
              </w:rPr>
            </w:pPr>
            <w:r w:rsidRPr="00745BAC">
              <w:rPr>
                <w:b/>
              </w:rPr>
              <w:t>Reference</w:t>
            </w:r>
          </w:p>
        </w:tc>
        <w:tc>
          <w:tcPr>
            <w:tcW w:w="10206"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992" w:type="dxa"/>
            <w:shd w:val="clear" w:color="auto" w:fill="DBE5F1" w:themeFill="accent1" w:themeFillTint="33"/>
          </w:tcPr>
          <w:p w:rsidR="00432F07" w:rsidRPr="00745BAC" w:rsidRDefault="00D42118" w:rsidP="00F72A3A">
            <w:pPr>
              <w:rPr>
                <w:b/>
              </w:rPr>
            </w:pPr>
            <w:r>
              <w:rPr>
                <w:b/>
              </w:rPr>
              <w:t xml:space="preserve"> When</w:t>
            </w:r>
          </w:p>
        </w:tc>
        <w:tc>
          <w:tcPr>
            <w:tcW w:w="769" w:type="dxa"/>
            <w:shd w:val="clear" w:color="auto" w:fill="DBE5F1" w:themeFill="accent1" w:themeFillTint="33"/>
          </w:tcPr>
          <w:p w:rsidR="00432F07" w:rsidRPr="00745BAC" w:rsidRDefault="00D42118" w:rsidP="002B184E">
            <w:pPr>
              <w:jc w:val="center"/>
              <w:rPr>
                <w:b/>
              </w:rPr>
            </w:pPr>
            <w:r>
              <w:rPr>
                <w:b/>
              </w:rPr>
              <w:t xml:space="preserve">Lead </w:t>
            </w:r>
          </w:p>
        </w:tc>
        <w:tc>
          <w:tcPr>
            <w:tcW w:w="2208" w:type="dxa"/>
            <w:shd w:val="clear" w:color="auto" w:fill="DBE5F1" w:themeFill="accent1" w:themeFillTint="33"/>
          </w:tcPr>
          <w:p w:rsidR="00432F07" w:rsidRPr="00745BAC" w:rsidRDefault="00164913" w:rsidP="002B184E">
            <w:pPr>
              <w:jc w:val="center"/>
              <w:rPr>
                <w:b/>
              </w:rPr>
            </w:pPr>
            <w:r w:rsidRPr="00745BAC">
              <w:rPr>
                <w:b/>
              </w:rPr>
              <w:t>Action/Decision</w:t>
            </w:r>
          </w:p>
        </w:tc>
      </w:tr>
      <w:tr w:rsidR="00FE602C" w:rsidRPr="00745BAC" w:rsidTr="00477A00">
        <w:tc>
          <w:tcPr>
            <w:tcW w:w="1702" w:type="dxa"/>
          </w:tcPr>
          <w:p w:rsidR="00527061" w:rsidRPr="00DD4308" w:rsidRDefault="00527061" w:rsidP="0011261D">
            <w:pPr>
              <w:rPr>
                <w:b/>
              </w:rPr>
            </w:pPr>
            <w:r>
              <w:rPr>
                <w:b/>
              </w:rPr>
              <w:t xml:space="preserve">Action log from </w:t>
            </w:r>
            <w:r w:rsidR="00B44664">
              <w:rPr>
                <w:b/>
              </w:rPr>
              <w:t>May</w:t>
            </w:r>
            <w:r w:rsidR="00BB0F15">
              <w:rPr>
                <w:b/>
              </w:rPr>
              <w:t xml:space="preserve"> </w:t>
            </w:r>
            <w:r w:rsidR="0011261D">
              <w:rPr>
                <w:b/>
              </w:rPr>
              <w:t xml:space="preserve"> 2019</w:t>
            </w:r>
          </w:p>
        </w:tc>
        <w:tc>
          <w:tcPr>
            <w:tcW w:w="10206" w:type="dxa"/>
            <w:shd w:val="clear" w:color="auto" w:fill="auto"/>
          </w:tcPr>
          <w:p w:rsidR="008618C7" w:rsidRDefault="008618C7" w:rsidP="002C467D">
            <w:r>
              <w:t>Minutes agreed as acc</w:t>
            </w:r>
            <w:r w:rsidR="003C3800">
              <w:t>urate, matters arising included: RS to share details with HA colleagues about the opportunity to nominate themselves for the HA seat on the KHG EXB which will be vacant now that Deborah White has stepped down.</w:t>
            </w:r>
          </w:p>
          <w:p w:rsidR="00093115" w:rsidRPr="00D84EA9" w:rsidRDefault="00093115" w:rsidP="00B44664"/>
        </w:tc>
        <w:tc>
          <w:tcPr>
            <w:tcW w:w="992" w:type="dxa"/>
            <w:shd w:val="clear" w:color="auto" w:fill="auto"/>
          </w:tcPr>
          <w:p w:rsidR="000C680D" w:rsidRPr="00FE118F" w:rsidRDefault="003C3800" w:rsidP="008669A9">
            <w:pPr>
              <w:rPr>
                <w:b/>
              </w:rPr>
            </w:pPr>
            <w:r>
              <w:rPr>
                <w:b/>
              </w:rPr>
              <w:t>ASAP</w:t>
            </w:r>
          </w:p>
        </w:tc>
        <w:tc>
          <w:tcPr>
            <w:tcW w:w="769" w:type="dxa"/>
            <w:shd w:val="clear" w:color="auto" w:fill="auto"/>
          </w:tcPr>
          <w:p w:rsidR="000C680D" w:rsidRPr="00BA3231" w:rsidRDefault="003C3800" w:rsidP="008669A9">
            <w:pPr>
              <w:jc w:val="both"/>
              <w:rPr>
                <w:b/>
              </w:rPr>
            </w:pPr>
            <w:r>
              <w:rPr>
                <w:b/>
              </w:rPr>
              <w:t>RS</w:t>
            </w:r>
          </w:p>
        </w:tc>
        <w:tc>
          <w:tcPr>
            <w:tcW w:w="2208" w:type="dxa"/>
            <w:shd w:val="clear" w:color="auto" w:fill="auto"/>
          </w:tcPr>
          <w:p w:rsidR="000C680D" w:rsidRPr="00132C9C" w:rsidRDefault="003C3800" w:rsidP="00D41820">
            <w:pPr>
              <w:rPr>
                <w:b/>
              </w:rPr>
            </w:pPr>
            <w:r w:rsidRPr="00132C9C">
              <w:rPr>
                <w:b/>
                <w:color w:val="FF0000"/>
              </w:rPr>
              <w:t>To email HA reps</w:t>
            </w:r>
          </w:p>
        </w:tc>
      </w:tr>
      <w:tr w:rsidR="00FE602C" w:rsidRPr="00745BAC" w:rsidTr="00477A00">
        <w:tc>
          <w:tcPr>
            <w:tcW w:w="1702" w:type="dxa"/>
          </w:tcPr>
          <w:p w:rsidR="00527061" w:rsidRDefault="00F361D4" w:rsidP="009E49FB">
            <w:pPr>
              <w:rPr>
                <w:b/>
              </w:rPr>
            </w:pPr>
            <w:r>
              <w:rPr>
                <w:b/>
              </w:rPr>
              <w:t>Domestic Abuse Make a Stand</w:t>
            </w:r>
          </w:p>
        </w:tc>
        <w:tc>
          <w:tcPr>
            <w:tcW w:w="10206" w:type="dxa"/>
            <w:shd w:val="clear" w:color="auto" w:fill="auto"/>
          </w:tcPr>
          <w:p w:rsidR="00BB0F15" w:rsidRDefault="003C3800" w:rsidP="00D41820">
            <w:pPr>
              <w:jc w:val="both"/>
            </w:pPr>
            <w:r>
              <w:t>Judith Vickress provided those attending the meeting with an overview of her role and that of DAHA.  The following summary notes supplement the presentation shared.</w:t>
            </w:r>
          </w:p>
          <w:p w:rsidR="00132C9C" w:rsidRDefault="00132C9C" w:rsidP="00D41820">
            <w:pPr>
              <w:jc w:val="both"/>
            </w:pPr>
          </w:p>
          <w:p w:rsidR="00132C9C" w:rsidRDefault="00132C9C" w:rsidP="00132C9C">
            <w:pPr>
              <w:pStyle w:val="ListParagraph"/>
              <w:numPr>
                <w:ilvl w:val="0"/>
                <w:numId w:val="7"/>
              </w:numPr>
              <w:ind w:left="184" w:hanging="142"/>
              <w:jc w:val="both"/>
            </w:pPr>
            <w:r>
              <w:t xml:space="preserve">There are three key organisations </w:t>
            </w:r>
            <w:r w:rsidR="004B75C4">
              <w:t>within DAHA</w:t>
            </w:r>
          </w:p>
          <w:p w:rsidR="004B75C4" w:rsidRDefault="004B75C4" w:rsidP="00132C9C">
            <w:pPr>
              <w:pStyle w:val="ListParagraph"/>
              <w:numPr>
                <w:ilvl w:val="0"/>
                <w:numId w:val="7"/>
              </w:numPr>
              <w:ind w:left="184" w:hanging="142"/>
              <w:jc w:val="both"/>
            </w:pPr>
            <w:r>
              <w:t>Housing has a key r</w:t>
            </w:r>
            <w:r w:rsidR="00093269">
              <w:t>ole to play in ending Domestic Abuse (DA)</w:t>
            </w:r>
          </w:p>
          <w:p w:rsidR="004B75C4" w:rsidRDefault="00945079" w:rsidP="00132C9C">
            <w:pPr>
              <w:pStyle w:val="ListParagraph"/>
              <w:numPr>
                <w:ilvl w:val="0"/>
                <w:numId w:val="7"/>
              </w:numPr>
              <w:ind w:left="184" w:hanging="142"/>
              <w:jc w:val="both"/>
            </w:pPr>
            <w:r>
              <w:t>Housing or the home should be a ‘safe place’, a place where there is opportunity for intervention</w:t>
            </w:r>
          </w:p>
          <w:p w:rsidR="00945079" w:rsidRDefault="00945079" w:rsidP="00132C9C">
            <w:pPr>
              <w:pStyle w:val="ListParagraph"/>
              <w:numPr>
                <w:ilvl w:val="0"/>
                <w:numId w:val="7"/>
              </w:numPr>
              <w:ind w:left="184" w:hanging="142"/>
              <w:jc w:val="both"/>
            </w:pPr>
            <w:r>
              <w:t xml:space="preserve">Joint working between </w:t>
            </w:r>
            <w:r w:rsidR="00093269">
              <w:t>agencies is critical, silo working has to end</w:t>
            </w:r>
          </w:p>
          <w:p w:rsidR="00093269" w:rsidRDefault="00093269" w:rsidP="00132C9C">
            <w:pPr>
              <w:pStyle w:val="ListParagraph"/>
              <w:numPr>
                <w:ilvl w:val="0"/>
                <w:numId w:val="7"/>
              </w:numPr>
              <w:ind w:left="184" w:hanging="142"/>
              <w:jc w:val="both"/>
            </w:pPr>
            <w:r>
              <w:t>Housing Officers can be a ‘safe person’ for victims to disclose or share information with</w:t>
            </w:r>
          </w:p>
          <w:p w:rsidR="00093269" w:rsidRDefault="00093269" w:rsidP="00132C9C">
            <w:pPr>
              <w:pStyle w:val="ListParagraph"/>
              <w:numPr>
                <w:ilvl w:val="0"/>
                <w:numId w:val="7"/>
              </w:numPr>
              <w:ind w:left="184" w:hanging="142"/>
              <w:jc w:val="both"/>
            </w:pPr>
            <w:r>
              <w:t>DA is everyone’s responsibility and requires commitment across agencies</w:t>
            </w:r>
          </w:p>
          <w:p w:rsidR="00093269" w:rsidRDefault="00093269" w:rsidP="00132C9C">
            <w:pPr>
              <w:pStyle w:val="ListParagraph"/>
              <w:numPr>
                <w:ilvl w:val="0"/>
                <w:numId w:val="7"/>
              </w:numPr>
              <w:ind w:left="184" w:hanging="142"/>
              <w:jc w:val="both"/>
            </w:pPr>
            <w:r>
              <w:t>Commonly DA will sit within an ASB team or process, DA should be seen through a DA lens, using professional curiosity in a positive way</w:t>
            </w:r>
          </w:p>
          <w:p w:rsidR="00093269" w:rsidRDefault="00093269" w:rsidP="00132C9C">
            <w:pPr>
              <w:pStyle w:val="ListParagraph"/>
              <w:numPr>
                <w:ilvl w:val="0"/>
                <w:numId w:val="7"/>
              </w:numPr>
              <w:ind w:left="184" w:hanging="142"/>
              <w:jc w:val="both"/>
            </w:pPr>
            <w:r>
              <w:t xml:space="preserve">Consider how tenancies are managed, security of tenure for victims of DA, they may need ‘space for action’, what is the offer for them? There are high cost associated </w:t>
            </w:r>
            <w:r w:rsidR="005D5435">
              <w:t>to housing sector with regards to DA, all agencies need to be visible on response to DA</w:t>
            </w:r>
          </w:p>
          <w:p w:rsidR="005D5435" w:rsidRDefault="005D5435" w:rsidP="00132C9C">
            <w:pPr>
              <w:pStyle w:val="ListParagraph"/>
              <w:numPr>
                <w:ilvl w:val="0"/>
                <w:numId w:val="7"/>
              </w:numPr>
              <w:ind w:left="184" w:hanging="142"/>
              <w:jc w:val="both"/>
            </w:pPr>
            <w:r>
              <w:lastRenderedPageBreak/>
              <w:t>Make a Stand Campaign –organisations are urged to sign up to the campaign.  Organisations need to have clear policies about DA, one for residents and one for staff</w:t>
            </w:r>
          </w:p>
          <w:p w:rsidR="005D5435" w:rsidRDefault="005D5435" w:rsidP="00132C9C">
            <w:pPr>
              <w:pStyle w:val="ListParagraph"/>
              <w:numPr>
                <w:ilvl w:val="0"/>
                <w:numId w:val="7"/>
              </w:numPr>
              <w:ind w:left="184" w:hanging="142"/>
              <w:jc w:val="both"/>
            </w:pPr>
            <w:r>
              <w:t>Each organisation should have a visible DA Champion, to share the message that DA is unacceptable, not tolerated and those who disclose information are supported</w:t>
            </w:r>
          </w:p>
          <w:p w:rsidR="005D5435" w:rsidRDefault="005D5435" w:rsidP="00132C9C">
            <w:pPr>
              <w:pStyle w:val="ListParagraph"/>
              <w:numPr>
                <w:ilvl w:val="0"/>
                <w:numId w:val="7"/>
              </w:numPr>
              <w:ind w:left="184" w:hanging="142"/>
              <w:jc w:val="both"/>
            </w:pPr>
            <w:r>
              <w:t>Equality and Diversity is linked and critical when considering DA</w:t>
            </w:r>
          </w:p>
          <w:p w:rsidR="00D020A6" w:rsidRDefault="005D5435" w:rsidP="00D020A6">
            <w:pPr>
              <w:pStyle w:val="ListParagraph"/>
              <w:numPr>
                <w:ilvl w:val="0"/>
                <w:numId w:val="7"/>
              </w:numPr>
              <w:ind w:left="184" w:hanging="142"/>
              <w:jc w:val="both"/>
            </w:pPr>
            <w:r>
              <w:t xml:space="preserve">Should encourage a proactive </w:t>
            </w:r>
            <w:r w:rsidR="00D020A6">
              <w:t>approach to dealing with the perpetrator of DA, need to be creative and innovative to reduce the risk of the perpetrator returning to the home where DA has occurred</w:t>
            </w:r>
          </w:p>
          <w:p w:rsidR="00D020A6" w:rsidRDefault="00D020A6" w:rsidP="00D020A6">
            <w:pPr>
              <w:pStyle w:val="ListParagraph"/>
              <w:numPr>
                <w:ilvl w:val="0"/>
                <w:numId w:val="7"/>
              </w:numPr>
              <w:ind w:left="184" w:hanging="142"/>
              <w:jc w:val="both"/>
            </w:pPr>
            <w:r>
              <w:t>There is a link on the DAHA website to the free tool kit about accreditation on the Make it Stand Campaign</w:t>
            </w:r>
          </w:p>
          <w:p w:rsidR="00D020A6" w:rsidRDefault="00D020A6" w:rsidP="00D020A6">
            <w:pPr>
              <w:pStyle w:val="ListParagraph"/>
              <w:numPr>
                <w:ilvl w:val="0"/>
                <w:numId w:val="7"/>
              </w:numPr>
              <w:ind w:left="184" w:hanging="142"/>
              <w:jc w:val="both"/>
            </w:pPr>
            <w:r>
              <w:t>Hull City Council is a good example of best practice for DA</w:t>
            </w:r>
          </w:p>
          <w:p w:rsidR="00D020A6" w:rsidRDefault="00D020A6" w:rsidP="00D020A6">
            <w:pPr>
              <w:pStyle w:val="ListParagraph"/>
              <w:numPr>
                <w:ilvl w:val="0"/>
                <w:numId w:val="7"/>
              </w:numPr>
              <w:ind w:left="184" w:hanging="142"/>
              <w:jc w:val="both"/>
            </w:pPr>
            <w:r>
              <w:t>Consider how effective partnerships are locally to support ambition to reduce and remove DA, ensure that housing have a voice/seat on local adults and children’s safeguarding boards</w:t>
            </w:r>
          </w:p>
          <w:p w:rsidR="00545544" w:rsidRDefault="00545544" w:rsidP="00D020A6">
            <w:pPr>
              <w:pStyle w:val="ListParagraph"/>
              <w:numPr>
                <w:ilvl w:val="0"/>
                <w:numId w:val="7"/>
              </w:numPr>
              <w:ind w:left="184" w:hanging="142"/>
              <w:jc w:val="both"/>
            </w:pPr>
            <w:r>
              <w:t>A big culture shift in organisations is required, including working across the organisation and with contractors etc.</w:t>
            </w:r>
          </w:p>
          <w:p w:rsidR="00545544" w:rsidRDefault="00545544" w:rsidP="00D020A6">
            <w:pPr>
              <w:pStyle w:val="ListParagraph"/>
              <w:numPr>
                <w:ilvl w:val="0"/>
                <w:numId w:val="7"/>
              </w:numPr>
              <w:ind w:left="184" w:hanging="142"/>
              <w:jc w:val="both"/>
            </w:pPr>
            <w:r>
              <w:t>TCH are working on accreditation locally in Kent, invest to save, lives and resources</w:t>
            </w:r>
          </w:p>
          <w:p w:rsidR="00D020A6" w:rsidRPr="00745BAC" w:rsidRDefault="00D020A6" w:rsidP="00D020A6">
            <w:pPr>
              <w:pStyle w:val="ListParagraph"/>
              <w:ind w:left="184"/>
              <w:jc w:val="both"/>
            </w:pPr>
          </w:p>
        </w:tc>
        <w:tc>
          <w:tcPr>
            <w:tcW w:w="992" w:type="dxa"/>
            <w:shd w:val="clear" w:color="auto" w:fill="auto"/>
          </w:tcPr>
          <w:p w:rsidR="009371B1" w:rsidRPr="009179A4" w:rsidRDefault="009371B1" w:rsidP="00454E00">
            <w:pPr>
              <w:rPr>
                <w:b/>
              </w:rPr>
            </w:pPr>
          </w:p>
        </w:tc>
        <w:tc>
          <w:tcPr>
            <w:tcW w:w="769" w:type="dxa"/>
            <w:shd w:val="clear" w:color="auto" w:fill="auto"/>
          </w:tcPr>
          <w:p w:rsidR="009371B1" w:rsidRPr="007F161E" w:rsidRDefault="00132C9C" w:rsidP="00454E00">
            <w:pPr>
              <w:rPr>
                <w:b/>
              </w:rPr>
            </w:pPr>
            <w:r>
              <w:rPr>
                <w:b/>
              </w:rPr>
              <w:t>RS</w:t>
            </w:r>
          </w:p>
        </w:tc>
        <w:tc>
          <w:tcPr>
            <w:tcW w:w="2208" w:type="dxa"/>
            <w:shd w:val="clear" w:color="auto" w:fill="auto"/>
          </w:tcPr>
          <w:p w:rsidR="009371B1" w:rsidRPr="00AA6FEA" w:rsidRDefault="00132C9C" w:rsidP="00DC208F">
            <w:pPr>
              <w:rPr>
                <w:color w:val="FF0000"/>
              </w:rPr>
            </w:pPr>
            <w:r>
              <w:rPr>
                <w:color w:val="FF0000"/>
              </w:rPr>
              <w:t>RS to share PDF of presentation</w:t>
            </w:r>
          </w:p>
        </w:tc>
      </w:tr>
      <w:tr w:rsidR="00601117" w:rsidRPr="00745BAC" w:rsidTr="00477A00">
        <w:tc>
          <w:tcPr>
            <w:tcW w:w="1702" w:type="dxa"/>
          </w:tcPr>
          <w:p w:rsidR="00601117" w:rsidRDefault="00F361D4" w:rsidP="009E49FB">
            <w:pPr>
              <w:rPr>
                <w:b/>
              </w:rPr>
            </w:pPr>
            <w:r>
              <w:rPr>
                <w:b/>
              </w:rPr>
              <w:t>Adult Social Care Update</w:t>
            </w:r>
          </w:p>
        </w:tc>
        <w:tc>
          <w:tcPr>
            <w:tcW w:w="10206" w:type="dxa"/>
            <w:shd w:val="clear" w:color="auto" w:fill="auto"/>
          </w:tcPr>
          <w:p w:rsidR="004875E3" w:rsidRDefault="000B6E7D" w:rsidP="00D41820">
            <w:pPr>
              <w:jc w:val="both"/>
            </w:pPr>
            <w:r>
              <w:t>Clare shared a presentation to update on Adult Social Care Commissioning, the following are summary notes:</w:t>
            </w:r>
          </w:p>
          <w:p w:rsidR="000B6E7D" w:rsidRDefault="000B6E7D" w:rsidP="00D41820">
            <w:pPr>
              <w:jc w:val="both"/>
            </w:pPr>
          </w:p>
          <w:p w:rsidR="000B6E7D" w:rsidRDefault="000B6E7D" w:rsidP="000B6E7D">
            <w:pPr>
              <w:pStyle w:val="ListParagraph"/>
              <w:numPr>
                <w:ilvl w:val="0"/>
                <w:numId w:val="8"/>
              </w:numPr>
              <w:ind w:left="184" w:hanging="142"/>
              <w:jc w:val="both"/>
            </w:pPr>
            <w:r>
              <w:t>Delivery plan for 12 – 18</w:t>
            </w:r>
            <w:r>
              <w:rPr>
                <w:vertAlign w:val="superscript"/>
              </w:rPr>
              <w:t xml:space="preserve"> </w:t>
            </w:r>
            <w:r>
              <w:t>months and objectives are available to share upon request</w:t>
            </w:r>
          </w:p>
          <w:p w:rsidR="000B6E7D" w:rsidRDefault="000B6E7D" w:rsidP="000B6E7D">
            <w:pPr>
              <w:pStyle w:val="ListParagraph"/>
              <w:numPr>
                <w:ilvl w:val="0"/>
                <w:numId w:val="8"/>
              </w:numPr>
              <w:ind w:left="184" w:hanging="142"/>
              <w:jc w:val="both"/>
            </w:pPr>
            <w:r>
              <w:t>It is the role of strategic commissioning to support the operational teams, to ensure evidence based commissioning, measuring services performance and outcomes is also key</w:t>
            </w:r>
          </w:p>
          <w:p w:rsidR="000B6E7D" w:rsidRDefault="000B6E7D" w:rsidP="000B6E7D">
            <w:pPr>
              <w:pStyle w:val="ListParagraph"/>
              <w:numPr>
                <w:ilvl w:val="0"/>
                <w:numId w:val="8"/>
              </w:numPr>
              <w:ind w:left="184" w:hanging="142"/>
              <w:jc w:val="both"/>
            </w:pPr>
            <w:r>
              <w:t xml:space="preserve">KCC want to be clear on how </w:t>
            </w:r>
            <w:r w:rsidR="0006363C">
              <w:t>tailor a localised approach and services to meet the needs of client groups</w:t>
            </w:r>
          </w:p>
          <w:p w:rsidR="0006363C" w:rsidRDefault="0006363C" w:rsidP="000B6E7D">
            <w:pPr>
              <w:pStyle w:val="ListParagraph"/>
              <w:numPr>
                <w:ilvl w:val="0"/>
                <w:numId w:val="8"/>
              </w:numPr>
              <w:ind w:left="184" w:hanging="142"/>
              <w:jc w:val="both"/>
            </w:pPr>
            <w:r>
              <w:t>KCC are mapping journeys of cohorts through adult social care, this assists with collation of an evidence base</w:t>
            </w:r>
          </w:p>
          <w:p w:rsidR="0006363C" w:rsidRDefault="0006363C" w:rsidP="000B6E7D">
            <w:pPr>
              <w:pStyle w:val="ListParagraph"/>
              <w:numPr>
                <w:ilvl w:val="0"/>
                <w:numId w:val="8"/>
              </w:numPr>
              <w:ind w:left="184" w:hanging="142"/>
              <w:jc w:val="both"/>
            </w:pPr>
            <w:r>
              <w:t>Spend and cost data is available for sharing</w:t>
            </w:r>
          </w:p>
          <w:p w:rsidR="0006363C" w:rsidRDefault="0006363C" w:rsidP="000B6E7D">
            <w:pPr>
              <w:pStyle w:val="ListParagraph"/>
              <w:numPr>
                <w:ilvl w:val="0"/>
                <w:numId w:val="8"/>
              </w:numPr>
              <w:ind w:left="184" w:hanging="142"/>
              <w:jc w:val="both"/>
            </w:pPr>
            <w:r>
              <w:t>Enablement of services to ensure people’s homes meet their needs</w:t>
            </w:r>
          </w:p>
          <w:p w:rsidR="0006363C" w:rsidRDefault="0006363C" w:rsidP="000B6E7D">
            <w:pPr>
              <w:pStyle w:val="ListParagraph"/>
              <w:numPr>
                <w:ilvl w:val="0"/>
                <w:numId w:val="8"/>
              </w:numPr>
              <w:ind w:left="184" w:hanging="142"/>
              <w:jc w:val="both"/>
            </w:pPr>
            <w:r>
              <w:t>To ensure more effective working and outcomes there is a need to clearly map across the county where there is joint funding, contracts and providers, commonality between organisations</w:t>
            </w:r>
          </w:p>
          <w:p w:rsidR="0006363C" w:rsidRDefault="0006363C" w:rsidP="000B6E7D">
            <w:pPr>
              <w:pStyle w:val="ListParagraph"/>
              <w:numPr>
                <w:ilvl w:val="0"/>
                <w:numId w:val="8"/>
              </w:numPr>
              <w:ind w:left="184" w:hanging="142"/>
              <w:jc w:val="both"/>
            </w:pPr>
            <w:r>
              <w:t>Between now and December 2019 there is work continuing with regards to the Community Offer</w:t>
            </w:r>
          </w:p>
          <w:p w:rsidR="00A21353" w:rsidRDefault="0006363C" w:rsidP="00A21353">
            <w:pPr>
              <w:pStyle w:val="ListParagraph"/>
              <w:numPr>
                <w:ilvl w:val="0"/>
                <w:numId w:val="8"/>
              </w:numPr>
              <w:ind w:left="184" w:hanging="142"/>
              <w:jc w:val="both"/>
            </w:pPr>
            <w:r>
              <w:t>The KCC Strategic Delivery Plan is on the KCC website</w:t>
            </w:r>
          </w:p>
          <w:p w:rsidR="00A21353" w:rsidRDefault="00A21353" w:rsidP="00A21353">
            <w:pPr>
              <w:pStyle w:val="ListParagraph"/>
              <w:numPr>
                <w:ilvl w:val="0"/>
                <w:numId w:val="8"/>
              </w:numPr>
              <w:ind w:left="184" w:hanging="142"/>
              <w:jc w:val="both"/>
            </w:pPr>
            <w:r>
              <w:t>Contract review of Live Well Kent, consideration variation or extension, working with partners on this, Luke Edwards is the commissioning lead on this work, due to conclude at the end of the year.  CM agreed to share draft review documents.</w:t>
            </w:r>
          </w:p>
          <w:p w:rsidR="00A21353" w:rsidRDefault="00A21353" w:rsidP="00A21353">
            <w:pPr>
              <w:pStyle w:val="ListParagraph"/>
              <w:numPr>
                <w:ilvl w:val="0"/>
                <w:numId w:val="8"/>
              </w:numPr>
              <w:ind w:left="184" w:hanging="142"/>
              <w:jc w:val="both"/>
            </w:pPr>
            <w:r>
              <w:t>CM agreed to share list of contracts due for renewal over next 12-18 months.</w:t>
            </w:r>
          </w:p>
          <w:p w:rsidR="00A21353" w:rsidRDefault="00A21353" w:rsidP="00A21353">
            <w:pPr>
              <w:pStyle w:val="ListParagraph"/>
              <w:numPr>
                <w:ilvl w:val="0"/>
                <w:numId w:val="8"/>
              </w:numPr>
              <w:ind w:left="184" w:hanging="142"/>
              <w:jc w:val="both"/>
            </w:pPr>
            <w:r>
              <w:t>ECH – planning for delivery of 1,000 units across Kent, working with D/B’s on this, considering Housing with Care, offering more flexibility to meet wider needs.</w:t>
            </w:r>
          </w:p>
          <w:p w:rsidR="00A21353" w:rsidRDefault="00A21353" w:rsidP="00A21353">
            <w:pPr>
              <w:pStyle w:val="ListParagraph"/>
              <w:numPr>
                <w:ilvl w:val="0"/>
                <w:numId w:val="8"/>
              </w:numPr>
              <w:ind w:left="184" w:hanging="142"/>
              <w:jc w:val="both"/>
            </w:pPr>
            <w:r>
              <w:lastRenderedPageBreak/>
              <w:t>The draft ASC Accommodation Strategy is going to Cabinet Committee on 27</w:t>
            </w:r>
            <w:r w:rsidRPr="00A21353">
              <w:rPr>
                <w:vertAlign w:val="superscript"/>
              </w:rPr>
              <w:t>th</w:t>
            </w:r>
            <w:r>
              <w:t xml:space="preserve"> September for approval</w:t>
            </w:r>
          </w:p>
          <w:p w:rsidR="00A21353" w:rsidRDefault="00A21353" w:rsidP="00A21353">
            <w:pPr>
              <w:pStyle w:val="ListParagraph"/>
              <w:numPr>
                <w:ilvl w:val="0"/>
                <w:numId w:val="8"/>
              </w:numPr>
              <w:ind w:left="184" w:hanging="142"/>
              <w:jc w:val="both"/>
            </w:pPr>
            <w:r>
              <w:t>Workforce integral to the outcomes identified across objectives, they need the right training, support and development to ensure sustainable and flexible workshop.</w:t>
            </w:r>
          </w:p>
          <w:p w:rsidR="00A21353" w:rsidRDefault="00A21353" w:rsidP="00A21353">
            <w:pPr>
              <w:pStyle w:val="ListParagraph"/>
              <w:numPr>
                <w:ilvl w:val="0"/>
                <w:numId w:val="8"/>
              </w:numPr>
              <w:ind w:left="184" w:hanging="142"/>
              <w:jc w:val="both"/>
            </w:pPr>
            <w:r>
              <w:t>LH suggested there should be better links to the BCF and the impact this funding can have on services at local level.</w:t>
            </w:r>
          </w:p>
          <w:p w:rsidR="0006363C" w:rsidRDefault="0006363C" w:rsidP="0006363C">
            <w:pPr>
              <w:pStyle w:val="ListParagraph"/>
              <w:ind w:left="184"/>
              <w:jc w:val="both"/>
            </w:pPr>
          </w:p>
        </w:tc>
        <w:tc>
          <w:tcPr>
            <w:tcW w:w="992" w:type="dxa"/>
            <w:shd w:val="clear" w:color="auto" w:fill="auto"/>
          </w:tcPr>
          <w:p w:rsidR="009371B1" w:rsidRDefault="0006363C" w:rsidP="00454E00">
            <w:pPr>
              <w:rPr>
                <w:b/>
              </w:rPr>
            </w:pPr>
            <w:r>
              <w:rPr>
                <w:b/>
              </w:rPr>
              <w:lastRenderedPageBreak/>
              <w:t>ASAP</w:t>
            </w:r>
          </w:p>
          <w:p w:rsidR="00A21353" w:rsidRDefault="00A21353" w:rsidP="00454E00">
            <w:pPr>
              <w:rPr>
                <w:b/>
              </w:rPr>
            </w:pPr>
          </w:p>
          <w:p w:rsidR="00A21353" w:rsidRDefault="00A21353" w:rsidP="00454E00">
            <w:pPr>
              <w:rPr>
                <w:b/>
              </w:rPr>
            </w:pPr>
          </w:p>
          <w:p w:rsidR="00A21353" w:rsidRDefault="00A21353" w:rsidP="00454E00">
            <w:pPr>
              <w:rPr>
                <w:b/>
              </w:rPr>
            </w:pPr>
          </w:p>
          <w:p w:rsidR="00A21353" w:rsidRDefault="00A21353" w:rsidP="00454E00">
            <w:pPr>
              <w:rPr>
                <w:b/>
              </w:rPr>
            </w:pPr>
          </w:p>
          <w:p w:rsidR="00A21353" w:rsidRDefault="00A21353" w:rsidP="00454E00">
            <w:pPr>
              <w:rPr>
                <w:b/>
              </w:rPr>
            </w:pPr>
          </w:p>
          <w:p w:rsidR="00A21353" w:rsidRDefault="00A21353" w:rsidP="00454E00">
            <w:pPr>
              <w:rPr>
                <w:b/>
              </w:rPr>
            </w:pPr>
          </w:p>
          <w:p w:rsidR="00A21353" w:rsidRDefault="00A21353" w:rsidP="00454E00">
            <w:pPr>
              <w:rPr>
                <w:b/>
              </w:rPr>
            </w:pPr>
          </w:p>
          <w:p w:rsidR="00A21353" w:rsidRDefault="00A21353" w:rsidP="00454E00">
            <w:pPr>
              <w:rPr>
                <w:b/>
              </w:rPr>
            </w:pPr>
          </w:p>
          <w:p w:rsidR="00A21353" w:rsidRDefault="00A21353" w:rsidP="00454E00">
            <w:pPr>
              <w:rPr>
                <w:b/>
              </w:rPr>
            </w:pPr>
          </w:p>
          <w:p w:rsidR="00A21353" w:rsidRDefault="00A21353" w:rsidP="00454E00">
            <w:pPr>
              <w:rPr>
                <w:b/>
              </w:rPr>
            </w:pPr>
          </w:p>
          <w:p w:rsidR="00A21353" w:rsidRDefault="00A21353" w:rsidP="00454E00">
            <w:pPr>
              <w:rPr>
                <w:b/>
              </w:rPr>
            </w:pPr>
          </w:p>
          <w:p w:rsidR="00A21353" w:rsidRDefault="00A21353" w:rsidP="00454E00">
            <w:pPr>
              <w:rPr>
                <w:b/>
              </w:rPr>
            </w:pPr>
          </w:p>
          <w:p w:rsidR="00A21353" w:rsidRDefault="00A21353" w:rsidP="00454E00">
            <w:pPr>
              <w:rPr>
                <w:b/>
              </w:rPr>
            </w:pPr>
          </w:p>
          <w:p w:rsidR="00A21353" w:rsidRDefault="00A21353" w:rsidP="00454E00">
            <w:pPr>
              <w:rPr>
                <w:b/>
              </w:rPr>
            </w:pPr>
          </w:p>
          <w:p w:rsidR="00A21353" w:rsidRDefault="00A21353" w:rsidP="00454E00">
            <w:pPr>
              <w:rPr>
                <w:b/>
              </w:rPr>
            </w:pPr>
            <w:r>
              <w:rPr>
                <w:b/>
              </w:rPr>
              <w:t>As avail</w:t>
            </w:r>
          </w:p>
          <w:p w:rsidR="00A21353" w:rsidRDefault="00A21353" w:rsidP="00454E00">
            <w:pPr>
              <w:rPr>
                <w:b/>
              </w:rPr>
            </w:pPr>
          </w:p>
          <w:p w:rsidR="00A21353" w:rsidRDefault="00A21353" w:rsidP="00454E00">
            <w:pPr>
              <w:rPr>
                <w:b/>
              </w:rPr>
            </w:pPr>
          </w:p>
          <w:p w:rsidR="00A21353" w:rsidRDefault="00A21353" w:rsidP="00454E00">
            <w:pPr>
              <w:rPr>
                <w:b/>
              </w:rPr>
            </w:pPr>
          </w:p>
          <w:p w:rsidR="00A21353" w:rsidRDefault="00A21353" w:rsidP="00454E00">
            <w:pPr>
              <w:rPr>
                <w:b/>
              </w:rPr>
            </w:pPr>
          </w:p>
          <w:p w:rsidR="00A21353" w:rsidRDefault="00A21353" w:rsidP="00454E00">
            <w:pPr>
              <w:rPr>
                <w:b/>
              </w:rPr>
            </w:pPr>
          </w:p>
          <w:p w:rsidR="00A21353" w:rsidRDefault="00A21353" w:rsidP="00454E00">
            <w:pPr>
              <w:rPr>
                <w:b/>
              </w:rPr>
            </w:pPr>
          </w:p>
          <w:p w:rsidR="00A21353" w:rsidRDefault="00A21353" w:rsidP="00454E00">
            <w:pPr>
              <w:rPr>
                <w:b/>
              </w:rPr>
            </w:pPr>
          </w:p>
          <w:p w:rsidR="00A21353" w:rsidRPr="009179A4" w:rsidRDefault="00A21353" w:rsidP="00454E00">
            <w:pPr>
              <w:rPr>
                <w:b/>
              </w:rPr>
            </w:pPr>
          </w:p>
        </w:tc>
        <w:tc>
          <w:tcPr>
            <w:tcW w:w="769" w:type="dxa"/>
            <w:shd w:val="clear" w:color="auto" w:fill="auto"/>
          </w:tcPr>
          <w:p w:rsidR="009371B1" w:rsidRDefault="0006363C" w:rsidP="00454E00">
            <w:pPr>
              <w:rPr>
                <w:b/>
              </w:rPr>
            </w:pPr>
            <w:r>
              <w:rPr>
                <w:b/>
              </w:rPr>
              <w:lastRenderedPageBreak/>
              <w:t>RS</w:t>
            </w:r>
          </w:p>
          <w:p w:rsidR="00A21353" w:rsidRDefault="00A21353" w:rsidP="00454E00">
            <w:pPr>
              <w:rPr>
                <w:b/>
              </w:rPr>
            </w:pPr>
          </w:p>
          <w:p w:rsidR="00A21353" w:rsidRDefault="00A21353" w:rsidP="00454E00">
            <w:pPr>
              <w:rPr>
                <w:b/>
              </w:rPr>
            </w:pPr>
          </w:p>
          <w:p w:rsidR="00A21353" w:rsidRDefault="00A21353" w:rsidP="00454E00">
            <w:pPr>
              <w:rPr>
                <w:b/>
              </w:rPr>
            </w:pPr>
          </w:p>
          <w:p w:rsidR="00A21353" w:rsidRDefault="00A21353" w:rsidP="00454E00">
            <w:pPr>
              <w:rPr>
                <w:b/>
              </w:rPr>
            </w:pPr>
          </w:p>
          <w:p w:rsidR="00A21353" w:rsidRDefault="00A21353" w:rsidP="00454E00">
            <w:pPr>
              <w:rPr>
                <w:b/>
              </w:rPr>
            </w:pPr>
          </w:p>
          <w:p w:rsidR="00A21353" w:rsidRDefault="00A21353" w:rsidP="00454E00">
            <w:pPr>
              <w:rPr>
                <w:b/>
              </w:rPr>
            </w:pPr>
          </w:p>
          <w:p w:rsidR="00A21353" w:rsidRDefault="00A21353" w:rsidP="00454E00">
            <w:pPr>
              <w:rPr>
                <w:b/>
              </w:rPr>
            </w:pPr>
          </w:p>
          <w:p w:rsidR="00A21353" w:rsidRDefault="00A21353" w:rsidP="00454E00">
            <w:pPr>
              <w:rPr>
                <w:b/>
              </w:rPr>
            </w:pPr>
          </w:p>
          <w:p w:rsidR="00A21353" w:rsidRDefault="00A21353" w:rsidP="00454E00">
            <w:pPr>
              <w:rPr>
                <w:b/>
              </w:rPr>
            </w:pPr>
          </w:p>
          <w:p w:rsidR="00A21353" w:rsidRDefault="00A21353" w:rsidP="00454E00">
            <w:pPr>
              <w:rPr>
                <w:b/>
              </w:rPr>
            </w:pPr>
          </w:p>
          <w:p w:rsidR="00A21353" w:rsidRDefault="00A21353" w:rsidP="00454E00">
            <w:pPr>
              <w:rPr>
                <w:b/>
              </w:rPr>
            </w:pPr>
          </w:p>
          <w:p w:rsidR="00A21353" w:rsidRDefault="00A21353" w:rsidP="00454E00">
            <w:pPr>
              <w:rPr>
                <w:b/>
              </w:rPr>
            </w:pPr>
          </w:p>
          <w:p w:rsidR="00A21353" w:rsidRDefault="00A21353" w:rsidP="00454E00">
            <w:pPr>
              <w:rPr>
                <w:b/>
              </w:rPr>
            </w:pPr>
          </w:p>
          <w:p w:rsidR="00A21353" w:rsidRDefault="00A21353" w:rsidP="00454E00">
            <w:pPr>
              <w:rPr>
                <w:b/>
              </w:rPr>
            </w:pPr>
          </w:p>
          <w:p w:rsidR="00A21353" w:rsidRPr="007F161E" w:rsidRDefault="00A21353" w:rsidP="00454E00">
            <w:pPr>
              <w:rPr>
                <w:b/>
              </w:rPr>
            </w:pPr>
            <w:r>
              <w:rPr>
                <w:b/>
              </w:rPr>
              <w:t>CM</w:t>
            </w:r>
          </w:p>
        </w:tc>
        <w:tc>
          <w:tcPr>
            <w:tcW w:w="2208" w:type="dxa"/>
            <w:shd w:val="clear" w:color="auto" w:fill="auto"/>
          </w:tcPr>
          <w:p w:rsidR="009371B1" w:rsidRDefault="0006363C" w:rsidP="00DC208F">
            <w:pPr>
              <w:rPr>
                <w:color w:val="FF0000"/>
              </w:rPr>
            </w:pPr>
            <w:r>
              <w:rPr>
                <w:color w:val="FF0000"/>
              </w:rPr>
              <w:t>To share PDF presentation</w:t>
            </w:r>
          </w:p>
          <w:p w:rsidR="00A21353" w:rsidRDefault="00A21353" w:rsidP="00DC208F">
            <w:pPr>
              <w:rPr>
                <w:color w:val="FF0000"/>
              </w:rPr>
            </w:pPr>
          </w:p>
          <w:p w:rsidR="00A21353" w:rsidRDefault="00A21353" w:rsidP="00DC208F">
            <w:pPr>
              <w:rPr>
                <w:color w:val="FF0000"/>
              </w:rPr>
            </w:pPr>
          </w:p>
          <w:p w:rsidR="00A21353" w:rsidRDefault="00A21353" w:rsidP="00DC208F">
            <w:pPr>
              <w:rPr>
                <w:color w:val="FF0000"/>
              </w:rPr>
            </w:pPr>
          </w:p>
          <w:p w:rsidR="00A21353" w:rsidRDefault="00A21353" w:rsidP="00DC208F">
            <w:pPr>
              <w:rPr>
                <w:color w:val="FF0000"/>
              </w:rPr>
            </w:pPr>
          </w:p>
          <w:p w:rsidR="00A21353" w:rsidRDefault="00A21353" w:rsidP="00DC208F">
            <w:pPr>
              <w:rPr>
                <w:color w:val="FF0000"/>
              </w:rPr>
            </w:pPr>
          </w:p>
          <w:p w:rsidR="00A21353" w:rsidRDefault="00A21353" w:rsidP="00DC208F">
            <w:pPr>
              <w:rPr>
                <w:color w:val="FF0000"/>
              </w:rPr>
            </w:pPr>
          </w:p>
          <w:p w:rsidR="00A21353" w:rsidRDefault="00A21353" w:rsidP="00DC208F">
            <w:pPr>
              <w:rPr>
                <w:color w:val="FF0000"/>
              </w:rPr>
            </w:pPr>
          </w:p>
          <w:p w:rsidR="00A21353" w:rsidRDefault="00A21353" w:rsidP="00DC208F">
            <w:pPr>
              <w:rPr>
                <w:color w:val="FF0000"/>
              </w:rPr>
            </w:pPr>
          </w:p>
          <w:p w:rsidR="00A21353" w:rsidRDefault="00A21353" w:rsidP="00DC208F">
            <w:pPr>
              <w:rPr>
                <w:color w:val="FF0000"/>
              </w:rPr>
            </w:pPr>
          </w:p>
          <w:p w:rsidR="00A21353" w:rsidRDefault="00A21353" w:rsidP="00DC208F">
            <w:pPr>
              <w:rPr>
                <w:color w:val="FF0000"/>
              </w:rPr>
            </w:pPr>
          </w:p>
          <w:p w:rsidR="00A21353" w:rsidRDefault="00A21353" w:rsidP="00DC208F">
            <w:pPr>
              <w:rPr>
                <w:color w:val="FF0000"/>
              </w:rPr>
            </w:pPr>
          </w:p>
          <w:p w:rsidR="00A21353" w:rsidRDefault="00A21353" w:rsidP="00DC208F">
            <w:pPr>
              <w:rPr>
                <w:color w:val="FF0000"/>
              </w:rPr>
            </w:pPr>
          </w:p>
          <w:p w:rsidR="00A21353" w:rsidRDefault="00A21353" w:rsidP="00DC208F">
            <w:pPr>
              <w:rPr>
                <w:color w:val="FF0000"/>
              </w:rPr>
            </w:pPr>
          </w:p>
          <w:p w:rsidR="00A21353" w:rsidRPr="00AA6FEA" w:rsidRDefault="00A21353" w:rsidP="00DC208F">
            <w:pPr>
              <w:rPr>
                <w:color w:val="FF0000"/>
              </w:rPr>
            </w:pPr>
            <w:r>
              <w:rPr>
                <w:color w:val="FF0000"/>
              </w:rPr>
              <w:t>Share contract details when available</w:t>
            </w:r>
            <w:bookmarkStart w:id="0" w:name="_GoBack"/>
            <w:bookmarkEnd w:id="0"/>
          </w:p>
        </w:tc>
      </w:tr>
      <w:tr w:rsidR="0006363C" w:rsidRPr="00745BAC" w:rsidTr="00477A00">
        <w:tc>
          <w:tcPr>
            <w:tcW w:w="1702" w:type="dxa"/>
          </w:tcPr>
          <w:p w:rsidR="0006363C" w:rsidRDefault="0006363C" w:rsidP="009E49FB">
            <w:pPr>
              <w:rPr>
                <w:b/>
              </w:rPr>
            </w:pPr>
            <w:r>
              <w:rPr>
                <w:b/>
              </w:rPr>
              <w:t>EY Presentation</w:t>
            </w:r>
          </w:p>
        </w:tc>
        <w:tc>
          <w:tcPr>
            <w:tcW w:w="10206" w:type="dxa"/>
            <w:shd w:val="clear" w:color="auto" w:fill="auto"/>
          </w:tcPr>
          <w:p w:rsidR="001B1715" w:rsidRDefault="0006363C" w:rsidP="00D41820">
            <w:pPr>
              <w:jc w:val="both"/>
            </w:pPr>
            <w:r>
              <w:t>Fenella and Helen provided an overview of their work</w:t>
            </w:r>
            <w:r w:rsidR="001B1715">
              <w:t xml:space="preserve"> with Maidstone Borough Council, using data to work on the prevention element of Homelessness.  MBC are working with EY to use internal data and combine with other organisations who have data, to consideration prevention of homelessness.   HS stressed that when considering such project it is necessary to stay focused on the benefit of the project, the rationale behind this approach.  It is key to ask the right questions.</w:t>
            </w:r>
          </w:p>
          <w:p w:rsidR="001B1715" w:rsidRDefault="001B1715" w:rsidP="00D41820">
            <w:pPr>
              <w:jc w:val="both"/>
            </w:pPr>
            <w:r>
              <w:t xml:space="preserve">Data is often held in silo, but does offer the opportunity to </w:t>
            </w:r>
            <w:r w:rsidR="006D44F0">
              <w:t>provi</w:t>
            </w:r>
            <w:r w:rsidR="009919C8">
              <w:t>de clear insight in to process, and can help provide a more holistic picture.  Information Government and Master Data Management are core elements of this type of project, in alignment with GDPR.</w:t>
            </w:r>
          </w:p>
          <w:p w:rsidR="009919C8" w:rsidRDefault="009919C8" w:rsidP="00D41820">
            <w:pPr>
              <w:jc w:val="both"/>
            </w:pPr>
          </w:p>
          <w:p w:rsidR="009919C8" w:rsidRDefault="009919C8" w:rsidP="00D41820">
            <w:pPr>
              <w:jc w:val="both"/>
            </w:pPr>
            <w:r>
              <w:t xml:space="preserve">Any project of this type is an agile journey and there is opportunity to add additional data as required.  There is a partnership portal </w:t>
            </w:r>
            <w:r w:rsidR="003F4B9D">
              <w:t xml:space="preserve">where information can be viewed and shared.  Access to One View Case Summaries is through existing case review technology.  Language used and generated through this technology has been heavily tested, it is not designed to replace professional </w:t>
            </w:r>
            <w:r w:rsidR="00032C1B">
              <w:t>curiosity</w:t>
            </w:r>
            <w:r w:rsidR="003F4B9D">
              <w:t xml:space="preserve">.  </w:t>
            </w:r>
          </w:p>
          <w:p w:rsidR="003F4B9D" w:rsidRDefault="003F4B9D" w:rsidP="00D41820">
            <w:pPr>
              <w:jc w:val="both"/>
            </w:pPr>
          </w:p>
          <w:p w:rsidR="003F4B9D" w:rsidRDefault="003F4B9D" w:rsidP="00D41820">
            <w:pPr>
              <w:jc w:val="both"/>
            </w:pPr>
            <w:r>
              <w:t>The time frame for projects from conception to implementation will vary by client to client, it can be 6 months from testing to the refine stage of the process.  Along with KCC PH Golding Homes are in conversation with MBC regarding this data project.</w:t>
            </w:r>
          </w:p>
          <w:p w:rsidR="00032C1B" w:rsidRDefault="00032C1B" w:rsidP="00D41820">
            <w:pPr>
              <w:jc w:val="both"/>
            </w:pPr>
          </w:p>
          <w:p w:rsidR="00032C1B" w:rsidRDefault="00032C1B" w:rsidP="00D41820">
            <w:pPr>
              <w:jc w:val="both"/>
            </w:pPr>
            <w:r>
              <w:t>It was agreed to consider the potential for a county wide or cluster project, JL offered to lead on this work and colleagues were encouraged to make contact to explore this potential further.</w:t>
            </w:r>
          </w:p>
          <w:p w:rsidR="00032C1B" w:rsidRDefault="00032C1B" w:rsidP="00D41820">
            <w:pPr>
              <w:jc w:val="both"/>
            </w:pPr>
          </w:p>
        </w:tc>
        <w:tc>
          <w:tcPr>
            <w:tcW w:w="992" w:type="dxa"/>
            <w:shd w:val="clear" w:color="auto" w:fill="auto"/>
          </w:tcPr>
          <w:p w:rsidR="0006363C" w:rsidRDefault="00032C1B" w:rsidP="00454E00">
            <w:pPr>
              <w:rPr>
                <w:b/>
              </w:rPr>
            </w:pPr>
            <w:r>
              <w:rPr>
                <w:b/>
              </w:rPr>
              <w:t>ASAP</w:t>
            </w:r>
          </w:p>
          <w:p w:rsidR="00032C1B" w:rsidRDefault="00032C1B" w:rsidP="00454E00">
            <w:pPr>
              <w:rPr>
                <w:b/>
              </w:rPr>
            </w:pPr>
          </w:p>
          <w:p w:rsidR="00032C1B" w:rsidRDefault="00032C1B" w:rsidP="00454E00">
            <w:pPr>
              <w:rPr>
                <w:b/>
              </w:rPr>
            </w:pPr>
          </w:p>
          <w:p w:rsidR="00032C1B" w:rsidRDefault="00032C1B" w:rsidP="00454E00">
            <w:pPr>
              <w:rPr>
                <w:b/>
              </w:rPr>
            </w:pPr>
          </w:p>
          <w:p w:rsidR="00032C1B" w:rsidRDefault="00032C1B" w:rsidP="00454E00">
            <w:pPr>
              <w:rPr>
                <w:b/>
              </w:rPr>
            </w:pPr>
          </w:p>
          <w:p w:rsidR="00032C1B" w:rsidRDefault="00032C1B" w:rsidP="00454E00">
            <w:pPr>
              <w:rPr>
                <w:b/>
              </w:rPr>
            </w:pPr>
          </w:p>
          <w:p w:rsidR="00032C1B" w:rsidRDefault="00032C1B" w:rsidP="00454E00">
            <w:pPr>
              <w:rPr>
                <w:b/>
              </w:rPr>
            </w:pPr>
          </w:p>
          <w:p w:rsidR="00032C1B" w:rsidRDefault="00032C1B" w:rsidP="00454E00">
            <w:pPr>
              <w:rPr>
                <w:b/>
              </w:rPr>
            </w:pPr>
          </w:p>
          <w:p w:rsidR="00032C1B" w:rsidRDefault="00032C1B" w:rsidP="00454E00">
            <w:pPr>
              <w:rPr>
                <w:b/>
              </w:rPr>
            </w:pPr>
          </w:p>
          <w:p w:rsidR="00032C1B" w:rsidRDefault="00032C1B" w:rsidP="00454E00">
            <w:pPr>
              <w:rPr>
                <w:b/>
              </w:rPr>
            </w:pPr>
          </w:p>
          <w:p w:rsidR="00032C1B" w:rsidRDefault="00032C1B" w:rsidP="00454E00">
            <w:pPr>
              <w:rPr>
                <w:b/>
              </w:rPr>
            </w:pPr>
          </w:p>
          <w:p w:rsidR="00032C1B" w:rsidRDefault="00032C1B" w:rsidP="00454E00">
            <w:pPr>
              <w:rPr>
                <w:b/>
              </w:rPr>
            </w:pPr>
          </w:p>
          <w:p w:rsidR="00032C1B" w:rsidRDefault="00032C1B" w:rsidP="00454E00">
            <w:pPr>
              <w:rPr>
                <w:b/>
              </w:rPr>
            </w:pPr>
          </w:p>
          <w:p w:rsidR="00032C1B" w:rsidRDefault="00032C1B" w:rsidP="00454E00">
            <w:pPr>
              <w:rPr>
                <w:b/>
              </w:rPr>
            </w:pPr>
          </w:p>
          <w:p w:rsidR="00032C1B" w:rsidRDefault="00032C1B" w:rsidP="00454E00">
            <w:pPr>
              <w:rPr>
                <w:b/>
              </w:rPr>
            </w:pPr>
          </w:p>
          <w:p w:rsidR="00032C1B" w:rsidRDefault="00032C1B" w:rsidP="00454E00">
            <w:pPr>
              <w:rPr>
                <w:b/>
              </w:rPr>
            </w:pPr>
          </w:p>
          <w:p w:rsidR="00032C1B" w:rsidRDefault="00032C1B" w:rsidP="00454E00">
            <w:pPr>
              <w:rPr>
                <w:b/>
              </w:rPr>
            </w:pPr>
          </w:p>
          <w:p w:rsidR="00032C1B" w:rsidRDefault="00032C1B" w:rsidP="00454E00">
            <w:pPr>
              <w:rPr>
                <w:b/>
              </w:rPr>
            </w:pPr>
          </w:p>
          <w:p w:rsidR="00032C1B" w:rsidRDefault="00032C1B" w:rsidP="00454E00">
            <w:pPr>
              <w:rPr>
                <w:b/>
              </w:rPr>
            </w:pPr>
            <w:r>
              <w:rPr>
                <w:b/>
              </w:rPr>
              <w:t>As approp</w:t>
            </w:r>
          </w:p>
        </w:tc>
        <w:tc>
          <w:tcPr>
            <w:tcW w:w="769" w:type="dxa"/>
            <w:shd w:val="clear" w:color="auto" w:fill="auto"/>
          </w:tcPr>
          <w:p w:rsidR="0006363C" w:rsidRDefault="00032C1B" w:rsidP="00454E00">
            <w:pPr>
              <w:rPr>
                <w:b/>
              </w:rPr>
            </w:pPr>
            <w:r>
              <w:rPr>
                <w:b/>
              </w:rPr>
              <w:t>RS</w:t>
            </w:r>
          </w:p>
          <w:p w:rsidR="00032C1B" w:rsidRDefault="00032C1B" w:rsidP="00454E00">
            <w:pPr>
              <w:rPr>
                <w:b/>
              </w:rPr>
            </w:pPr>
          </w:p>
          <w:p w:rsidR="00032C1B" w:rsidRDefault="00032C1B" w:rsidP="00454E00">
            <w:pPr>
              <w:rPr>
                <w:b/>
              </w:rPr>
            </w:pPr>
          </w:p>
          <w:p w:rsidR="00032C1B" w:rsidRDefault="00032C1B" w:rsidP="00454E00">
            <w:pPr>
              <w:rPr>
                <w:b/>
              </w:rPr>
            </w:pPr>
          </w:p>
          <w:p w:rsidR="00032C1B" w:rsidRDefault="00032C1B" w:rsidP="00454E00">
            <w:pPr>
              <w:rPr>
                <w:b/>
              </w:rPr>
            </w:pPr>
          </w:p>
          <w:p w:rsidR="00032C1B" w:rsidRDefault="00032C1B" w:rsidP="00454E00">
            <w:pPr>
              <w:rPr>
                <w:b/>
              </w:rPr>
            </w:pPr>
          </w:p>
          <w:p w:rsidR="00032C1B" w:rsidRDefault="00032C1B" w:rsidP="00454E00">
            <w:pPr>
              <w:rPr>
                <w:b/>
              </w:rPr>
            </w:pPr>
          </w:p>
          <w:p w:rsidR="00032C1B" w:rsidRDefault="00032C1B" w:rsidP="00454E00">
            <w:pPr>
              <w:rPr>
                <w:b/>
              </w:rPr>
            </w:pPr>
          </w:p>
          <w:p w:rsidR="00032C1B" w:rsidRDefault="00032C1B" w:rsidP="00454E00">
            <w:pPr>
              <w:rPr>
                <w:b/>
              </w:rPr>
            </w:pPr>
          </w:p>
          <w:p w:rsidR="00032C1B" w:rsidRDefault="00032C1B" w:rsidP="00454E00">
            <w:pPr>
              <w:rPr>
                <w:b/>
              </w:rPr>
            </w:pPr>
          </w:p>
          <w:p w:rsidR="00032C1B" w:rsidRDefault="00032C1B" w:rsidP="00454E00">
            <w:pPr>
              <w:rPr>
                <w:b/>
              </w:rPr>
            </w:pPr>
          </w:p>
          <w:p w:rsidR="00032C1B" w:rsidRDefault="00032C1B" w:rsidP="00454E00">
            <w:pPr>
              <w:rPr>
                <w:b/>
              </w:rPr>
            </w:pPr>
          </w:p>
          <w:p w:rsidR="00032C1B" w:rsidRDefault="00032C1B" w:rsidP="00454E00">
            <w:pPr>
              <w:rPr>
                <w:b/>
              </w:rPr>
            </w:pPr>
          </w:p>
          <w:p w:rsidR="00032C1B" w:rsidRDefault="00032C1B" w:rsidP="00454E00">
            <w:pPr>
              <w:rPr>
                <w:b/>
              </w:rPr>
            </w:pPr>
          </w:p>
          <w:p w:rsidR="00032C1B" w:rsidRDefault="00032C1B" w:rsidP="00454E00">
            <w:pPr>
              <w:rPr>
                <w:b/>
              </w:rPr>
            </w:pPr>
          </w:p>
          <w:p w:rsidR="00032C1B" w:rsidRDefault="00032C1B" w:rsidP="00454E00">
            <w:pPr>
              <w:rPr>
                <w:b/>
              </w:rPr>
            </w:pPr>
          </w:p>
          <w:p w:rsidR="00032C1B" w:rsidRDefault="00032C1B" w:rsidP="00454E00">
            <w:pPr>
              <w:rPr>
                <w:b/>
              </w:rPr>
            </w:pPr>
          </w:p>
          <w:p w:rsidR="00032C1B" w:rsidRDefault="00032C1B" w:rsidP="00454E00">
            <w:pPr>
              <w:rPr>
                <w:b/>
              </w:rPr>
            </w:pPr>
          </w:p>
          <w:p w:rsidR="00032C1B" w:rsidRDefault="00032C1B" w:rsidP="00454E00">
            <w:pPr>
              <w:rPr>
                <w:b/>
              </w:rPr>
            </w:pPr>
            <w:r>
              <w:rPr>
                <w:b/>
              </w:rPr>
              <w:t>JL/</w:t>
            </w:r>
          </w:p>
          <w:p w:rsidR="00032C1B" w:rsidRDefault="00032C1B" w:rsidP="00454E00">
            <w:pPr>
              <w:rPr>
                <w:b/>
              </w:rPr>
            </w:pPr>
            <w:r>
              <w:rPr>
                <w:b/>
              </w:rPr>
              <w:t>ALL</w:t>
            </w:r>
          </w:p>
        </w:tc>
        <w:tc>
          <w:tcPr>
            <w:tcW w:w="2208" w:type="dxa"/>
            <w:shd w:val="clear" w:color="auto" w:fill="auto"/>
          </w:tcPr>
          <w:p w:rsidR="00032C1B" w:rsidRDefault="00032C1B" w:rsidP="00DC208F">
            <w:pPr>
              <w:rPr>
                <w:color w:val="FF0000"/>
              </w:rPr>
            </w:pPr>
            <w:r>
              <w:rPr>
                <w:color w:val="FF0000"/>
              </w:rPr>
              <w:t>To share PDF presentation &amp; contact details</w:t>
            </w:r>
          </w:p>
          <w:p w:rsidR="00032C1B" w:rsidRDefault="00032C1B" w:rsidP="00DC208F">
            <w:pPr>
              <w:rPr>
                <w:color w:val="FF0000"/>
              </w:rPr>
            </w:pPr>
          </w:p>
          <w:p w:rsidR="00032C1B" w:rsidRDefault="00032C1B" w:rsidP="00DC208F">
            <w:pPr>
              <w:rPr>
                <w:color w:val="FF0000"/>
              </w:rPr>
            </w:pPr>
          </w:p>
          <w:p w:rsidR="00032C1B" w:rsidRDefault="00032C1B" w:rsidP="00DC208F">
            <w:pPr>
              <w:rPr>
                <w:color w:val="FF0000"/>
              </w:rPr>
            </w:pPr>
          </w:p>
          <w:p w:rsidR="00032C1B" w:rsidRDefault="00032C1B" w:rsidP="00DC208F">
            <w:pPr>
              <w:rPr>
                <w:color w:val="FF0000"/>
              </w:rPr>
            </w:pPr>
          </w:p>
          <w:p w:rsidR="00032C1B" w:rsidRDefault="00032C1B" w:rsidP="00DC208F">
            <w:pPr>
              <w:rPr>
                <w:color w:val="FF0000"/>
              </w:rPr>
            </w:pPr>
          </w:p>
          <w:p w:rsidR="00032C1B" w:rsidRDefault="00032C1B" w:rsidP="00DC208F">
            <w:pPr>
              <w:rPr>
                <w:color w:val="FF0000"/>
              </w:rPr>
            </w:pPr>
          </w:p>
          <w:p w:rsidR="00032C1B" w:rsidRDefault="00032C1B" w:rsidP="00DC208F">
            <w:pPr>
              <w:rPr>
                <w:color w:val="FF0000"/>
              </w:rPr>
            </w:pPr>
          </w:p>
          <w:p w:rsidR="00032C1B" w:rsidRDefault="00032C1B" w:rsidP="00DC208F">
            <w:pPr>
              <w:rPr>
                <w:color w:val="FF0000"/>
              </w:rPr>
            </w:pPr>
          </w:p>
          <w:p w:rsidR="00032C1B" w:rsidRDefault="00032C1B" w:rsidP="00DC208F">
            <w:pPr>
              <w:rPr>
                <w:color w:val="FF0000"/>
              </w:rPr>
            </w:pPr>
          </w:p>
          <w:p w:rsidR="00032C1B" w:rsidRDefault="00032C1B" w:rsidP="00DC208F">
            <w:pPr>
              <w:rPr>
                <w:color w:val="FF0000"/>
              </w:rPr>
            </w:pPr>
          </w:p>
          <w:p w:rsidR="00032C1B" w:rsidRDefault="00032C1B" w:rsidP="00DC208F">
            <w:pPr>
              <w:rPr>
                <w:color w:val="FF0000"/>
              </w:rPr>
            </w:pPr>
          </w:p>
          <w:p w:rsidR="00032C1B" w:rsidRDefault="00032C1B" w:rsidP="00DC208F">
            <w:pPr>
              <w:rPr>
                <w:color w:val="FF0000"/>
              </w:rPr>
            </w:pPr>
          </w:p>
          <w:p w:rsidR="00032C1B" w:rsidRDefault="00032C1B" w:rsidP="00DC208F">
            <w:pPr>
              <w:rPr>
                <w:color w:val="FF0000"/>
              </w:rPr>
            </w:pPr>
          </w:p>
          <w:p w:rsidR="00032C1B" w:rsidRDefault="00032C1B" w:rsidP="00DC208F">
            <w:pPr>
              <w:rPr>
                <w:color w:val="FF0000"/>
              </w:rPr>
            </w:pPr>
            <w:r>
              <w:rPr>
                <w:color w:val="FF0000"/>
              </w:rPr>
              <w:t>Colleagues to contact JL if keen to explore county wide opportunity</w:t>
            </w:r>
          </w:p>
        </w:tc>
      </w:tr>
      <w:tr w:rsidR="00490760" w:rsidRPr="00745BAC" w:rsidTr="00477A00">
        <w:tc>
          <w:tcPr>
            <w:tcW w:w="1702" w:type="dxa"/>
          </w:tcPr>
          <w:p w:rsidR="00490760" w:rsidRDefault="00F361D4" w:rsidP="009E49FB">
            <w:pPr>
              <w:rPr>
                <w:b/>
              </w:rPr>
            </w:pPr>
            <w:r>
              <w:rPr>
                <w:b/>
              </w:rPr>
              <w:t>KHG Info Brief</w:t>
            </w:r>
          </w:p>
        </w:tc>
        <w:tc>
          <w:tcPr>
            <w:tcW w:w="10206" w:type="dxa"/>
            <w:shd w:val="clear" w:color="auto" w:fill="auto"/>
          </w:tcPr>
          <w:p w:rsidR="004875E3" w:rsidRDefault="00477A00" w:rsidP="00B44664">
            <w:pPr>
              <w:jc w:val="both"/>
            </w:pPr>
            <w:r>
              <w:t xml:space="preserve">JE referenced the outcomes of the Kent Key Amnesty and the recovery of 6 properties, and the further investigations that have come about as a result of the amnesty.   </w:t>
            </w:r>
            <w:r w:rsidR="003F0255">
              <w:t>JE thanked colleagues for their support of the project and any future work that comes from this working group of KHG.</w:t>
            </w:r>
          </w:p>
          <w:p w:rsidR="003F0255" w:rsidRPr="00745BAC" w:rsidRDefault="003F0255" w:rsidP="00B44664">
            <w:pPr>
              <w:jc w:val="both"/>
            </w:pPr>
          </w:p>
        </w:tc>
        <w:tc>
          <w:tcPr>
            <w:tcW w:w="992" w:type="dxa"/>
            <w:shd w:val="clear" w:color="auto" w:fill="auto"/>
          </w:tcPr>
          <w:p w:rsidR="008D7AE8" w:rsidRPr="009179A4" w:rsidRDefault="008D7AE8" w:rsidP="00454E00">
            <w:pPr>
              <w:rPr>
                <w:b/>
              </w:rPr>
            </w:pPr>
          </w:p>
        </w:tc>
        <w:tc>
          <w:tcPr>
            <w:tcW w:w="769" w:type="dxa"/>
            <w:shd w:val="clear" w:color="auto" w:fill="auto"/>
          </w:tcPr>
          <w:p w:rsidR="009371B1" w:rsidRPr="007F161E" w:rsidRDefault="009371B1" w:rsidP="00B44664">
            <w:pPr>
              <w:rPr>
                <w:b/>
              </w:rPr>
            </w:pPr>
          </w:p>
        </w:tc>
        <w:tc>
          <w:tcPr>
            <w:tcW w:w="2208" w:type="dxa"/>
            <w:shd w:val="clear" w:color="auto" w:fill="auto"/>
          </w:tcPr>
          <w:p w:rsidR="00A64752" w:rsidRPr="00AA6FEA" w:rsidRDefault="00A64752" w:rsidP="00DC208F">
            <w:pPr>
              <w:rPr>
                <w:color w:val="FF0000"/>
              </w:rPr>
            </w:pPr>
          </w:p>
        </w:tc>
      </w:tr>
      <w:tr w:rsidR="00FE602C" w:rsidRPr="00745BAC" w:rsidTr="00477A00">
        <w:tc>
          <w:tcPr>
            <w:tcW w:w="1702" w:type="dxa"/>
          </w:tcPr>
          <w:p w:rsidR="00C873FB" w:rsidRPr="00DF5A67" w:rsidRDefault="00F361D4" w:rsidP="009E49FB">
            <w:pPr>
              <w:rPr>
                <w:rFonts w:ascii="Verdana" w:hAnsi="Verdana"/>
                <w:b/>
                <w:sz w:val="18"/>
                <w:szCs w:val="18"/>
              </w:rPr>
            </w:pPr>
            <w:r>
              <w:rPr>
                <w:rFonts w:ascii="Verdana" w:hAnsi="Verdana"/>
                <w:b/>
                <w:sz w:val="18"/>
                <w:szCs w:val="18"/>
              </w:rPr>
              <w:t>SELEP Update</w:t>
            </w:r>
          </w:p>
        </w:tc>
        <w:tc>
          <w:tcPr>
            <w:tcW w:w="10206" w:type="dxa"/>
            <w:shd w:val="clear" w:color="auto" w:fill="auto"/>
          </w:tcPr>
          <w:p w:rsidR="00477A00" w:rsidRDefault="00477A00" w:rsidP="00B44664">
            <w:pPr>
              <w:jc w:val="both"/>
            </w:pPr>
            <w:r>
              <w:t xml:space="preserve">BH updated on the SELEP – required by Government to produce a Local Industrial Strategy, a SELEP and Government document, a powerful strategic document, a reference point that Government will use.   Important that housing and development are strategic priority for the south east.  There is a range of different engagement </w:t>
            </w:r>
            <w:r>
              <w:lastRenderedPageBreak/>
              <w:t>to bring various sector representatives together to consider the development of Local Industrial Strategy, each LEP will need to decide what will be distinct about their individual Industrial Strategies.</w:t>
            </w:r>
          </w:p>
          <w:p w:rsidR="00477A00" w:rsidRDefault="00477A00" w:rsidP="00B44664">
            <w:pPr>
              <w:jc w:val="both"/>
            </w:pPr>
          </w:p>
          <w:p w:rsidR="00477A00" w:rsidRDefault="00477A00" w:rsidP="00477A00">
            <w:pPr>
              <w:jc w:val="both"/>
            </w:pPr>
            <w:r>
              <w:t xml:space="preserve">Within the SELEP area there are five of the original Garden Communities homes identified, there are now additional Garden Communities which have funding to bring forward, this helps to shape place making, community development and commercial element/activity.   </w:t>
            </w:r>
          </w:p>
          <w:p w:rsidR="00477A00" w:rsidRDefault="00477A00" w:rsidP="00477A00">
            <w:pPr>
              <w:jc w:val="both"/>
            </w:pPr>
          </w:p>
          <w:p w:rsidR="00477A00" w:rsidRDefault="00477A00" w:rsidP="00477A00">
            <w:pPr>
              <w:jc w:val="both"/>
            </w:pPr>
            <w:r>
              <w:t>Timetable for this Industrial Strategy is for sign off and endorsement by March 2020.</w:t>
            </w:r>
          </w:p>
          <w:p w:rsidR="00477A00" w:rsidRDefault="00477A00" w:rsidP="00477A00">
            <w:pPr>
              <w:jc w:val="both"/>
            </w:pPr>
            <w:r>
              <w:t xml:space="preserve">  </w:t>
            </w:r>
          </w:p>
        </w:tc>
        <w:tc>
          <w:tcPr>
            <w:tcW w:w="992" w:type="dxa"/>
            <w:shd w:val="clear" w:color="auto" w:fill="auto"/>
          </w:tcPr>
          <w:p w:rsidR="00F72A3A" w:rsidRPr="00C42CFA" w:rsidRDefault="00477A00" w:rsidP="00454E00">
            <w:pPr>
              <w:rPr>
                <w:b/>
              </w:rPr>
            </w:pPr>
            <w:r>
              <w:rPr>
                <w:b/>
              </w:rPr>
              <w:lastRenderedPageBreak/>
              <w:t xml:space="preserve">When </w:t>
            </w:r>
            <w:proofErr w:type="spellStart"/>
            <w:r>
              <w:rPr>
                <w:b/>
              </w:rPr>
              <w:t>req’d</w:t>
            </w:r>
            <w:proofErr w:type="spellEnd"/>
          </w:p>
        </w:tc>
        <w:tc>
          <w:tcPr>
            <w:tcW w:w="769" w:type="dxa"/>
            <w:shd w:val="clear" w:color="auto" w:fill="auto"/>
          </w:tcPr>
          <w:p w:rsidR="00F72A3A" w:rsidRPr="007F161E" w:rsidRDefault="00477A00" w:rsidP="00454E00">
            <w:pPr>
              <w:rPr>
                <w:b/>
              </w:rPr>
            </w:pPr>
            <w:r>
              <w:rPr>
                <w:b/>
              </w:rPr>
              <w:t>BH</w:t>
            </w:r>
          </w:p>
        </w:tc>
        <w:tc>
          <w:tcPr>
            <w:tcW w:w="2208" w:type="dxa"/>
            <w:shd w:val="clear" w:color="auto" w:fill="auto"/>
          </w:tcPr>
          <w:p w:rsidR="00F72A3A" w:rsidRPr="00AA6FEA" w:rsidRDefault="00477A00" w:rsidP="00A96EDB">
            <w:pPr>
              <w:rPr>
                <w:color w:val="FF0000"/>
              </w:rPr>
            </w:pPr>
            <w:r>
              <w:rPr>
                <w:color w:val="FF0000"/>
              </w:rPr>
              <w:t xml:space="preserve">BH to continue to share progress on the development of the </w:t>
            </w:r>
            <w:r>
              <w:rPr>
                <w:color w:val="FF0000"/>
              </w:rPr>
              <w:lastRenderedPageBreak/>
              <w:t>Local Industrial Strategy</w:t>
            </w:r>
          </w:p>
        </w:tc>
      </w:tr>
      <w:tr w:rsidR="00FE602C" w:rsidRPr="00745BAC" w:rsidTr="00477A00">
        <w:tc>
          <w:tcPr>
            <w:tcW w:w="1702" w:type="dxa"/>
          </w:tcPr>
          <w:p w:rsidR="00D03CE7" w:rsidRDefault="00F361D4" w:rsidP="009E49FB">
            <w:pPr>
              <w:rPr>
                <w:b/>
              </w:rPr>
            </w:pPr>
            <w:r>
              <w:rPr>
                <w:b/>
              </w:rPr>
              <w:lastRenderedPageBreak/>
              <w:t>KMHS Update</w:t>
            </w:r>
          </w:p>
        </w:tc>
        <w:tc>
          <w:tcPr>
            <w:tcW w:w="10206" w:type="dxa"/>
            <w:shd w:val="clear" w:color="auto" w:fill="auto"/>
          </w:tcPr>
          <w:p w:rsidR="009B660D" w:rsidRPr="005506F8" w:rsidRDefault="00477A00" w:rsidP="00B44664">
            <w:pPr>
              <w:jc w:val="both"/>
            </w:pPr>
            <w:r w:rsidRPr="005506F8">
              <w:t>RS provided an update to members about the progress of the draft Kent and Medway Housing Strategy. The consultation document has been shared across the members and wid</w:t>
            </w:r>
            <w:r w:rsidR="003F0255" w:rsidRPr="005506F8">
              <w:t>er partnerships/organisations.   The consultation on the strategy has been extended to the 30</w:t>
            </w:r>
            <w:r w:rsidR="003F0255" w:rsidRPr="005506F8">
              <w:rPr>
                <w:vertAlign w:val="superscript"/>
              </w:rPr>
              <w:t>th</w:t>
            </w:r>
            <w:r w:rsidR="003F0255" w:rsidRPr="005506F8">
              <w:t xml:space="preserve"> September 2019 at 5 pm, this has taken into account </w:t>
            </w:r>
            <w:r w:rsidR="005506F8" w:rsidRPr="005506F8">
              <w:t xml:space="preserve">feedback about the consultation taking place over August.   RS also updated that to date there has been feedback about the use of language when referencing planning objectives and for it to be clear within the strategy about what KHG can achieve as a group and what it can do in a facilitator capacity.  There has also been some suggestions about formatting, getting the right balance between content and the length of the overall document.  JE and RS urged all members to share widely, RP’s with Senior Management or Boards if possible.  To date a presentation on the draft has been shared with Kent Chief Executives and an update paper is going to Kent Leaders at the end of September.  Once feedback is collated there will be work to review and refresh the draft version and more information on this will be shared as soon as available.  RS thanked colleagues for support and feedback receive d to date.  JE also urged colleagues to </w:t>
            </w:r>
            <w:r w:rsidR="009B660D" w:rsidRPr="005506F8">
              <w:t xml:space="preserve">share back with </w:t>
            </w:r>
            <w:r w:rsidR="005506F8" w:rsidRPr="005506F8">
              <w:t xml:space="preserve">their </w:t>
            </w:r>
            <w:r w:rsidR="009B660D" w:rsidRPr="005506F8">
              <w:t xml:space="preserve">senior colleagues about the role </w:t>
            </w:r>
            <w:r w:rsidR="00F5601B" w:rsidRPr="005506F8">
              <w:t>of KHG</w:t>
            </w:r>
            <w:r w:rsidR="009B660D" w:rsidRPr="005506F8">
              <w:t xml:space="preserve"> and also the </w:t>
            </w:r>
            <w:r w:rsidR="005506F8" w:rsidRPr="005506F8">
              <w:t>value that the broad church membership brings.</w:t>
            </w:r>
          </w:p>
          <w:p w:rsidR="009B660D" w:rsidRPr="001975A8" w:rsidRDefault="009B660D" w:rsidP="00B44664">
            <w:pPr>
              <w:jc w:val="both"/>
              <w:rPr>
                <w:highlight w:val="yellow"/>
              </w:rPr>
            </w:pPr>
          </w:p>
        </w:tc>
        <w:tc>
          <w:tcPr>
            <w:tcW w:w="992" w:type="dxa"/>
            <w:shd w:val="clear" w:color="auto" w:fill="auto"/>
          </w:tcPr>
          <w:p w:rsidR="001C6788" w:rsidRPr="009179A4" w:rsidRDefault="001C6788" w:rsidP="00D41820">
            <w:pPr>
              <w:rPr>
                <w:b/>
              </w:rPr>
            </w:pPr>
          </w:p>
        </w:tc>
        <w:tc>
          <w:tcPr>
            <w:tcW w:w="769" w:type="dxa"/>
            <w:shd w:val="clear" w:color="auto" w:fill="auto"/>
          </w:tcPr>
          <w:p w:rsidR="00D42118" w:rsidRPr="007F161E" w:rsidRDefault="00D42118" w:rsidP="00EB5229">
            <w:pPr>
              <w:rPr>
                <w:b/>
              </w:rPr>
            </w:pPr>
          </w:p>
        </w:tc>
        <w:tc>
          <w:tcPr>
            <w:tcW w:w="2208" w:type="dxa"/>
            <w:shd w:val="clear" w:color="auto" w:fill="auto"/>
          </w:tcPr>
          <w:p w:rsidR="00EB5229" w:rsidRPr="00AA6FEA" w:rsidRDefault="00EB5229" w:rsidP="00EB5229">
            <w:pPr>
              <w:rPr>
                <w:color w:val="FF0000"/>
              </w:rPr>
            </w:pPr>
          </w:p>
        </w:tc>
      </w:tr>
      <w:tr w:rsidR="00FE602C" w:rsidRPr="00745BAC" w:rsidTr="00477A00">
        <w:trPr>
          <w:trHeight w:val="455"/>
        </w:trPr>
        <w:tc>
          <w:tcPr>
            <w:tcW w:w="1702" w:type="dxa"/>
          </w:tcPr>
          <w:p w:rsidR="00EB5229" w:rsidRDefault="00F361D4" w:rsidP="00D03CE7">
            <w:pPr>
              <w:rPr>
                <w:b/>
              </w:rPr>
            </w:pPr>
            <w:r>
              <w:rPr>
                <w:b/>
              </w:rPr>
              <w:t>AOB</w:t>
            </w:r>
          </w:p>
        </w:tc>
        <w:tc>
          <w:tcPr>
            <w:tcW w:w="10206" w:type="dxa"/>
            <w:shd w:val="clear" w:color="auto" w:fill="auto"/>
          </w:tcPr>
          <w:p w:rsidR="005D2475" w:rsidRDefault="009B660D" w:rsidP="00B44664">
            <w:pPr>
              <w:jc w:val="both"/>
            </w:pPr>
            <w:r>
              <w:t>JE thanked Deborah White for her contribution and support to Kent Housing Group over a number of years, D</w:t>
            </w:r>
            <w:r w:rsidR="001975A8">
              <w:t>eborah</w:t>
            </w:r>
            <w:r>
              <w:t xml:space="preserve"> is a great example of what an ac</w:t>
            </w:r>
            <w:r w:rsidR="001975A8">
              <w:t>tive member of KHG can achieve.  All colleagues wished Deborah well in her retirement.</w:t>
            </w:r>
          </w:p>
          <w:p w:rsidR="009B660D" w:rsidRDefault="009B660D" w:rsidP="00B44664">
            <w:pPr>
              <w:jc w:val="both"/>
            </w:pPr>
          </w:p>
          <w:p w:rsidR="009B660D" w:rsidRDefault="009B660D" w:rsidP="00B44664">
            <w:pPr>
              <w:jc w:val="both"/>
            </w:pPr>
            <w:r>
              <w:t xml:space="preserve">Initial preparation for Brexit, internally looking at how many staff can work off line, alongside the external factors such as the impact on transport infrastructure.  Also looking at reciprocal arrangements for staff unable to access their usual place of work. </w:t>
            </w:r>
            <w:r w:rsidR="001975A8">
              <w:t>CM advised that for Adult Social Care they have asked providers to approach as business continuity planning to ensure that workforce and services can continue and identify where they may be areas of concern or impact.</w:t>
            </w:r>
            <w:r w:rsidR="00E563E3">
              <w:t xml:space="preserve">  KCC are in conversation with LGA about mutual aid, specifically with regards to communications staff/resources and how to ensure that messages are shared in a timely manner.  There is no information about customs arrangements which will inform of the potential delays at the ports.</w:t>
            </w:r>
          </w:p>
          <w:p w:rsidR="00E563E3" w:rsidRDefault="00E563E3" w:rsidP="00B44664">
            <w:pPr>
              <w:jc w:val="both"/>
            </w:pPr>
          </w:p>
          <w:p w:rsidR="001975A8" w:rsidRDefault="00E563E3" w:rsidP="00B44664">
            <w:pPr>
              <w:jc w:val="both"/>
            </w:pPr>
            <w:r>
              <w:lastRenderedPageBreak/>
              <w:t xml:space="preserve">JL commented about advice from Government about the impact of Brexit and use of Government funding to assist those who have no recourse </w:t>
            </w:r>
          </w:p>
          <w:p w:rsidR="00E563E3" w:rsidRDefault="00E563E3" w:rsidP="00B44664">
            <w:pPr>
              <w:jc w:val="both"/>
            </w:pPr>
          </w:p>
          <w:p w:rsidR="00E563E3" w:rsidRDefault="00E563E3" w:rsidP="00B44664">
            <w:pPr>
              <w:jc w:val="both"/>
            </w:pPr>
            <w:r>
              <w:t>LH raised that colleagues and organisations need to consider arrangements around placing households and the supply of TA.</w:t>
            </w:r>
          </w:p>
          <w:p w:rsidR="001975A8" w:rsidRDefault="001975A8" w:rsidP="00B44664">
            <w:pPr>
              <w:jc w:val="both"/>
            </w:pPr>
          </w:p>
        </w:tc>
        <w:tc>
          <w:tcPr>
            <w:tcW w:w="992" w:type="dxa"/>
            <w:shd w:val="clear" w:color="auto" w:fill="auto"/>
          </w:tcPr>
          <w:p w:rsidR="009371B1" w:rsidRPr="00717518" w:rsidRDefault="009371B1" w:rsidP="00454E00">
            <w:pPr>
              <w:rPr>
                <w:b/>
              </w:rPr>
            </w:pPr>
          </w:p>
        </w:tc>
        <w:tc>
          <w:tcPr>
            <w:tcW w:w="769" w:type="dxa"/>
            <w:shd w:val="clear" w:color="auto" w:fill="auto"/>
          </w:tcPr>
          <w:p w:rsidR="009371B1" w:rsidRPr="007F161E" w:rsidRDefault="009371B1" w:rsidP="00454E00">
            <w:pPr>
              <w:rPr>
                <w:b/>
              </w:rPr>
            </w:pPr>
          </w:p>
        </w:tc>
        <w:tc>
          <w:tcPr>
            <w:tcW w:w="2208" w:type="dxa"/>
            <w:shd w:val="clear" w:color="auto" w:fill="auto"/>
          </w:tcPr>
          <w:p w:rsidR="009371B1" w:rsidRPr="00AA6FEA" w:rsidRDefault="009371B1" w:rsidP="00EB5229">
            <w:pPr>
              <w:rPr>
                <w:color w:val="FF0000"/>
              </w:rPr>
            </w:pPr>
          </w:p>
        </w:tc>
      </w:tr>
      <w:tr w:rsidR="00496859" w:rsidRPr="00745BAC" w:rsidTr="00477A00">
        <w:tc>
          <w:tcPr>
            <w:tcW w:w="1702" w:type="dxa"/>
          </w:tcPr>
          <w:p w:rsidR="00496859" w:rsidRDefault="00F5601B" w:rsidP="00D03CE7">
            <w:pPr>
              <w:rPr>
                <w:b/>
              </w:rPr>
            </w:pPr>
            <w:r>
              <w:rPr>
                <w:b/>
              </w:rPr>
              <w:t>Date of Next Meeting</w:t>
            </w:r>
          </w:p>
        </w:tc>
        <w:tc>
          <w:tcPr>
            <w:tcW w:w="10206" w:type="dxa"/>
            <w:shd w:val="clear" w:color="auto" w:fill="auto"/>
          </w:tcPr>
          <w:p w:rsidR="00F03221" w:rsidRDefault="00F5601B" w:rsidP="00E663E8">
            <w:r>
              <w:t>Wednesday 29</w:t>
            </w:r>
            <w:r w:rsidRPr="00F5601B">
              <w:rPr>
                <w:vertAlign w:val="superscript"/>
              </w:rPr>
              <w:t>th</w:t>
            </w:r>
            <w:r>
              <w:t xml:space="preserve"> January 2019, Venue to be confirmed</w:t>
            </w:r>
          </w:p>
        </w:tc>
        <w:tc>
          <w:tcPr>
            <w:tcW w:w="992" w:type="dxa"/>
            <w:shd w:val="clear" w:color="auto" w:fill="auto"/>
          </w:tcPr>
          <w:p w:rsidR="009371B1" w:rsidRPr="00717518" w:rsidRDefault="00F5601B" w:rsidP="00454E00">
            <w:pPr>
              <w:rPr>
                <w:b/>
              </w:rPr>
            </w:pPr>
            <w:r>
              <w:rPr>
                <w:b/>
              </w:rPr>
              <w:t>ASAP</w:t>
            </w:r>
          </w:p>
        </w:tc>
        <w:tc>
          <w:tcPr>
            <w:tcW w:w="769" w:type="dxa"/>
            <w:shd w:val="clear" w:color="auto" w:fill="auto"/>
          </w:tcPr>
          <w:p w:rsidR="009371B1" w:rsidRDefault="00F5601B" w:rsidP="00454E00">
            <w:pPr>
              <w:rPr>
                <w:b/>
              </w:rPr>
            </w:pPr>
            <w:r>
              <w:rPr>
                <w:b/>
              </w:rPr>
              <w:t>RS</w:t>
            </w:r>
          </w:p>
        </w:tc>
        <w:tc>
          <w:tcPr>
            <w:tcW w:w="2208" w:type="dxa"/>
            <w:shd w:val="clear" w:color="auto" w:fill="auto"/>
          </w:tcPr>
          <w:p w:rsidR="009371B1" w:rsidRPr="00D95B8C" w:rsidRDefault="00F5601B" w:rsidP="00B44664">
            <w:pPr>
              <w:rPr>
                <w:b/>
                <w:color w:val="FF0000"/>
              </w:rPr>
            </w:pPr>
            <w:r>
              <w:rPr>
                <w:b/>
                <w:color w:val="FF0000"/>
              </w:rPr>
              <w:t xml:space="preserve">To share meeting information as available </w:t>
            </w:r>
          </w:p>
        </w:tc>
      </w:tr>
    </w:tbl>
    <w:p w:rsidR="00F418B5" w:rsidRDefault="00F418B5" w:rsidP="00E21560">
      <w:pPr>
        <w:rPr>
          <w:b/>
        </w:rPr>
      </w:pPr>
    </w:p>
    <w:p w:rsidR="00443F82" w:rsidRPr="00DF015F" w:rsidRDefault="00F418B5" w:rsidP="00E21560">
      <w:pPr>
        <w:rPr>
          <w:b/>
        </w:rPr>
      </w:pPr>
      <w:r>
        <w:rPr>
          <w:b/>
        </w:rPr>
        <w:t>Thanks noted to</w:t>
      </w:r>
      <w:r w:rsidR="00B44664">
        <w:rPr>
          <w:b/>
        </w:rPr>
        <w:t xml:space="preserve"> </w:t>
      </w:r>
      <w:r w:rsidR="00F5601B">
        <w:rPr>
          <w:b/>
        </w:rPr>
        <w:t>Thanet DC for hosting KHG today</w:t>
      </w:r>
    </w:p>
    <w:sectPr w:rsidR="00443F82" w:rsidRPr="00DF015F" w:rsidSect="0016325A">
      <w:headerReference w:type="even" r:id="rId8"/>
      <w:headerReference w:type="default" r:id="rId9"/>
      <w:footerReference w:type="even" r:id="rId10"/>
      <w:footerReference w:type="default" r:id="rId11"/>
      <w:headerReference w:type="first" r:id="rId12"/>
      <w:footerReference w:type="first" r:id="rId1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255" w:rsidRDefault="003F0255" w:rsidP="001D0582">
      <w:pPr>
        <w:spacing w:after="0" w:line="240" w:lineRule="auto"/>
      </w:pPr>
      <w:r>
        <w:separator/>
      </w:r>
    </w:p>
  </w:endnote>
  <w:endnote w:type="continuationSeparator" w:id="0">
    <w:p w:rsidR="003F0255" w:rsidRDefault="003F0255"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55" w:rsidRDefault="003F0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3F0255" w:rsidRDefault="003F0255">
        <w:pPr>
          <w:pStyle w:val="Footer"/>
          <w:jc w:val="center"/>
        </w:pPr>
        <w:r>
          <w:fldChar w:fldCharType="begin"/>
        </w:r>
        <w:r>
          <w:instrText xml:space="preserve"> PAGE   \* MERGEFORMAT </w:instrText>
        </w:r>
        <w:r>
          <w:fldChar w:fldCharType="separate"/>
        </w:r>
        <w:r w:rsidR="00A21353">
          <w:rPr>
            <w:noProof/>
          </w:rPr>
          <w:t>4</w:t>
        </w:r>
        <w:r>
          <w:rPr>
            <w:noProof/>
          </w:rPr>
          <w:fldChar w:fldCharType="end"/>
        </w:r>
      </w:p>
    </w:sdtContent>
  </w:sdt>
  <w:p w:rsidR="003F0255" w:rsidRDefault="003F02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55" w:rsidRDefault="003F0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255" w:rsidRDefault="003F0255" w:rsidP="001D0582">
      <w:pPr>
        <w:spacing w:after="0" w:line="240" w:lineRule="auto"/>
      </w:pPr>
      <w:r>
        <w:separator/>
      </w:r>
    </w:p>
  </w:footnote>
  <w:footnote w:type="continuationSeparator" w:id="0">
    <w:p w:rsidR="003F0255" w:rsidRDefault="003F0255"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55" w:rsidRDefault="003F0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55" w:rsidRPr="00264669" w:rsidRDefault="00A21353">
    <w:pPr>
      <w:pStyle w:val="Header"/>
      <w:rPr>
        <w:b/>
      </w:rPr>
    </w:pPr>
    <w:sdt>
      <w:sdtPr>
        <w:rPr>
          <w:b/>
        </w:rPr>
        <w:id w:val="-1219733894"/>
        <w:docPartObj>
          <w:docPartGallery w:val="Watermarks"/>
          <w:docPartUnique/>
        </w:docPartObj>
      </w:sdtPr>
      <w:sdtEnd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4097"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F0255">
      <w:rPr>
        <w:b/>
      </w:rPr>
      <w:t>KHG Meeting Notes 18</w:t>
    </w:r>
    <w:r w:rsidR="003F0255" w:rsidRPr="00B44664">
      <w:rPr>
        <w:b/>
        <w:vertAlign w:val="superscript"/>
      </w:rPr>
      <w:t>th</w:t>
    </w:r>
    <w:r w:rsidR="003F0255">
      <w:rPr>
        <w:b/>
      </w:rPr>
      <w:t xml:space="preserve"> September 2019, Council Chamber, Thanet District Council, Margate, Kent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55" w:rsidRDefault="003F0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B239F"/>
    <w:multiLevelType w:val="hybridMultilevel"/>
    <w:tmpl w:val="6CF68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B08B9"/>
    <w:multiLevelType w:val="hybridMultilevel"/>
    <w:tmpl w:val="B210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20283"/>
    <w:rsid w:val="00020716"/>
    <w:rsid w:val="00021BCC"/>
    <w:rsid w:val="000279B1"/>
    <w:rsid w:val="00031DE3"/>
    <w:rsid w:val="00031DE6"/>
    <w:rsid w:val="00032C1B"/>
    <w:rsid w:val="00040551"/>
    <w:rsid w:val="00052289"/>
    <w:rsid w:val="000564F4"/>
    <w:rsid w:val="00061235"/>
    <w:rsid w:val="000624FA"/>
    <w:rsid w:val="00062F79"/>
    <w:rsid w:val="0006363C"/>
    <w:rsid w:val="00064A20"/>
    <w:rsid w:val="000778DD"/>
    <w:rsid w:val="00080CC5"/>
    <w:rsid w:val="0008129C"/>
    <w:rsid w:val="00081C12"/>
    <w:rsid w:val="00085473"/>
    <w:rsid w:val="000871E7"/>
    <w:rsid w:val="00087D03"/>
    <w:rsid w:val="00091CE3"/>
    <w:rsid w:val="00093115"/>
    <w:rsid w:val="00093269"/>
    <w:rsid w:val="00094D7E"/>
    <w:rsid w:val="0009691C"/>
    <w:rsid w:val="000A7E2C"/>
    <w:rsid w:val="000B4C89"/>
    <w:rsid w:val="000B54B8"/>
    <w:rsid w:val="000B5B47"/>
    <w:rsid w:val="000B6E7D"/>
    <w:rsid w:val="000C31B1"/>
    <w:rsid w:val="000C5D16"/>
    <w:rsid w:val="000C680D"/>
    <w:rsid w:val="000D1026"/>
    <w:rsid w:val="000D2F8E"/>
    <w:rsid w:val="000D3173"/>
    <w:rsid w:val="000E1ABA"/>
    <w:rsid w:val="000E6197"/>
    <w:rsid w:val="000F4EEA"/>
    <w:rsid w:val="000F6F35"/>
    <w:rsid w:val="0010119D"/>
    <w:rsid w:val="00103E4A"/>
    <w:rsid w:val="00104544"/>
    <w:rsid w:val="00105208"/>
    <w:rsid w:val="00106D8C"/>
    <w:rsid w:val="0011025C"/>
    <w:rsid w:val="00110C77"/>
    <w:rsid w:val="00111B2B"/>
    <w:rsid w:val="0011261D"/>
    <w:rsid w:val="00112C6A"/>
    <w:rsid w:val="00115F2B"/>
    <w:rsid w:val="00122697"/>
    <w:rsid w:val="00124F1C"/>
    <w:rsid w:val="001262F3"/>
    <w:rsid w:val="0012715A"/>
    <w:rsid w:val="00130227"/>
    <w:rsid w:val="00130B92"/>
    <w:rsid w:val="001325F9"/>
    <w:rsid w:val="00132C9C"/>
    <w:rsid w:val="00136005"/>
    <w:rsid w:val="00141109"/>
    <w:rsid w:val="00141F91"/>
    <w:rsid w:val="00146945"/>
    <w:rsid w:val="00147F95"/>
    <w:rsid w:val="00150D2E"/>
    <w:rsid w:val="00150D91"/>
    <w:rsid w:val="0015139D"/>
    <w:rsid w:val="00156EA5"/>
    <w:rsid w:val="00160B13"/>
    <w:rsid w:val="00161B9E"/>
    <w:rsid w:val="0016325A"/>
    <w:rsid w:val="00164913"/>
    <w:rsid w:val="00165673"/>
    <w:rsid w:val="00176801"/>
    <w:rsid w:val="00181F41"/>
    <w:rsid w:val="00182B57"/>
    <w:rsid w:val="00182CF3"/>
    <w:rsid w:val="00185168"/>
    <w:rsid w:val="00187F84"/>
    <w:rsid w:val="001975A8"/>
    <w:rsid w:val="00197BCD"/>
    <w:rsid w:val="001A0526"/>
    <w:rsid w:val="001A1975"/>
    <w:rsid w:val="001A2367"/>
    <w:rsid w:val="001B142B"/>
    <w:rsid w:val="001B1715"/>
    <w:rsid w:val="001B4C9F"/>
    <w:rsid w:val="001B74E2"/>
    <w:rsid w:val="001B7F2E"/>
    <w:rsid w:val="001C0F9A"/>
    <w:rsid w:val="001C1D02"/>
    <w:rsid w:val="001C48C5"/>
    <w:rsid w:val="001C50C4"/>
    <w:rsid w:val="001C6788"/>
    <w:rsid w:val="001D0582"/>
    <w:rsid w:val="001D5A29"/>
    <w:rsid w:val="001D78C0"/>
    <w:rsid w:val="001E1A44"/>
    <w:rsid w:val="001E4B9E"/>
    <w:rsid w:val="001E7873"/>
    <w:rsid w:val="001F00E7"/>
    <w:rsid w:val="001F399C"/>
    <w:rsid w:val="001F406A"/>
    <w:rsid w:val="001F687A"/>
    <w:rsid w:val="00200B68"/>
    <w:rsid w:val="002036A2"/>
    <w:rsid w:val="002147E0"/>
    <w:rsid w:val="0022435F"/>
    <w:rsid w:val="00231434"/>
    <w:rsid w:val="00252846"/>
    <w:rsid w:val="00252D55"/>
    <w:rsid w:val="002550E8"/>
    <w:rsid w:val="002568E0"/>
    <w:rsid w:val="002615C8"/>
    <w:rsid w:val="00261D00"/>
    <w:rsid w:val="00261DD6"/>
    <w:rsid w:val="00264669"/>
    <w:rsid w:val="002664D0"/>
    <w:rsid w:val="0027373A"/>
    <w:rsid w:val="002742D2"/>
    <w:rsid w:val="0027468E"/>
    <w:rsid w:val="00274D16"/>
    <w:rsid w:val="00276FDC"/>
    <w:rsid w:val="00282AB7"/>
    <w:rsid w:val="00284C0C"/>
    <w:rsid w:val="00285E0B"/>
    <w:rsid w:val="00293C7B"/>
    <w:rsid w:val="0029660B"/>
    <w:rsid w:val="002A366D"/>
    <w:rsid w:val="002B04EC"/>
    <w:rsid w:val="002B0598"/>
    <w:rsid w:val="002B184E"/>
    <w:rsid w:val="002B5DFA"/>
    <w:rsid w:val="002C467D"/>
    <w:rsid w:val="002C4971"/>
    <w:rsid w:val="002D03A5"/>
    <w:rsid w:val="002D0D5E"/>
    <w:rsid w:val="002D7698"/>
    <w:rsid w:val="002E4E2D"/>
    <w:rsid w:val="002F5226"/>
    <w:rsid w:val="00311C62"/>
    <w:rsid w:val="00313019"/>
    <w:rsid w:val="003144E8"/>
    <w:rsid w:val="00315121"/>
    <w:rsid w:val="003205E8"/>
    <w:rsid w:val="00321BA4"/>
    <w:rsid w:val="00323A19"/>
    <w:rsid w:val="003251FA"/>
    <w:rsid w:val="0033294D"/>
    <w:rsid w:val="003354F5"/>
    <w:rsid w:val="00343371"/>
    <w:rsid w:val="0034724C"/>
    <w:rsid w:val="00347D3D"/>
    <w:rsid w:val="00347FF5"/>
    <w:rsid w:val="003502C4"/>
    <w:rsid w:val="003561E6"/>
    <w:rsid w:val="003651B3"/>
    <w:rsid w:val="003767FE"/>
    <w:rsid w:val="003805C2"/>
    <w:rsid w:val="00387E78"/>
    <w:rsid w:val="003900EE"/>
    <w:rsid w:val="00391561"/>
    <w:rsid w:val="00393BA4"/>
    <w:rsid w:val="0039592E"/>
    <w:rsid w:val="00395DB1"/>
    <w:rsid w:val="003A12E5"/>
    <w:rsid w:val="003A72C3"/>
    <w:rsid w:val="003B0473"/>
    <w:rsid w:val="003C2892"/>
    <w:rsid w:val="003C3800"/>
    <w:rsid w:val="003C3BFF"/>
    <w:rsid w:val="003C4E1E"/>
    <w:rsid w:val="003C5FDA"/>
    <w:rsid w:val="003C7852"/>
    <w:rsid w:val="003D7D3A"/>
    <w:rsid w:val="003E3984"/>
    <w:rsid w:val="003F0255"/>
    <w:rsid w:val="003F1B70"/>
    <w:rsid w:val="003F4B9D"/>
    <w:rsid w:val="003F5CB0"/>
    <w:rsid w:val="004000CA"/>
    <w:rsid w:val="00401453"/>
    <w:rsid w:val="00404216"/>
    <w:rsid w:val="004140BD"/>
    <w:rsid w:val="00417A80"/>
    <w:rsid w:val="004241B5"/>
    <w:rsid w:val="0042628B"/>
    <w:rsid w:val="0042683E"/>
    <w:rsid w:val="00426A73"/>
    <w:rsid w:val="00427AC7"/>
    <w:rsid w:val="00427CA9"/>
    <w:rsid w:val="00427D3E"/>
    <w:rsid w:val="0043172B"/>
    <w:rsid w:val="00432F07"/>
    <w:rsid w:val="00433611"/>
    <w:rsid w:val="00443C16"/>
    <w:rsid w:val="00443F82"/>
    <w:rsid w:val="00445779"/>
    <w:rsid w:val="00445815"/>
    <w:rsid w:val="004467BA"/>
    <w:rsid w:val="00451A7A"/>
    <w:rsid w:val="004524B8"/>
    <w:rsid w:val="00452987"/>
    <w:rsid w:val="00453E3F"/>
    <w:rsid w:val="00454E00"/>
    <w:rsid w:val="004558CD"/>
    <w:rsid w:val="00462B1D"/>
    <w:rsid w:val="00471DD9"/>
    <w:rsid w:val="00477A00"/>
    <w:rsid w:val="00477AFD"/>
    <w:rsid w:val="00486834"/>
    <w:rsid w:val="004875E3"/>
    <w:rsid w:val="00487A05"/>
    <w:rsid w:val="00490036"/>
    <w:rsid w:val="00490760"/>
    <w:rsid w:val="0049191F"/>
    <w:rsid w:val="00492A6C"/>
    <w:rsid w:val="00493100"/>
    <w:rsid w:val="004964E9"/>
    <w:rsid w:val="00496859"/>
    <w:rsid w:val="004A19A8"/>
    <w:rsid w:val="004A6165"/>
    <w:rsid w:val="004B0937"/>
    <w:rsid w:val="004B0BAA"/>
    <w:rsid w:val="004B6795"/>
    <w:rsid w:val="004B7489"/>
    <w:rsid w:val="004B75C4"/>
    <w:rsid w:val="004C0DFB"/>
    <w:rsid w:val="004C57A0"/>
    <w:rsid w:val="004C5AF0"/>
    <w:rsid w:val="004C7313"/>
    <w:rsid w:val="004D0171"/>
    <w:rsid w:val="004D1D2D"/>
    <w:rsid w:val="004D577A"/>
    <w:rsid w:val="004F12C7"/>
    <w:rsid w:val="004F3279"/>
    <w:rsid w:val="00511E5E"/>
    <w:rsid w:val="00514165"/>
    <w:rsid w:val="00521852"/>
    <w:rsid w:val="0052288E"/>
    <w:rsid w:val="005233B2"/>
    <w:rsid w:val="00527061"/>
    <w:rsid w:val="0053334D"/>
    <w:rsid w:val="005427B0"/>
    <w:rsid w:val="00543109"/>
    <w:rsid w:val="00543D2C"/>
    <w:rsid w:val="00545544"/>
    <w:rsid w:val="005462D1"/>
    <w:rsid w:val="005506F8"/>
    <w:rsid w:val="00552F8D"/>
    <w:rsid w:val="00565E65"/>
    <w:rsid w:val="00572CEB"/>
    <w:rsid w:val="005755F2"/>
    <w:rsid w:val="00576705"/>
    <w:rsid w:val="00576D19"/>
    <w:rsid w:val="00582AE3"/>
    <w:rsid w:val="005866D1"/>
    <w:rsid w:val="005917CC"/>
    <w:rsid w:val="00592AC2"/>
    <w:rsid w:val="00596291"/>
    <w:rsid w:val="005A05D2"/>
    <w:rsid w:val="005A31FF"/>
    <w:rsid w:val="005A7FF7"/>
    <w:rsid w:val="005B0792"/>
    <w:rsid w:val="005B0F8F"/>
    <w:rsid w:val="005B28F8"/>
    <w:rsid w:val="005B495B"/>
    <w:rsid w:val="005B7F31"/>
    <w:rsid w:val="005C7995"/>
    <w:rsid w:val="005D1AB8"/>
    <w:rsid w:val="005D1DB6"/>
    <w:rsid w:val="005D2475"/>
    <w:rsid w:val="005D5435"/>
    <w:rsid w:val="005D68EF"/>
    <w:rsid w:val="005F3904"/>
    <w:rsid w:val="005F4F00"/>
    <w:rsid w:val="005F7A78"/>
    <w:rsid w:val="00601117"/>
    <w:rsid w:val="006029C3"/>
    <w:rsid w:val="0060494E"/>
    <w:rsid w:val="006059D2"/>
    <w:rsid w:val="00607F00"/>
    <w:rsid w:val="0061242E"/>
    <w:rsid w:val="00614883"/>
    <w:rsid w:val="0061520B"/>
    <w:rsid w:val="006167D1"/>
    <w:rsid w:val="006202F2"/>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369A"/>
    <w:rsid w:val="006775AA"/>
    <w:rsid w:val="0068214F"/>
    <w:rsid w:val="00686325"/>
    <w:rsid w:val="00692887"/>
    <w:rsid w:val="00695733"/>
    <w:rsid w:val="0069608E"/>
    <w:rsid w:val="00696E2D"/>
    <w:rsid w:val="006A0F46"/>
    <w:rsid w:val="006A3F16"/>
    <w:rsid w:val="006A6BF9"/>
    <w:rsid w:val="006C2E89"/>
    <w:rsid w:val="006C2EBB"/>
    <w:rsid w:val="006C34AE"/>
    <w:rsid w:val="006C456B"/>
    <w:rsid w:val="006C635E"/>
    <w:rsid w:val="006D44F0"/>
    <w:rsid w:val="006D52CE"/>
    <w:rsid w:val="006D5504"/>
    <w:rsid w:val="006D6D36"/>
    <w:rsid w:val="006E2643"/>
    <w:rsid w:val="006E6797"/>
    <w:rsid w:val="006E7F9D"/>
    <w:rsid w:val="006F190F"/>
    <w:rsid w:val="006F33CE"/>
    <w:rsid w:val="006F41D3"/>
    <w:rsid w:val="006F7B7C"/>
    <w:rsid w:val="007029C8"/>
    <w:rsid w:val="00707E57"/>
    <w:rsid w:val="00710536"/>
    <w:rsid w:val="00714B07"/>
    <w:rsid w:val="007156DF"/>
    <w:rsid w:val="00717518"/>
    <w:rsid w:val="0071764F"/>
    <w:rsid w:val="007330A4"/>
    <w:rsid w:val="00734603"/>
    <w:rsid w:val="00734D65"/>
    <w:rsid w:val="00735129"/>
    <w:rsid w:val="00736BBC"/>
    <w:rsid w:val="00736D0D"/>
    <w:rsid w:val="00737FBB"/>
    <w:rsid w:val="00741E23"/>
    <w:rsid w:val="00745BAC"/>
    <w:rsid w:val="007466C4"/>
    <w:rsid w:val="00750F98"/>
    <w:rsid w:val="007541FB"/>
    <w:rsid w:val="00754D2D"/>
    <w:rsid w:val="00755D98"/>
    <w:rsid w:val="0075752D"/>
    <w:rsid w:val="007634E0"/>
    <w:rsid w:val="007652BA"/>
    <w:rsid w:val="007679D1"/>
    <w:rsid w:val="0077139C"/>
    <w:rsid w:val="0077311A"/>
    <w:rsid w:val="00773CE1"/>
    <w:rsid w:val="00780F39"/>
    <w:rsid w:val="00780F97"/>
    <w:rsid w:val="007849CE"/>
    <w:rsid w:val="00786C96"/>
    <w:rsid w:val="00791545"/>
    <w:rsid w:val="007925A7"/>
    <w:rsid w:val="00794ADB"/>
    <w:rsid w:val="007965F9"/>
    <w:rsid w:val="00796AB2"/>
    <w:rsid w:val="00797CC0"/>
    <w:rsid w:val="007A2E9A"/>
    <w:rsid w:val="007A5545"/>
    <w:rsid w:val="007A6841"/>
    <w:rsid w:val="007A7E26"/>
    <w:rsid w:val="007B17A7"/>
    <w:rsid w:val="007B1A6D"/>
    <w:rsid w:val="007B2603"/>
    <w:rsid w:val="007B323F"/>
    <w:rsid w:val="007C2A71"/>
    <w:rsid w:val="007C47C8"/>
    <w:rsid w:val="007D12F2"/>
    <w:rsid w:val="007D3984"/>
    <w:rsid w:val="007D68B3"/>
    <w:rsid w:val="007E10D1"/>
    <w:rsid w:val="007F0D66"/>
    <w:rsid w:val="007F161E"/>
    <w:rsid w:val="007F6D5D"/>
    <w:rsid w:val="00800E06"/>
    <w:rsid w:val="0080322B"/>
    <w:rsid w:val="008032AC"/>
    <w:rsid w:val="00803549"/>
    <w:rsid w:val="008146CD"/>
    <w:rsid w:val="00817160"/>
    <w:rsid w:val="00821D19"/>
    <w:rsid w:val="008319F8"/>
    <w:rsid w:val="00831B42"/>
    <w:rsid w:val="008320FE"/>
    <w:rsid w:val="008328DA"/>
    <w:rsid w:val="0083542E"/>
    <w:rsid w:val="00836724"/>
    <w:rsid w:val="00840B44"/>
    <w:rsid w:val="00842D44"/>
    <w:rsid w:val="00843F80"/>
    <w:rsid w:val="008618C7"/>
    <w:rsid w:val="0086276E"/>
    <w:rsid w:val="00862B63"/>
    <w:rsid w:val="00863010"/>
    <w:rsid w:val="008669A9"/>
    <w:rsid w:val="0087181E"/>
    <w:rsid w:val="00871A17"/>
    <w:rsid w:val="008741B9"/>
    <w:rsid w:val="0088213F"/>
    <w:rsid w:val="00883DB8"/>
    <w:rsid w:val="0088401D"/>
    <w:rsid w:val="00884433"/>
    <w:rsid w:val="00887E4E"/>
    <w:rsid w:val="0089332E"/>
    <w:rsid w:val="0089337E"/>
    <w:rsid w:val="00895424"/>
    <w:rsid w:val="008A472D"/>
    <w:rsid w:val="008A4FAD"/>
    <w:rsid w:val="008B2794"/>
    <w:rsid w:val="008B438C"/>
    <w:rsid w:val="008B7426"/>
    <w:rsid w:val="008C0BF7"/>
    <w:rsid w:val="008C704F"/>
    <w:rsid w:val="008D2124"/>
    <w:rsid w:val="008D33AE"/>
    <w:rsid w:val="008D4BE9"/>
    <w:rsid w:val="008D7427"/>
    <w:rsid w:val="008D7AE8"/>
    <w:rsid w:val="008E7E63"/>
    <w:rsid w:val="008F2A5E"/>
    <w:rsid w:val="008F4007"/>
    <w:rsid w:val="008F58E7"/>
    <w:rsid w:val="008F621A"/>
    <w:rsid w:val="008F7807"/>
    <w:rsid w:val="008F7F4C"/>
    <w:rsid w:val="009010A3"/>
    <w:rsid w:val="00905C95"/>
    <w:rsid w:val="00911690"/>
    <w:rsid w:val="00915066"/>
    <w:rsid w:val="00915E03"/>
    <w:rsid w:val="009179A4"/>
    <w:rsid w:val="00921F5E"/>
    <w:rsid w:val="009231EE"/>
    <w:rsid w:val="009371B1"/>
    <w:rsid w:val="009420AC"/>
    <w:rsid w:val="009433A2"/>
    <w:rsid w:val="0094414E"/>
    <w:rsid w:val="00945079"/>
    <w:rsid w:val="00960571"/>
    <w:rsid w:val="00964A13"/>
    <w:rsid w:val="00965254"/>
    <w:rsid w:val="00967D9D"/>
    <w:rsid w:val="00976E41"/>
    <w:rsid w:val="00981A4C"/>
    <w:rsid w:val="0098697A"/>
    <w:rsid w:val="00986BBC"/>
    <w:rsid w:val="00990F9A"/>
    <w:rsid w:val="009919C8"/>
    <w:rsid w:val="00992028"/>
    <w:rsid w:val="00996975"/>
    <w:rsid w:val="009A08A6"/>
    <w:rsid w:val="009B03DB"/>
    <w:rsid w:val="009B60B4"/>
    <w:rsid w:val="009B660D"/>
    <w:rsid w:val="009C548C"/>
    <w:rsid w:val="009C5ABD"/>
    <w:rsid w:val="009D22D0"/>
    <w:rsid w:val="009D3F0E"/>
    <w:rsid w:val="009D4A4C"/>
    <w:rsid w:val="009D4DD9"/>
    <w:rsid w:val="009D65BB"/>
    <w:rsid w:val="009E1DCB"/>
    <w:rsid w:val="009E49FB"/>
    <w:rsid w:val="009E732B"/>
    <w:rsid w:val="009F2480"/>
    <w:rsid w:val="00A01750"/>
    <w:rsid w:val="00A02477"/>
    <w:rsid w:val="00A041DA"/>
    <w:rsid w:val="00A05E24"/>
    <w:rsid w:val="00A1338E"/>
    <w:rsid w:val="00A21353"/>
    <w:rsid w:val="00A2502B"/>
    <w:rsid w:val="00A25C3D"/>
    <w:rsid w:val="00A3083F"/>
    <w:rsid w:val="00A31FFE"/>
    <w:rsid w:val="00A3360E"/>
    <w:rsid w:val="00A41B69"/>
    <w:rsid w:val="00A444E4"/>
    <w:rsid w:val="00A452BE"/>
    <w:rsid w:val="00A52DBB"/>
    <w:rsid w:val="00A5743A"/>
    <w:rsid w:val="00A64210"/>
    <w:rsid w:val="00A64732"/>
    <w:rsid w:val="00A64752"/>
    <w:rsid w:val="00A67D6B"/>
    <w:rsid w:val="00A74FDB"/>
    <w:rsid w:val="00A75210"/>
    <w:rsid w:val="00A87C6C"/>
    <w:rsid w:val="00A91826"/>
    <w:rsid w:val="00A9440C"/>
    <w:rsid w:val="00A94617"/>
    <w:rsid w:val="00A96EDB"/>
    <w:rsid w:val="00AA01F4"/>
    <w:rsid w:val="00AA0992"/>
    <w:rsid w:val="00AA3F5E"/>
    <w:rsid w:val="00AA3FD7"/>
    <w:rsid w:val="00AA45A1"/>
    <w:rsid w:val="00AA49A4"/>
    <w:rsid w:val="00AA5681"/>
    <w:rsid w:val="00AA6047"/>
    <w:rsid w:val="00AA6FEA"/>
    <w:rsid w:val="00AB362D"/>
    <w:rsid w:val="00AB413A"/>
    <w:rsid w:val="00AB704F"/>
    <w:rsid w:val="00AB73A7"/>
    <w:rsid w:val="00AC2608"/>
    <w:rsid w:val="00AC328A"/>
    <w:rsid w:val="00AD494F"/>
    <w:rsid w:val="00AD5B09"/>
    <w:rsid w:val="00AD719D"/>
    <w:rsid w:val="00AD71FE"/>
    <w:rsid w:val="00AE13BF"/>
    <w:rsid w:val="00AE5827"/>
    <w:rsid w:val="00AE7410"/>
    <w:rsid w:val="00AF537A"/>
    <w:rsid w:val="00AF5388"/>
    <w:rsid w:val="00B17CEA"/>
    <w:rsid w:val="00B21776"/>
    <w:rsid w:val="00B25E02"/>
    <w:rsid w:val="00B26D32"/>
    <w:rsid w:val="00B3068A"/>
    <w:rsid w:val="00B3345C"/>
    <w:rsid w:val="00B342EE"/>
    <w:rsid w:val="00B34916"/>
    <w:rsid w:val="00B40E00"/>
    <w:rsid w:val="00B44664"/>
    <w:rsid w:val="00B47710"/>
    <w:rsid w:val="00B51336"/>
    <w:rsid w:val="00B519E2"/>
    <w:rsid w:val="00B51AC8"/>
    <w:rsid w:val="00B55164"/>
    <w:rsid w:val="00B553B4"/>
    <w:rsid w:val="00B56A5B"/>
    <w:rsid w:val="00B614D9"/>
    <w:rsid w:val="00B632E2"/>
    <w:rsid w:val="00B65D0D"/>
    <w:rsid w:val="00B71326"/>
    <w:rsid w:val="00B72145"/>
    <w:rsid w:val="00B75B9A"/>
    <w:rsid w:val="00B77576"/>
    <w:rsid w:val="00B809BC"/>
    <w:rsid w:val="00B82FA9"/>
    <w:rsid w:val="00B83325"/>
    <w:rsid w:val="00B83A16"/>
    <w:rsid w:val="00B8529C"/>
    <w:rsid w:val="00B86C9E"/>
    <w:rsid w:val="00B87158"/>
    <w:rsid w:val="00B8788B"/>
    <w:rsid w:val="00B931B4"/>
    <w:rsid w:val="00B94C69"/>
    <w:rsid w:val="00BA3231"/>
    <w:rsid w:val="00BA3D16"/>
    <w:rsid w:val="00BA7C08"/>
    <w:rsid w:val="00BB0F15"/>
    <w:rsid w:val="00BB652C"/>
    <w:rsid w:val="00BC7803"/>
    <w:rsid w:val="00BD14A6"/>
    <w:rsid w:val="00BD3127"/>
    <w:rsid w:val="00BD315C"/>
    <w:rsid w:val="00BE1A47"/>
    <w:rsid w:val="00BE1A78"/>
    <w:rsid w:val="00BE5D7D"/>
    <w:rsid w:val="00BE750C"/>
    <w:rsid w:val="00BF07DA"/>
    <w:rsid w:val="00BF31E9"/>
    <w:rsid w:val="00BF546C"/>
    <w:rsid w:val="00C01161"/>
    <w:rsid w:val="00C039B7"/>
    <w:rsid w:val="00C166F9"/>
    <w:rsid w:val="00C22AE3"/>
    <w:rsid w:val="00C35551"/>
    <w:rsid w:val="00C42029"/>
    <w:rsid w:val="00C42CFA"/>
    <w:rsid w:val="00C4590A"/>
    <w:rsid w:val="00C46B03"/>
    <w:rsid w:val="00C473CC"/>
    <w:rsid w:val="00C51436"/>
    <w:rsid w:val="00C544BC"/>
    <w:rsid w:val="00C571A1"/>
    <w:rsid w:val="00C606DB"/>
    <w:rsid w:val="00C60D48"/>
    <w:rsid w:val="00C66676"/>
    <w:rsid w:val="00C70A53"/>
    <w:rsid w:val="00C70D27"/>
    <w:rsid w:val="00C775CC"/>
    <w:rsid w:val="00C778CC"/>
    <w:rsid w:val="00C86BD6"/>
    <w:rsid w:val="00C873FB"/>
    <w:rsid w:val="00C87A6C"/>
    <w:rsid w:val="00C90A7B"/>
    <w:rsid w:val="00C9401D"/>
    <w:rsid w:val="00C94895"/>
    <w:rsid w:val="00C97E4B"/>
    <w:rsid w:val="00CA27E0"/>
    <w:rsid w:val="00CA3430"/>
    <w:rsid w:val="00CA5390"/>
    <w:rsid w:val="00CA5CA8"/>
    <w:rsid w:val="00CA6FA0"/>
    <w:rsid w:val="00CB193D"/>
    <w:rsid w:val="00CB5FA3"/>
    <w:rsid w:val="00CC3DFC"/>
    <w:rsid w:val="00CC5D2C"/>
    <w:rsid w:val="00CD1EC5"/>
    <w:rsid w:val="00CD3142"/>
    <w:rsid w:val="00CD3996"/>
    <w:rsid w:val="00CD42B4"/>
    <w:rsid w:val="00CE335C"/>
    <w:rsid w:val="00CE394E"/>
    <w:rsid w:val="00CF071E"/>
    <w:rsid w:val="00CF0830"/>
    <w:rsid w:val="00CF109C"/>
    <w:rsid w:val="00CF1FBA"/>
    <w:rsid w:val="00CF2167"/>
    <w:rsid w:val="00CF49BF"/>
    <w:rsid w:val="00CF620D"/>
    <w:rsid w:val="00CF7190"/>
    <w:rsid w:val="00D020A6"/>
    <w:rsid w:val="00D03209"/>
    <w:rsid w:val="00D03CE7"/>
    <w:rsid w:val="00D06ACE"/>
    <w:rsid w:val="00D103B4"/>
    <w:rsid w:val="00D110D6"/>
    <w:rsid w:val="00D17D37"/>
    <w:rsid w:val="00D22FFF"/>
    <w:rsid w:val="00D31709"/>
    <w:rsid w:val="00D3313F"/>
    <w:rsid w:val="00D34035"/>
    <w:rsid w:val="00D34CC5"/>
    <w:rsid w:val="00D37FE4"/>
    <w:rsid w:val="00D40934"/>
    <w:rsid w:val="00D41820"/>
    <w:rsid w:val="00D42118"/>
    <w:rsid w:val="00D43968"/>
    <w:rsid w:val="00D45F60"/>
    <w:rsid w:val="00D46BA6"/>
    <w:rsid w:val="00D4715B"/>
    <w:rsid w:val="00D51F63"/>
    <w:rsid w:val="00D546D5"/>
    <w:rsid w:val="00D5513D"/>
    <w:rsid w:val="00D55EE3"/>
    <w:rsid w:val="00D60298"/>
    <w:rsid w:val="00D60CC5"/>
    <w:rsid w:val="00D630CF"/>
    <w:rsid w:val="00D67388"/>
    <w:rsid w:val="00D8069A"/>
    <w:rsid w:val="00D81E16"/>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C0C1B"/>
    <w:rsid w:val="00DC1938"/>
    <w:rsid w:val="00DC208F"/>
    <w:rsid w:val="00DC2DDD"/>
    <w:rsid w:val="00DC5278"/>
    <w:rsid w:val="00DC71AE"/>
    <w:rsid w:val="00DD2A12"/>
    <w:rsid w:val="00DD3C36"/>
    <w:rsid w:val="00DD4308"/>
    <w:rsid w:val="00DD4BE4"/>
    <w:rsid w:val="00DD6361"/>
    <w:rsid w:val="00DD775D"/>
    <w:rsid w:val="00DD7F1C"/>
    <w:rsid w:val="00DE3126"/>
    <w:rsid w:val="00DE3A94"/>
    <w:rsid w:val="00DF015F"/>
    <w:rsid w:val="00DF2FAC"/>
    <w:rsid w:val="00DF5A67"/>
    <w:rsid w:val="00E02FF5"/>
    <w:rsid w:val="00E128D7"/>
    <w:rsid w:val="00E143E8"/>
    <w:rsid w:val="00E21560"/>
    <w:rsid w:val="00E30D1D"/>
    <w:rsid w:val="00E3745B"/>
    <w:rsid w:val="00E412F2"/>
    <w:rsid w:val="00E45720"/>
    <w:rsid w:val="00E45FCF"/>
    <w:rsid w:val="00E462BB"/>
    <w:rsid w:val="00E46ACC"/>
    <w:rsid w:val="00E510EA"/>
    <w:rsid w:val="00E563E3"/>
    <w:rsid w:val="00E61F28"/>
    <w:rsid w:val="00E627CC"/>
    <w:rsid w:val="00E62BA2"/>
    <w:rsid w:val="00E663E8"/>
    <w:rsid w:val="00E66FC1"/>
    <w:rsid w:val="00E70AD9"/>
    <w:rsid w:val="00E805A7"/>
    <w:rsid w:val="00E839CE"/>
    <w:rsid w:val="00E86720"/>
    <w:rsid w:val="00E9367E"/>
    <w:rsid w:val="00E93FA9"/>
    <w:rsid w:val="00E97F02"/>
    <w:rsid w:val="00EA1956"/>
    <w:rsid w:val="00EA6CDC"/>
    <w:rsid w:val="00EB1CF0"/>
    <w:rsid w:val="00EB5229"/>
    <w:rsid w:val="00EB594A"/>
    <w:rsid w:val="00EC1DA4"/>
    <w:rsid w:val="00ED12D0"/>
    <w:rsid w:val="00ED2FEC"/>
    <w:rsid w:val="00ED5C0C"/>
    <w:rsid w:val="00EE4DF0"/>
    <w:rsid w:val="00EF1965"/>
    <w:rsid w:val="00F03221"/>
    <w:rsid w:val="00F04F04"/>
    <w:rsid w:val="00F106D2"/>
    <w:rsid w:val="00F10803"/>
    <w:rsid w:val="00F10EF9"/>
    <w:rsid w:val="00F13A74"/>
    <w:rsid w:val="00F27267"/>
    <w:rsid w:val="00F3107C"/>
    <w:rsid w:val="00F332C5"/>
    <w:rsid w:val="00F361D4"/>
    <w:rsid w:val="00F37E24"/>
    <w:rsid w:val="00F40C2A"/>
    <w:rsid w:val="00F4148D"/>
    <w:rsid w:val="00F418B5"/>
    <w:rsid w:val="00F43D11"/>
    <w:rsid w:val="00F4695A"/>
    <w:rsid w:val="00F513B0"/>
    <w:rsid w:val="00F557F7"/>
    <w:rsid w:val="00F5601B"/>
    <w:rsid w:val="00F6164E"/>
    <w:rsid w:val="00F6254F"/>
    <w:rsid w:val="00F706E2"/>
    <w:rsid w:val="00F7118B"/>
    <w:rsid w:val="00F72A3A"/>
    <w:rsid w:val="00F76478"/>
    <w:rsid w:val="00F87203"/>
    <w:rsid w:val="00F87CBC"/>
    <w:rsid w:val="00F923D8"/>
    <w:rsid w:val="00F924FD"/>
    <w:rsid w:val="00FA2BF4"/>
    <w:rsid w:val="00FA3F4C"/>
    <w:rsid w:val="00FA5FAC"/>
    <w:rsid w:val="00FB113B"/>
    <w:rsid w:val="00FB3AB9"/>
    <w:rsid w:val="00FC4C7B"/>
    <w:rsid w:val="00FC77C1"/>
    <w:rsid w:val="00FD50AB"/>
    <w:rsid w:val="00FD7045"/>
    <w:rsid w:val="00FE082F"/>
    <w:rsid w:val="00FE118F"/>
    <w:rsid w:val="00FE3D55"/>
    <w:rsid w:val="00FE4392"/>
    <w:rsid w:val="00FE602C"/>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F8AD1F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D38BB-952F-4687-8F31-D1420A7B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BC9D8C31.dotm</Template>
  <TotalTime>143</TotalTime>
  <Pages>5</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8</cp:revision>
  <dcterms:created xsi:type="dcterms:W3CDTF">2019-09-23T10:58:00Z</dcterms:created>
  <dcterms:modified xsi:type="dcterms:W3CDTF">2019-09-23T19:38:00Z</dcterms:modified>
</cp:coreProperties>
</file>