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B64176" w:rsidP="005B5C5B">
      <w:pPr>
        <w:jc w:val="center"/>
        <w:rPr>
          <w:b/>
          <w:sz w:val="28"/>
          <w:szCs w:val="28"/>
          <w:u w:val="double" w:color="0070C0"/>
        </w:rPr>
      </w:pPr>
      <w:bookmarkStart w:id="0" w:name="_GoBack"/>
      <w:bookmarkEnd w:id="0"/>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5B5C5B">
        <w:rPr>
          <w:b/>
          <w:sz w:val="28"/>
          <w:szCs w:val="28"/>
          <w:u w:val="double" w:color="0070C0"/>
        </w:rPr>
        <w:t xml:space="preserve"> – </w:t>
      </w:r>
      <w:r w:rsidR="00F46818">
        <w:rPr>
          <w:b/>
          <w:sz w:val="28"/>
          <w:szCs w:val="28"/>
          <w:u w:val="double" w:color="0070C0"/>
        </w:rPr>
        <w:t>2</w:t>
      </w:r>
      <w:r w:rsidR="00F46818" w:rsidRPr="00F46818">
        <w:rPr>
          <w:b/>
          <w:sz w:val="28"/>
          <w:szCs w:val="28"/>
          <w:u w:val="double" w:color="0070C0"/>
          <w:vertAlign w:val="superscript"/>
        </w:rPr>
        <w:t>nd</w:t>
      </w:r>
      <w:r w:rsidR="00F46818">
        <w:rPr>
          <w:b/>
          <w:sz w:val="28"/>
          <w:szCs w:val="28"/>
          <w:u w:val="double" w:color="0070C0"/>
        </w:rPr>
        <w:t xml:space="preserve"> December</w:t>
      </w:r>
      <w:r w:rsidR="005B5C5B">
        <w:rPr>
          <w:b/>
          <w:sz w:val="28"/>
          <w:szCs w:val="28"/>
          <w:u w:val="double" w:color="0070C0"/>
        </w:rPr>
        <w:t xml:space="preserve"> 2019, </w:t>
      </w:r>
      <w:r w:rsidR="00F46818">
        <w:rPr>
          <w:b/>
          <w:sz w:val="28"/>
          <w:szCs w:val="28"/>
          <w:u w:val="double" w:color="0070C0"/>
        </w:rPr>
        <w:t>TMBC, Kings Hill</w:t>
      </w:r>
    </w:p>
    <w:tbl>
      <w:tblPr>
        <w:tblStyle w:val="TableGrid"/>
        <w:tblW w:w="16018" w:type="dxa"/>
        <w:tblInd w:w="-1026" w:type="dxa"/>
        <w:tblLayout w:type="fixed"/>
        <w:tblLook w:val="04A0" w:firstRow="1" w:lastRow="0" w:firstColumn="1" w:lastColumn="0" w:noHBand="0" w:noVBand="1"/>
      </w:tblPr>
      <w:tblGrid>
        <w:gridCol w:w="992"/>
        <w:gridCol w:w="1163"/>
        <w:gridCol w:w="9072"/>
        <w:gridCol w:w="3090"/>
        <w:gridCol w:w="851"/>
        <w:gridCol w:w="850"/>
      </w:tblGrid>
      <w:tr w:rsidR="008319F8" w:rsidRPr="00E93871" w:rsidTr="00003D78">
        <w:tc>
          <w:tcPr>
            <w:tcW w:w="16018" w:type="dxa"/>
            <w:gridSpan w:val="6"/>
            <w:shd w:val="clear" w:color="auto" w:fill="0070C0"/>
          </w:tcPr>
          <w:p w:rsidR="0083090E" w:rsidRDefault="00A15C41" w:rsidP="003805C2">
            <w:pPr>
              <w:jc w:val="center"/>
              <w:rPr>
                <w:rFonts w:cstheme="minorHAnsi"/>
                <w:b/>
                <w:color w:val="FFFFFF" w:themeColor="background1"/>
              </w:rPr>
            </w:pPr>
            <w:r>
              <w:rPr>
                <w:rFonts w:cstheme="minorHAnsi"/>
                <w:b/>
                <w:color w:val="FFFFFF" w:themeColor="background1"/>
              </w:rPr>
              <w:t xml:space="preserve"> </w:t>
            </w:r>
          </w:p>
          <w:p w:rsidR="00501302" w:rsidRPr="008411F0" w:rsidRDefault="008319F8" w:rsidP="00B64176">
            <w:pPr>
              <w:rPr>
                <w:rFonts w:cstheme="minorHAnsi"/>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8776CE" w:rsidRPr="008411F0">
              <w:rPr>
                <w:rFonts w:cstheme="minorHAnsi"/>
                <w:color w:val="FFFFFF" w:themeColor="background1"/>
              </w:rPr>
              <w:t>Kerry Petts, Chair &amp; Folkestone &amp; Hythe DC;</w:t>
            </w:r>
            <w:r w:rsidR="00B57D19">
              <w:rPr>
                <w:rFonts w:cstheme="minorHAnsi"/>
                <w:color w:val="FFFFFF" w:themeColor="background1"/>
              </w:rPr>
              <w:t xml:space="preserve"> Robin Kennedy, Dover DC; Donna Crozier, Peabody; Hazel Skinner, Kent Technical Officers Group</w:t>
            </w:r>
            <w:r w:rsidR="00766F83">
              <w:rPr>
                <w:rFonts w:cstheme="minorHAnsi"/>
                <w:color w:val="FFFFFF" w:themeColor="background1"/>
              </w:rPr>
              <w:t xml:space="preserve"> &amp; TMBC</w:t>
            </w:r>
            <w:r w:rsidR="00B57D19">
              <w:rPr>
                <w:rFonts w:cstheme="minorHAnsi"/>
                <w:color w:val="FFFFFF" w:themeColor="background1"/>
              </w:rPr>
              <w:t>;</w:t>
            </w:r>
            <w:r w:rsidR="00212326">
              <w:rPr>
                <w:rFonts w:cstheme="minorHAnsi"/>
                <w:color w:val="FFFFFF" w:themeColor="background1"/>
              </w:rPr>
              <w:t xml:space="preserve"> Glyn Pritchard, Swale BC; </w:t>
            </w:r>
            <w:r w:rsidR="009C1A42">
              <w:rPr>
                <w:rFonts w:cstheme="minorHAnsi"/>
                <w:color w:val="FFFFFF" w:themeColor="background1"/>
              </w:rPr>
              <w:t>Nigel Bucklow, Maidstone BC;</w:t>
            </w:r>
            <w:r w:rsidR="001207A3">
              <w:rPr>
                <w:rFonts w:cstheme="minorHAnsi"/>
                <w:color w:val="FFFFFF" w:themeColor="background1"/>
              </w:rPr>
              <w:t xml:space="preserve"> </w:t>
            </w:r>
            <w:r w:rsidR="002D0823">
              <w:rPr>
                <w:rFonts w:cstheme="minorHAnsi"/>
                <w:color w:val="FFFFFF" w:themeColor="background1"/>
              </w:rPr>
              <w:t>James Cox, Tunbridge Wells BC;</w:t>
            </w:r>
            <w:r w:rsidR="001A714A">
              <w:rPr>
                <w:rFonts w:cstheme="minorHAnsi"/>
                <w:color w:val="FFFFFF" w:themeColor="background1"/>
              </w:rPr>
              <w:t xml:space="preserve"> Julian Watts, Ashford BC</w:t>
            </w:r>
            <w:r w:rsidR="00F46818">
              <w:rPr>
                <w:rFonts w:cstheme="minorHAnsi"/>
                <w:color w:val="FFFFFF" w:themeColor="background1"/>
              </w:rPr>
              <w:t>; Dipna Pattni, Gravesham BC &amp; KEEP; Tim Lovell, Canterbury CC; Jason Wheble, TMBC</w:t>
            </w:r>
          </w:p>
          <w:p w:rsidR="00B64176" w:rsidRPr="008411F0" w:rsidRDefault="00B64176" w:rsidP="003805C2">
            <w:pPr>
              <w:jc w:val="center"/>
              <w:rPr>
                <w:rFonts w:cstheme="minorHAnsi"/>
                <w:color w:val="FFFFFF" w:themeColor="background1"/>
              </w:rPr>
            </w:pPr>
          </w:p>
          <w:p w:rsidR="00A15C41" w:rsidRPr="008F7807" w:rsidRDefault="00B64176" w:rsidP="00F46818">
            <w:pPr>
              <w:rPr>
                <w:rFonts w:cstheme="minorHAnsi"/>
                <w:b/>
                <w:color w:val="FFFFFF" w:themeColor="background1"/>
              </w:rPr>
            </w:pPr>
            <w:r>
              <w:rPr>
                <w:rFonts w:cstheme="minorHAnsi"/>
                <w:b/>
                <w:color w:val="FFFFFF" w:themeColor="background1"/>
              </w:rPr>
              <w:t>Apologies:</w:t>
            </w:r>
            <w:r w:rsidR="00D619CF" w:rsidRPr="00D619CF">
              <w:rPr>
                <w:rFonts w:cstheme="minorHAnsi"/>
                <w:color w:val="FFFFFF" w:themeColor="background1"/>
              </w:rPr>
              <w:t xml:space="preserve"> Richard Stanford-Beale, KF&amp;RS; Brian Horton, SELEP</w:t>
            </w:r>
            <w:r w:rsidR="004B4C05">
              <w:rPr>
                <w:rFonts w:cstheme="minorHAnsi"/>
                <w:color w:val="FFFFFF" w:themeColor="background1"/>
              </w:rPr>
              <w:t>; Paul Salter, Medway Council</w:t>
            </w:r>
            <w:r w:rsidR="009E5FB4">
              <w:rPr>
                <w:rFonts w:cstheme="minorHAnsi"/>
                <w:color w:val="FFFFFF" w:themeColor="background1"/>
              </w:rPr>
              <w:t>;</w:t>
            </w:r>
            <w:r w:rsidR="009264FE">
              <w:rPr>
                <w:rFonts w:cstheme="minorHAnsi"/>
                <w:color w:val="FFFFFF" w:themeColor="background1"/>
              </w:rPr>
              <w:t xml:space="preserve"> Susan Hughes, Swale Staying Put; Marion Money, NLA &amp; Vice Chair; Rachel Evans, Dartford BC; Jane Miller, KCC; Richard Hopkins, Thanet DC; </w:t>
            </w:r>
            <w:r w:rsidR="00F46818">
              <w:rPr>
                <w:rFonts w:cstheme="minorHAnsi"/>
                <w:color w:val="FFFFFF" w:themeColor="background1"/>
              </w:rPr>
              <w:t>Daniel Shaw, Sevenoaks DC; Francesca Baylis, KCC; Sarah Tickner, HHSC Sub Group (KHG); Rebecca Smith, KHG</w:t>
            </w:r>
          </w:p>
        </w:tc>
      </w:tr>
      <w:tr w:rsidR="00003D78" w:rsidRPr="00EE3A3D" w:rsidTr="00F32F5D">
        <w:tc>
          <w:tcPr>
            <w:tcW w:w="992" w:type="dxa"/>
            <w:shd w:val="clear" w:color="auto" w:fill="DBE5F1" w:themeFill="accent1" w:themeFillTint="33"/>
          </w:tcPr>
          <w:p w:rsidR="00B64176" w:rsidRPr="00EE3A3D" w:rsidRDefault="00B64176" w:rsidP="000C6CBB">
            <w:pPr>
              <w:jc w:val="center"/>
              <w:rPr>
                <w:b/>
              </w:rPr>
            </w:pPr>
            <w:r>
              <w:rPr>
                <w:b/>
              </w:rPr>
              <w:t>Date of Meeting</w:t>
            </w:r>
          </w:p>
        </w:tc>
        <w:tc>
          <w:tcPr>
            <w:tcW w:w="1163" w:type="dxa"/>
            <w:shd w:val="clear" w:color="auto" w:fill="DBE5F1" w:themeFill="accent1" w:themeFillTint="33"/>
          </w:tcPr>
          <w:p w:rsidR="00B64176" w:rsidRPr="00EE3A3D" w:rsidRDefault="00B64176" w:rsidP="000C6CBB">
            <w:pPr>
              <w:jc w:val="center"/>
              <w:rPr>
                <w:b/>
              </w:rPr>
            </w:pPr>
            <w:r w:rsidRPr="00003D78">
              <w:rPr>
                <w:b/>
                <w:sz w:val="20"/>
              </w:rPr>
              <w:t>Reference</w:t>
            </w:r>
          </w:p>
        </w:tc>
        <w:tc>
          <w:tcPr>
            <w:tcW w:w="9072" w:type="dxa"/>
            <w:shd w:val="clear" w:color="auto" w:fill="DBE5F1" w:themeFill="accent1" w:themeFillTint="33"/>
          </w:tcPr>
          <w:p w:rsidR="00B64176" w:rsidRPr="00EE3A3D" w:rsidRDefault="00B64176" w:rsidP="000C6CBB">
            <w:pPr>
              <w:jc w:val="center"/>
              <w:rPr>
                <w:b/>
              </w:rPr>
            </w:pPr>
            <w:r>
              <w:rPr>
                <w:b/>
              </w:rPr>
              <w:t>Notes</w:t>
            </w:r>
          </w:p>
        </w:tc>
        <w:tc>
          <w:tcPr>
            <w:tcW w:w="3090" w:type="dxa"/>
            <w:shd w:val="clear" w:color="auto" w:fill="DBE5F1" w:themeFill="accent1" w:themeFillTint="33"/>
          </w:tcPr>
          <w:p w:rsidR="00B64176" w:rsidRPr="00EE3A3D" w:rsidRDefault="00B64176" w:rsidP="00B64176">
            <w:pPr>
              <w:jc w:val="center"/>
              <w:rPr>
                <w:b/>
              </w:rPr>
            </w:pPr>
            <w:r>
              <w:rPr>
                <w:b/>
              </w:rPr>
              <w:t>Action</w:t>
            </w:r>
          </w:p>
        </w:tc>
        <w:tc>
          <w:tcPr>
            <w:tcW w:w="851" w:type="dxa"/>
            <w:shd w:val="clear" w:color="auto" w:fill="DBE5F1" w:themeFill="accent1" w:themeFillTint="33"/>
          </w:tcPr>
          <w:p w:rsidR="00B64176" w:rsidRPr="00EE3A3D" w:rsidRDefault="00B64176" w:rsidP="000C6CBB">
            <w:pPr>
              <w:jc w:val="center"/>
              <w:rPr>
                <w:b/>
              </w:rPr>
            </w:pPr>
            <w:r>
              <w:rPr>
                <w:b/>
              </w:rPr>
              <w:t xml:space="preserve">Time Scale </w:t>
            </w:r>
          </w:p>
        </w:tc>
        <w:tc>
          <w:tcPr>
            <w:tcW w:w="850" w:type="dxa"/>
            <w:shd w:val="clear" w:color="auto" w:fill="DBE5F1" w:themeFill="accent1" w:themeFillTint="33"/>
          </w:tcPr>
          <w:p w:rsidR="00B64176" w:rsidRPr="00EE3A3D" w:rsidRDefault="00B64176" w:rsidP="000C6CBB">
            <w:pPr>
              <w:jc w:val="center"/>
              <w:rPr>
                <w:b/>
              </w:rPr>
            </w:pPr>
            <w:r>
              <w:rPr>
                <w:b/>
              </w:rPr>
              <w:t>Lead Person</w:t>
            </w:r>
          </w:p>
        </w:tc>
      </w:tr>
      <w:tr w:rsidR="00F46818" w:rsidRPr="004241B5" w:rsidTr="00F32F5D">
        <w:tc>
          <w:tcPr>
            <w:tcW w:w="992" w:type="dxa"/>
          </w:tcPr>
          <w:p w:rsidR="00F46818" w:rsidRDefault="00F46818" w:rsidP="000C6CBB">
            <w:r>
              <w:t>2.12.19</w:t>
            </w:r>
          </w:p>
        </w:tc>
        <w:tc>
          <w:tcPr>
            <w:tcW w:w="1163" w:type="dxa"/>
            <w:shd w:val="clear" w:color="auto" w:fill="auto"/>
          </w:tcPr>
          <w:p w:rsidR="00F46818" w:rsidRPr="00B64176" w:rsidRDefault="00F46818" w:rsidP="000C6CBB">
            <w:r>
              <w:t>Self Neglect &amp; Hoarding Protocol</w:t>
            </w:r>
          </w:p>
        </w:tc>
        <w:tc>
          <w:tcPr>
            <w:tcW w:w="9072" w:type="dxa"/>
            <w:shd w:val="clear" w:color="auto" w:fill="auto"/>
          </w:tcPr>
          <w:p w:rsidR="00F46818" w:rsidRDefault="00F46818" w:rsidP="00D642D4">
            <w:pPr>
              <w:jc w:val="both"/>
            </w:pPr>
            <w:r>
              <w:t>KCC Colleagues provided an overview of the Self Neglect &amp; Hoarding Policy Protocol, promotion of the new policy and new clutter rating, promoting the same standards throughout Kent.</w:t>
            </w:r>
          </w:p>
          <w:p w:rsidR="00F46818" w:rsidRDefault="00F46818" w:rsidP="00D642D4">
            <w:pPr>
              <w:jc w:val="both"/>
            </w:pPr>
          </w:p>
          <w:p w:rsidR="00F46818" w:rsidRDefault="00F46818" w:rsidP="00474A12">
            <w:pPr>
              <w:jc w:val="both"/>
            </w:pPr>
            <w:r>
              <w:t>Questions/Discussion –</w:t>
            </w:r>
            <w:r w:rsidR="00474A12">
              <w:t xml:space="preserve"> 1) </w:t>
            </w:r>
            <w:r>
              <w:t xml:space="preserve">SCI website is easy to view, has good useful information/content.  Any colleague can make a request for a multi-agency meeting.   </w:t>
            </w:r>
            <w:r w:rsidR="00474A12">
              <w:t xml:space="preserve">2) </w:t>
            </w:r>
            <w:r w:rsidR="003F5E83">
              <w:t>Absence</w:t>
            </w:r>
            <w:r w:rsidR="00474A12">
              <w:t xml:space="preserve"> of mental health work, there is a board which has connections to enable meetings to take place, the general </w:t>
            </w:r>
            <w:r w:rsidR="003F5E83">
              <w:t>consensus</w:t>
            </w:r>
            <w:r w:rsidR="00474A12">
              <w:t xml:space="preserve"> is that mental health are not represented at MDT meetings.  Colleagues confirmed that this protocol is the starting point for this to happen. The LA representative is </w:t>
            </w:r>
            <w:r w:rsidR="00474A12" w:rsidRPr="006E6AF0">
              <w:t>Julie</w:t>
            </w:r>
            <w:r w:rsidR="006E6AF0">
              <w:t xml:space="preserve"> Beilby (Tonbridge and Malling)</w:t>
            </w:r>
            <w:r w:rsidR="00474A12">
              <w:t>, colleagues to make contact with her if issues come up</w:t>
            </w:r>
            <w:r w:rsidR="006E6AF0">
              <w:t xml:space="preserve"> </w:t>
            </w:r>
            <w:hyperlink r:id="rId8" w:history="1">
              <w:r w:rsidR="006E6AF0" w:rsidRPr="00103BA7">
                <w:rPr>
                  <w:rStyle w:val="Hyperlink"/>
                </w:rPr>
                <w:t>Julie.beilby@tmbc.gov.uk</w:t>
              </w:r>
            </w:hyperlink>
            <w:r w:rsidR="006E6AF0">
              <w:t xml:space="preserve"> </w:t>
            </w:r>
            <w:r w:rsidR="00474A12">
              <w:t xml:space="preserve">.  Serious Case Reviews – these are being formed at present numbers will increase. Discussion about the level of issue to understand whether it sits with the GP or KMPT, LA staff are not trained in MH and the cases are </w:t>
            </w:r>
            <w:r w:rsidR="003F5E83">
              <w:t>time-consuming</w:t>
            </w:r>
            <w:r w:rsidR="00474A12">
              <w:t>, LA’s are part of board but housing not involved.</w:t>
            </w:r>
          </w:p>
          <w:p w:rsidR="00474A12" w:rsidRDefault="00474A12" w:rsidP="00474A12">
            <w:pPr>
              <w:jc w:val="both"/>
            </w:pPr>
          </w:p>
          <w:p w:rsidR="003F5E83" w:rsidRDefault="00474A12" w:rsidP="00474A12">
            <w:pPr>
              <w:jc w:val="both"/>
            </w:pPr>
            <w:r>
              <w:t>Multi-agencies meeting should be arranged more frequently if agencies are not following protocol or engaging, assisting.   If Community Managers are not engaging in sectioning, community intervention and community living then the Ment</w:t>
            </w:r>
            <w:r w:rsidR="003F5E83">
              <w:t>al Capacity Act should be used.   Vulnerable Investigation Team – criminal activity.  Age UK provide different services throughout Kent.</w:t>
            </w:r>
          </w:p>
          <w:p w:rsidR="003F5E83" w:rsidRDefault="003F5E83" w:rsidP="00474A12">
            <w:pPr>
              <w:jc w:val="both"/>
            </w:pPr>
          </w:p>
          <w:p w:rsidR="003F5E83" w:rsidRDefault="003F5E83" w:rsidP="00474A12">
            <w:pPr>
              <w:jc w:val="both"/>
            </w:pPr>
            <w:r>
              <w:t>The role of the Board is to escalate if problems with lack of engagement.    Using the protocol will identify if other agencies are using it, Section 3, Review Mental Capacity Act – if have mental capacity then it will go no further, you need to challenge.</w:t>
            </w:r>
          </w:p>
          <w:p w:rsidR="003F5E83" w:rsidRDefault="003F5E83" w:rsidP="00474A12">
            <w:pPr>
              <w:jc w:val="both"/>
            </w:pPr>
          </w:p>
          <w:p w:rsidR="003F5E83" w:rsidRDefault="003F5E83" w:rsidP="00474A12">
            <w:pPr>
              <w:jc w:val="both"/>
            </w:pPr>
            <w:r>
              <w:t xml:space="preserve">Each local authority should refer back to their own Community Safety Teams. </w:t>
            </w:r>
          </w:p>
          <w:p w:rsidR="00474A12" w:rsidRDefault="00474A12" w:rsidP="00474A12">
            <w:pPr>
              <w:jc w:val="both"/>
            </w:pPr>
          </w:p>
        </w:tc>
        <w:tc>
          <w:tcPr>
            <w:tcW w:w="3090" w:type="dxa"/>
            <w:shd w:val="clear" w:color="auto" w:fill="auto"/>
          </w:tcPr>
          <w:p w:rsidR="00F46818" w:rsidRPr="00B64176" w:rsidRDefault="00F46818" w:rsidP="00E72115">
            <w:pPr>
              <w:rPr>
                <w:b/>
              </w:rPr>
            </w:pPr>
            <w:r>
              <w:rPr>
                <w:b/>
              </w:rPr>
              <w:t>Presentation slides to be shared with colleagues</w:t>
            </w:r>
          </w:p>
        </w:tc>
        <w:tc>
          <w:tcPr>
            <w:tcW w:w="851" w:type="dxa"/>
            <w:shd w:val="clear" w:color="auto" w:fill="auto"/>
          </w:tcPr>
          <w:p w:rsidR="00F46818" w:rsidRPr="00B64176" w:rsidRDefault="00F46818" w:rsidP="0083090E">
            <w:pPr>
              <w:rPr>
                <w:b/>
              </w:rPr>
            </w:pPr>
            <w:r>
              <w:rPr>
                <w:b/>
              </w:rPr>
              <w:t>Asap</w:t>
            </w:r>
          </w:p>
        </w:tc>
        <w:tc>
          <w:tcPr>
            <w:tcW w:w="850" w:type="dxa"/>
            <w:shd w:val="clear" w:color="auto" w:fill="auto"/>
          </w:tcPr>
          <w:p w:rsidR="00F46818" w:rsidRPr="00B64176" w:rsidRDefault="00F46818" w:rsidP="00B64176">
            <w:pPr>
              <w:rPr>
                <w:b/>
              </w:rPr>
            </w:pPr>
            <w:r>
              <w:rPr>
                <w:b/>
              </w:rPr>
              <w:t>RS</w:t>
            </w:r>
          </w:p>
        </w:tc>
      </w:tr>
      <w:tr w:rsidR="00003D78" w:rsidRPr="004241B5" w:rsidTr="00F32F5D">
        <w:tc>
          <w:tcPr>
            <w:tcW w:w="992" w:type="dxa"/>
          </w:tcPr>
          <w:p w:rsidR="00B64176" w:rsidRPr="00B64176" w:rsidRDefault="00F46818" w:rsidP="000C6CBB">
            <w:r>
              <w:lastRenderedPageBreak/>
              <w:t>2.12.19</w:t>
            </w:r>
          </w:p>
        </w:tc>
        <w:tc>
          <w:tcPr>
            <w:tcW w:w="1163" w:type="dxa"/>
            <w:shd w:val="clear" w:color="auto" w:fill="auto"/>
          </w:tcPr>
          <w:p w:rsidR="00B64176" w:rsidRPr="00B64176" w:rsidRDefault="00B64176" w:rsidP="000C6CBB">
            <w:r w:rsidRPr="00B64176">
              <w:t>Minutes &amp; Matters Arising</w:t>
            </w:r>
          </w:p>
        </w:tc>
        <w:tc>
          <w:tcPr>
            <w:tcW w:w="9072" w:type="dxa"/>
            <w:shd w:val="clear" w:color="auto" w:fill="auto"/>
          </w:tcPr>
          <w:p w:rsidR="00DA1C96" w:rsidRDefault="009264FE" w:rsidP="00D642D4">
            <w:pPr>
              <w:jc w:val="both"/>
            </w:pPr>
            <w:r>
              <w:t xml:space="preserve">Minutes agreed as accurate, matters arising included </w:t>
            </w:r>
            <w:r w:rsidR="007D1936">
              <w:t>–</w:t>
            </w:r>
            <w:r>
              <w:t xml:space="preserve"> </w:t>
            </w:r>
          </w:p>
          <w:p w:rsidR="007D1936" w:rsidRDefault="007D1936" w:rsidP="00D642D4">
            <w:pPr>
              <w:jc w:val="both"/>
            </w:pPr>
          </w:p>
          <w:p w:rsidR="007D1936" w:rsidRDefault="003F5E83" w:rsidP="00F46818">
            <w:pPr>
              <w:jc w:val="both"/>
            </w:pPr>
            <w:r>
              <w:t xml:space="preserve">HHSRS Training – completed in Ashford over two dates, West Kent Mind Hoarding training has been postponed due to illness of trainer, RS has chased ahead of the meeting today. </w:t>
            </w:r>
          </w:p>
          <w:p w:rsidR="003F5E83" w:rsidRDefault="003F5E83" w:rsidP="00F46818">
            <w:pPr>
              <w:jc w:val="both"/>
            </w:pPr>
          </w:p>
          <w:p w:rsidR="003F5E83" w:rsidRDefault="003F5E83" w:rsidP="00F46818">
            <w:pPr>
              <w:jc w:val="both"/>
            </w:pPr>
            <w:r>
              <w:t>Marion Money is still off sick and unable to attend this meeting.</w:t>
            </w:r>
          </w:p>
          <w:p w:rsidR="003F5E83" w:rsidRDefault="003F5E83" w:rsidP="00F46818">
            <w:pPr>
              <w:jc w:val="both"/>
            </w:pPr>
          </w:p>
          <w:p w:rsidR="003F5E83" w:rsidRDefault="003F5E83" w:rsidP="00F46818">
            <w:pPr>
              <w:jc w:val="both"/>
            </w:pPr>
            <w:r>
              <w:t>Sarah Tickner is now the Project Officer for the KHG Housing Health and Social Care Sub Group, will attend March 2020 meeting.  Francesca Baylis has replaced Sam Simmons at KCC, working with Carolyn McKenzie.</w:t>
            </w:r>
          </w:p>
          <w:p w:rsidR="007833BF" w:rsidRDefault="007833BF" w:rsidP="00F46818">
            <w:pPr>
              <w:jc w:val="both"/>
            </w:pPr>
          </w:p>
          <w:p w:rsidR="007833BF" w:rsidRDefault="007833BF" w:rsidP="00F46818">
            <w:pPr>
              <w:jc w:val="both"/>
            </w:pPr>
            <w:r>
              <w:t>QEQM – funded by Thanet and Dover.  Canterbury Hospital not looked at this hospital, not acute but step down.  RK commented that hospital managers are not making referrals via this route.</w:t>
            </w:r>
          </w:p>
          <w:p w:rsidR="003F5E83" w:rsidRPr="00B64176" w:rsidRDefault="003F5E83" w:rsidP="00F46818">
            <w:pPr>
              <w:jc w:val="both"/>
            </w:pPr>
          </w:p>
        </w:tc>
        <w:tc>
          <w:tcPr>
            <w:tcW w:w="3090" w:type="dxa"/>
            <w:shd w:val="clear" w:color="auto" w:fill="auto"/>
          </w:tcPr>
          <w:p w:rsidR="003550B3" w:rsidRPr="00B64176" w:rsidRDefault="003550B3" w:rsidP="00E72115">
            <w:pPr>
              <w:rPr>
                <w:b/>
              </w:rPr>
            </w:pPr>
          </w:p>
        </w:tc>
        <w:tc>
          <w:tcPr>
            <w:tcW w:w="851" w:type="dxa"/>
            <w:shd w:val="clear" w:color="auto" w:fill="auto"/>
          </w:tcPr>
          <w:p w:rsidR="003550B3" w:rsidRPr="00B64176" w:rsidRDefault="003550B3" w:rsidP="0083090E">
            <w:pPr>
              <w:rPr>
                <w:b/>
              </w:rPr>
            </w:pPr>
          </w:p>
        </w:tc>
        <w:tc>
          <w:tcPr>
            <w:tcW w:w="850" w:type="dxa"/>
            <w:shd w:val="clear" w:color="auto" w:fill="auto"/>
          </w:tcPr>
          <w:p w:rsidR="003550B3" w:rsidRPr="00B64176" w:rsidRDefault="003550B3" w:rsidP="00B64176">
            <w:pPr>
              <w:rPr>
                <w:b/>
              </w:rPr>
            </w:pPr>
          </w:p>
        </w:tc>
      </w:tr>
      <w:tr w:rsidR="0081451A" w:rsidRPr="000871E7" w:rsidTr="00F32F5D">
        <w:tc>
          <w:tcPr>
            <w:tcW w:w="992" w:type="dxa"/>
          </w:tcPr>
          <w:p w:rsidR="0081451A" w:rsidRDefault="003F5E83" w:rsidP="00530946">
            <w:r>
              <w:t>2.12.19</w:t>
            </w:r>
          </w:p>
        </w:tc>
        <w:tc>
          <w:tcPr>
            <w:tcW w:w="1163" w:type="dxa"/>
            <w:shd w:val="clear" w:color="auto" w:fill="auto"/>
          </w:tcPr>
          <w:p w:rsidR="0081451A" w:rsidRDefault="00D619CF" w:rsidP="00530946">
            <w:r>
              <w:t>Written Updates</w:t>
            </w:r>
          </w:p>
        </w:tc>
        <w:tc>
          <w:tcPr>
            <w:tcW w:w="9072" w:type="dxa"/>
            <w:shd w:val="clear" w:color="auto" w:fill="auto"/>
          </w:tcPr>
          <w:p w:rsidR="007D1936" w:rsidRDefault="007833BF" w:rsidP="003550B3">
            <w:pPr>
              <w:jc w:val="both"/>
            </w:pPr>
            <w:r>
              <w:t xml:space="preserve">Written updates shared ahead of the meeting, matters arising – </w:t>
            </w:r>
          </w:p>
          <w:p w:rsidR="007833BF" w:rsidRDefault="007833BF" w:rsidP="003550B3">
            <w:pPr>
              <w:jc w:val="both"/>
            </w:pPr>
          </w:p>
          <w:p w:rsidR="007833BF" w:rsidRDefault="007833BF" w:rsidP="003550B3">
            <w:pPr>
              <w:jc w:val="both"/>
            </w:pPr>
            <w:r>
              <w:t>17</w:t>
            </w:r>
            <w:r w:rsidRPr="007833BF">
              <w:rPr>
                <w:vertAlign w:val="superscript"/>
              </w:rPr>
              <w:t>th</w:t>
            </w:r>
            <w:r>
              <w:t xml:space="preserve"> June 2019, no attendance at the Energy Efficiency event from KPSHG.</w:t>
            </w:r>
          </w:p>
          <w:p w:rsidR="007833BF" w:rsidRDefault="007833BF" w:rsidP="003550B3">
            <w:pPr>
              <w:jc w:val="both"/>
            </w:pPr>
          </w:p>
          <w:p w:rsidR="007833BF" w:rsidRDefault="007833BF" w:rsidP="003550B3">
            <w:pPr>
              <w:jc w:val="both"/>
            </w:pPr>
            <w:r>
              <w:t>Core Offer extended to November 2020.</w:t>
            </w:r>
          </w:p>
          <w:p w:rsidR="007833BF" w:rsidRDefault="007833BF" w:rsidP="003550B3">
            <w:pPr>
              <w:jc w:val="both"/>
            </w:pPr>
          </w:p>
          <w:p w:rsidR="007833BF" w:rsidRDefault="007833BF" w:rsidP="003550B3">
            <w:pPr>
              <w:jc w:val="both"/>
            </w:pPr>
            <w:r>
              <w:t>New Care navigators now in contract, Peabody have promoted services, still limited contacts, there are no additional links within the contract documents.  Imago are interacting in the north of Kent.</w:t>
            </w:r>
          </w:p>
          <w:p w:rsidR="007833BF" w:rsidRDefault="007833BF" w:rsidP="003550B3">
            <w:pPr>
              <w:jc w:val="both"/>
            </w:pPr>
          </w:p>
          <w:p w:rsidR="007833BF" w:rsidRDefault="007833BF" w:rsidP="003550B3">
            <w:pPr>
              <w:jc w:val="both"/>
            </w:pPr>
            <w:r>
              <w:t>Older Persons Core Offer – 2</w:t>
            </w:r>
            <w:r w:rsidRPr="007833BF">
              <w:rPr>
                <w:vertAlign w:val="superscript"/>
              </w:rPr>
              <w:t>nd</w:t>
            </w:r>
            <w:r>
              <w:t xml:space="preserve"> part of this work being consulted upon. </w:t>
            </w:r>
          </w:p>
          <w:p w:rsidR="007833BF" w:rsidRDefault="007833BF" w:rsidP="003550B3">
            <w:pPr>
              <w:jc w:val="both"/>
            </w:pPr>
          </w:p>
          <w:p w:rsidR="007833BF" w:rsidRDefault="007833BF" w:rsidP="003550B3">
            <w:pPr>
              <w:jc w:val="both"/>
            </w:pPr>
            <w:r>
              <w:t>Peabody and Swale HIA contracts extended to 2020.</w:t>
            </w:r>
          </w:p>
          <w:p w:rsidR="007833BF" w:rsidRPr="00B64176" w:rsidRDefault="007833BF" w:rsidP="003550B3">
            <w:pPr>
              <w:jc w:val="both"/>
            </w:pPr>
          </w:p>
        </w:tc>
        <w:tc>
          <w:tcPr>
            <w:tcW w:w="3090" w:type="dxa"/>
            <w:shd w:val="clear" w:color="auto" w:fill="auto"/>
          </w:tcPr>
          <w:p w:rsidR="007833BF" w:rsidRDefault="007833BF" w:rsidP="003550B3">
            <w:pPr>
              <w:rPr>
                <w:b/>
              </w:rPr>
            </w:pPr>
          </w:p>
          <w:p w:rsidR="007833BF" w:rsidRDefault="007833BF" w:rsidP="003550B3">
            <w:pPr>
              <w:rPr>
                <w:b/>
              </w:rPr>
            </w:pPr>
          </w:p>
          <w:p w:rsidR="007833BF" w:rsidRDefault="007833BF" w:rsidP="003550B3">
            <w:pPr>
              <w:rPr>
                <w:b/>
              </w:rPr>
            </w:pPr>
          </w:p>
          <w:p w:rsidR="007833BF" w:rsidRDefault="007833BF" w:rsidP="003550B3">
            <w:pPr>
              <w:rPr>
                <w:b/>
              </w:rPr>
            </w:pPr>
          </w:p>
          <w:p w:rsidR="007833BF" w:rsidRDefault="007833BF" w:rsidP="003550B3">
            <w:pPr>
              <w:rPr>
                <w:b/>
              </w:rPr>
            </w:pPr>
          </w:p>
          <w:p w:rsidR="003550B3" w:rsidRPr="00B64176" w:rsidRDefault="007833BF" w:rsidP="003550B3">
            <w:pPr>
              <w:rPr>
                <w:b/>
              </w:rPr>
            </w:pPr>
            <w:r>
              <w:rPr>
                <w:b/>
              </w:rPr>
              <w:t>Colleagues to contact Care Navigators as no referrals being made to PSH Teams</w:t>
            </w:r>
          </w:p>
        </w:tc>
        <w:tc>
          <w:tcPr>
            <w:tcW w:w="851" w:type="dxa"/>
            <w:shd w:val="clear" w:color="auto" w:fill="auto"/>
          </w:tcPr>
          <w:p w:rsidR="007833BF" w:rsidRDefault="007833BF" w:rsidP="00530946">
            <w:pPr>
              <w:rPr>
                <w:b/>
              </w:rPr>
            </w:pPr>
          </w:p>
          <w:p w:rsidR="007833BF" w:rsidRDefault="007833BF" w:rsidP="00530946">
            <w:pPr>
              <w:rPr>
                <w:b/>
              </w:rPr>
            </w:pPr>
          </w:p>
          <w:p w:rsidR="007833BF" w:rsidRDefault="007833BF" w:rsidP="00530946">
            <w:pPr>
              <w:rPr>
                <w:b/>
              </w:rPr>
            </w:pPr>
          </w:p>
          <w:p w:rsidR="007833BF" w:rsidRDefault="007833BF" w:rsidP="00530946">
            <w:pPr>
              <w:rPr>
                <w:b/>
              </w:rPr>
            </w:pPr>
          </w:p>
          <w:p w:rsidR="007833BF" w:rsidRDefault="007833BF" w:rsidP="00530946">
            <w:pPr>
              <w:rPr>
                <w:b/>
              </w:rPr>
            </w:pPr>
          </w:p>
          <w:p w:rsidR="002D0823" w:rsidRPr="00B64176" w:rsidRDefault="007833BF" w:rsidP="00530946">
            <w:pPr>
              <w:rPr>
                <w:b/>
              </w:rPr>
            </w:pPr>
            <w:r>
              <w:rPr>
                <w:b/>
              </w:rPr>
              <w:t>ASAP</w:t>
            </w:r>
          </w:p>
        </w:tc>
        <w:tc>
          <w:tcPr>
            <w:tcW w:w="850" w:type="dxa"/>
            <w:shd w:val="clear" w:color="auto" w:fill="auto"/>
          </w:tcPr>
          <w:p w:rsidR="007833BF" w:rsidRDefault="007833BF" w:rsidP="00E57AE8">
            <w:pPr>
              <w:rPr>
                <w:b/>
              </w:rPr>
            </w:pPr>
          </w:p>
          <w:p w:rsidR="007833BF" w:rsidRDefault="007833BF" w:rsidP="00E57AE8">
            <w:pPr>
              <w:rPr>
                <w:b/>
              </w:rPr>
            </w:pPr>
          </w:p>
          <w:p w:rsidR="007833BF" w:rsidRDefault="007833BF" w:rsidP="00E57AE8">
            <w:pPr>
              <w:rPr>
                <w:b/>
              </w:rPr>
            </w:pPr>
          </w:p>
          <w:p w:rsidR="007833BF" w:rsidRDefault="007833BF" w:rsidP="00E57AE8">
            <w:pPr>
              <w:rPr>
                <w:b/>
              </w:rPr>
            </w:pPr>
          </w:p>
          <w:p w:rsidR="007833BF" w:rsidRDefault="007833BF" w:rsidP="00E57AE8">
            <w:pPr>
              <w:rPr>
                <w:b/>
              </w:rPr>
            </w:pPr>
          </w:p>
          <w:p w:rsidR="002D0823" w:rsidRPr="00B64176" w:rsidRDefault="007833BF" w:rsidP="00E57AE8">
            <w:pPr>
              <w:rPr>
                <w:b/>
              </w:rPr>
            </w:pPr>
            <w:r>
              <w:rPr>
                <w:b/>
              </w:rPr>
              <w:t>ALL</w:t>
            </w:r>
          </w:p>
        </w:tc>
      </w:tr>
      <w:tr w:rsidR="0081451A" w:rsidRPr="000871E7" w:rsidTr="00F32F5D">
        <w:tc>
          <w:tcPr>
            <w:tcW w:w="992" w:type="dxa"/>
          </w:tcPr>
          <w:p w:rsidR="0081451A" w:rsidRDefault="007833BF" w:rsidP="0081451A">
            <w:r>
              <w:t>2.12</w:t>
            </w:r>
            <w:r w:rsidR="009264FE">
              <w:t>.19</w:t>
            </w:r>
          </w:p>
        </w:tc>
        <w:tc>
          <w:tcPr>
            <w:tcW w:w="1163" w:type="dxa"/>
            <w:shd w:val="clear" w:color="auto" w:fill="auto"/>
          </w:tcPr>
          <w:p w:rsidR="0081451A" w:rsidRPr="00B64176" w:rsidRDefault="009264FE" w:rsidP="0081451A">
            <w:r>
              <w:t>KMHS</w:t>
            </w:r>
          </w:p>
        </w:tc>
        <w:tc>
          <w:tcPr>
            <w:tcW w:w="9072" w:type="dxa"/>
            <w:shd w:val="clear" w:color="auto" w:fill="auto"/>
          </w:tcPr>
          <w:p w:rsidR="009E5FB4" w:rsidRDefault="007833BF" w:rsidP="009E5FB4">
            <w:pPr>
              <w:jc w:val="both"/>
            </w:pPr>
            <w:r>
              <w:t>RS shared an update about the KMHS as part of the written updates.  RS can confirm that an updated version of the document is under development, following the feedback from the consultation.  Any additional news will be shared with the group via email as available.</w:t>
            </w:r>
          </w:p>
          <w:p w:rsidR="009264FE" w:rsidRPr="00B64176" w:rsidRDefault="009264FE" w:rsidP="009E5FB4">
            <w:pPr>
              <w:jc w:val="both"/>
            </w:pPr>
          </w:p>
        </w:tc>
        <w:tc>
          <w:tcPr>
            <w:tcW w:w="3090" w:type="dxa"/>
            <w:shd w:val="clear" w:color="auto" w:fill="auto"/>
          </w:tcPr>
          <w:p w:rsidR="00066FEA" w:rsidRPr="00B64176" w:rsidRDefault="007833BF" w:rsidP="0081451A">
            <w:pPr>
              <w:rPr>
                <w:b/>
              </w:rPr>
            </w:pPr>
            <w:r>
              <w:rPr>
                <w:b/>
              </w:rPr>
              <w:t>RS to share an update on progress when available</w:t>
            </w:r>
          </w:p>
        </w:tc>
        <w:tc>
          <w:tcPr>
            <w:tcW w:w="851" w:type="dxa"/>
            <w:shd w:val="clear" w:color="auto" w:fill="auto"/>
          </w:tcPr>
          <w:p w:rsidR="00066FEA" w:rsidRPr="00066FEA" w:rsidRDefault="005B5C5B" w:rsidP="00066FEA">
            <w:pPr>
              <w:rPr>
                <w:b/>
              </w:rPr>
            </w:pPr>
            <w:r>
              <w:rPr>
                <w:b/>
              </w:rPr>
              <w:t>When avail</w:t>
            </w:r>
          </w:p>
        </w:tc>
        <w:tc>
          <w:tcPr>
            <w:tcW w:w="850" w:type="dxa"/>
            <w:shd w:val="clear" w:color="auto" w:fill="auto"/>
          </w:tcPr>
          <w:p w:rsidR="00066FEA" w:rsidRPr="00B64176" w:rsidRDefault="007833BF" w:rsidP="0081451A">
            <w:pPr>
              <w:rPr>
                <w:b/>
              </w:rPr>
            </w:pPr>
            <w:r>
              <w:rPr>
                <w:b/>
              </w:rPr>
              <w:t>RS</w:t>
            </w:r>
          </w:p>
        </w:tc>
      </w:tr>
      <w:tr w:rsidR="0081451A" w:rsidRPr="000871E7" w:rsidTr="00F32F5D">
        <w:tc>
          <w:tcPr>
            <w:tcW w:w="992" w:type="dxa"/>
          </w:tcPr>
          <w:p w:rsidR="0081451A" w:rsidRDefault="007833BF" w:rsidP="0081451A">
            <w:r>
              <w:t>2.12.</w:t>
            </w:r>
            <w:r w:rsidR="009264FE">
              <w:t>19</w:t>
            </w:r>
          </w:p>
        </w:tc>
        <w:tc>
          <w:tcPr>
            <w:tcW w:w="1163" w:type="dxa"/>
            <w:shd w:val="clear" w:color="auto" w:fill="auto"/>
          </w:tcPr>
          <w:p w:rsidR="0081451A" w:rsidRPr="00B64176" w:rsidRDefault="007833BF" w:rsidP="0081451A">
            <w:r>
              <w:t>Hospital Discharge Network</w:t>
            </w:r>
          </w:p>
        </w:tc>
        <w:tc>
          <w:tcPr>
            <w:tcW w:w="9072" w:type="dxa"/>
            <w:shd w:val="clear" w:color="auto" w:fill="auto"/>
          </w:tcPr>
          <w:p w:rsidR="003F30BD" w:rsidRPr="00B64176" w:rsidRDefault="007833BF" w:rsidP="007833BF">
            <w:pPr>
              <w:jc w:val="both"/>
            </w:pPr>
            <w:r>
              <w:t>Meeting in October 2019, NHS, Government and Private Company.  Mainly NHS, Social Care, HIA, and various speakers.  Magic wand scenarios, next meeting is on February 2020, details to be shared.</w:t>
            </w:r>
          </w:p>
        </w:tc>
        <w:tc>
          <w:tcPr>
            <w:tcW w:w="3090" w:type="dxa"/>
            <w:shd w:val="clear" w:color="auto" w:fill="auto"/>
          </w:tcPr>
          <w:p w:rsidR="00772228" w:rsidRPr="00B64176" w:rsidRDefault="007833BF" w:rsidP="00C41773">
            <w:pPr>
              <w:rPr>
                <w:b/>
              </w:rPr>
            </w:pPr>
            <w:r>
              <w:rPr>
                <w:b/>
              </w:rPr>
              <w:t>Colleagues to share details when made available</w:t>
            </w:r>
          </w:p>
        </w:tc>
        <w:tc>
          <w:tcPr>
            <w:tcW w:w="851" w:type="dxa"/>
            <w:shd w:val="clear" w:color="auto" w:fill="auto"/>
          </w:tcPr>
          <w:p w:rsidR="00772228" w:rsidRPr="00B64176" w:rsidRDefault="007833BF" w:rsidP="0081451A">
            <w:pPr>
              <w:rPr>
                <w:b/>
              </w:rPr>
            </w:pPr>
            <w:r>
              <w:rPr>
                <w:b/>
              </w:rPr>
              <w:t>For Feb 2020</w:t>
            </w:r>
          </w:p>
        </w:tc>
        <w:tc>
          <w:tcPr>
            <w:tcW w:w="850" w:type="dxa"/>
            <w:shd w:val="clear" w:color="auto" w:fill="auto"/>
          </w:tcPr>
          <w:p w:rsidR="00772228" w:rsidRPr="00B64176" w:rsidRDefault="007833BF" w:rsidP="0081451A">
            <w:pPr>
              <w:rPr>
                <w:b/>
              </w:rPr>
            </w:pPr>
            <w:r>
              <w:rPr>
                <w:b/>
              </w:rPr>
              <w:t>ALL</w:t>
            </w:r>
          </w:p>
        </w:tc>
      </w:tr>
      <w:tr w:rsidR="009264FE" w:rsidRPr="000871E7" w:rsidTr="00F32F5D">
        <w:tc>
          <w:tcPr>
            <w:tcW w:w="992" w:type="dxa"/>
          </w:tcPr>
          <w:p w:rsidR="009264FE" w:rsidRDefault="007833BF" w:rsidP="00F46818">
            <w:r>
              <w:lastRenderedPageBreak/>
              <w:t>2.12.19</w:t>
            </w:r>
          </w:p>
        </w:tc>
        <w:tc>
          <w:tcPr>
            <w:tcW w:w="1163" w:type="dxa"/>
            <w:shd w:val="clear" w:color="auto" w:fill="auto"/>
          </w:tcPr>
          <w:p w:rsidR="009264FE" w:rsidRPr="00B64176" w:rsidRDefault="007833BF" w:rsidP="00F46818">
            <w:r>
              <w:t>Big Safety Return</w:t>
            </w:r>
          </w:p>
        </w:tc>
        <w:tc>
          <w:tcPr>
            <w:tcW w:w="9072" w:type="dxa"/>
            <w:shd w:val="clear" w:color="auto" w:fill="auto"/>
          </w:tcPr>
          <w:p w:rsidR="006B7AC9" w:rsidRPr="00B64176" w:rsidRDefault="007833BF" w:rsidP="001F0822">
            <w:r>
              <w:t>End of March, Burden Payment.</w:t>
            </w:r>
          </w:p>
        </w:tc>
        <w:tc>
          <w:tcPr>
            <w:tcW w:w="3090" w:type="dxa"/>
            <w:shd w:val="clear" w:color="auto" w:fill="auto"/>
          </w:tcPr>
          <w:p w:rsidR="001F0822" w:rsidRPr="00B64176" w:rsidRDefault="001F0822" w:rsidP="00F46818">
            <w:pPr>
              <w:rPr>
                <w:b/>
              </w:rPr>
            </w:pPr>
          </w:p>
        </w:tc>
        <w:tc>
          <w:tcPr>
            <w:tcW w:w="851" w:type="dxa"/>
            <w:shd w:val="clear" w:color="auto" w:fill="auto"/>
          </w:tcPr>
          <w:p w:rsidR="001F0822" w:rsidRPr="00B64176" w:rsidRDefault="001F0822" w:rsidP="00F46818">
            <w:pPr>
              <w:rPr>
                <w:b/>
              </w:rPr>
            </w:pPr>
          </w:p>
        </w:tc>
        <w:tc>
          <w:tcPr>
            <w:tcW w:w="850" w:type="dxa"/>
            <w:shd w:val="clear" w:color="auto" w:fill="auto"/>
          </w:tcPr>
          <w:p w:rsidR="001F0822" w:rsidRPr="00B64176" w:rsidRDefault="001F0822" w:rsidP="00F46818">
            <w:pPr>
              <w:rPr>
                <w:b/>
              </w:rPr>
            </w:pPr>
          </w:p>
        </w:tc>
      </w:tr>
      <w:tr w:rsidR="009264FE" w:rsidRPr="000871E7" w:rsidTr="00F32F5D">
        <w:tc>
          <w:tcPr>
            <w:tcW w:w="992" w:type="dxa"/>
          </w:tcPr>
          <w:p w:rsidR="009264FE" w:rsidRDefault="007833BF" w:rsidP="00F46818">
            <w:r>
              <w:t>2.12.19</w:t>
            </w:r>
          </w:p>
        </w:tc>
        <w:tc>
          <w:tcPr>
            <w:tcW w:w="1163" w:type="dxa"/>
            <w:shd w:val="clear" w:color="auto" w:fill="auto"/>
          </w:tcPr>
          <w:p w:rsidR="009264FE" w:rsidRPr="00B64176" w:rsidRDefault="007833BF" w:rsidP="00F46818">
            <w:r>
              <w:t>RISE 2020</w:t>
            </w:r>
          </w:p>
        </w:tc>
        <w:tc>
          <w:tcPr>
            <w:tcW w:w="9072" w:type="dxa"/>
            <w:shd w:val="clear" w:color="auto" w:fill="auto"/>
          </w:tcPr>
          <w:p w:rsidR="009A7812" w:rsidRPr="00B64176" w:rsidRDefault="007833BF" w:rsidP="009A7812">
            <w:pPr>
              <w:jc w:val="both"/>
            </w:pPr>
            <w:r>
              <w:t>Colleagues to approach KP and RS if interested in being part of a sub group to run this event, will want commitment from colleagues, to be aware of what RISE will expect from colleagues before and on the day.  Discussion about whether KPSHG should be there for professionals or clients? Suggestions for the session included a stand with promotional materials/info to share, then have a speaking slot on KCC agenda.</w:t>
            </w:r>
            <w:r w:rsidR="00F74224">
              <w:t xml:space="preserve">  Volunteers included Robin Kennedy, Tim Lovell, Hazel Skinner</w:t>
            </w:r>
            <w:r w:rsidR="00ED33FF">
              <w:t>, Nigel Bucklow</w:t>
            </w:r>
            <w:r w:rsidR="00F74224">
              <w:t xml:space="preserve"> and Donna Crozier.  </w:t>
            </w:r>
          </w:p>
        </w:tc>
        <w:tc>
          <w:tcPr>
            <w:tcW w:w="3090" w:type="dxa"/>
            <w:shd w:val="clear" w:color="auto" w:fill="auto"/>
          </w:tcPr>
          <w:p w:rsidR="009264FE" w:rsidRPr="00B64176" w:rsidRDefault="00F74224" w:rsidP="00F46818">
            <w:pPr>
              <w:rPr>
                <w:b/>
              </w:rPr>
            </w:pPr>
            <w:r>
              <w:rPr>
                <w:b/>
              </w:rPr>
              <w:t>Colleagues to contact KP and RS if want to be involved.  RK to share meeting date for January, to be hosted in Dover.</w:t>
            </w:r>
          </w:p>
        </w:tc>
        <w:tc>
          <w:tcPr>
            <w:tcW w:w="851" w:type="dxa"/>
            <w:shd w:val="clear" w:color="auto" w:fill="auto"/>
          </w:tcPr>
          <w:p w:rsidR="009264FE" w:rsidRPr="00B64176" w:rsidRDefault="00F74224" w:rsidP="00F46818">
            <w:pPr>
              <w:rPr>
                <w:b/>
              </w:rPr>
            </w:pPr>
            <w:r>
              <w:rPr>
                <w:b/>
              </w:rPr>
              <w:t>ASAP</w:t>
            </w:r>
          </w:p>
        </w:tc>
        <w:tc>
          <w:tcPr>
            <w:tcW w:w="850" w:type="dxa"/>
            <w:shd w:val="clear" w:color="auto" w:fill="auto"/>
          </w:tcPr>
          <w:p w:rsidR="00F74224" w:rsidRDefault="00F74224" w:rsidP="00F46818">
            <w:pPr>
              <w:rPr>
                <w:b/>
              </w:rPr>
            </w:pPr>
            <w:r>
              <w:rPr>
                <w:b/>
              </w:rPr>
              <w:t>RK/</w:t>
            </w:r>
          </w:p>
          <w:p w:rsidR="009264FE" w:rsidRPr="00B64176" w:rsidRDefault="00F74224" w:rsidP="00F46818">
            <w:pPr>
              <w:rPr>
                <w:b/>
              </w:rPr>
            </w:pPr>
            <w:r>
              <w:rPr>
                <w:b/>
              </w:rPr>
              <w:t>ALL</w:t>
            </w:r>
          </w:p>
        </w:tc>
      </w:tr>
      <w:tr w:rsidR="009264FE" w:rsidRPr="000871E7" w:rsidTr="00F32F5D">
        <w:tc>
          <w:tcPr>
            <w:tcW w:w="992" w:type="dxa"/>
          </w:tcPr>
          <w:p w:rsidR="009264FE" w:rsidRDefault="007833BF" w:rsidP="0081451A">
            <w:r>
              <w:t>2.12</w:t>
            </w:r>
            <w:r w:rsidR="009264FE">
              <w:t>.19</w:t>
            </w:r>
          </w:p>
        </w:tc>
        <w:tc>
          <w:tcPr>
            <w:tcW w:w="1163" w:type="dxa"/>
            <w:shd w:val="clear" w:color="auto" w:fill="auto"/>
          </w:tcPr>
          <w:p w:rsidR="009264FE" w:rsidRDefault="009264FE" w:rsidP="0081451A">
            <w:r>
              <w:t>AOB</w:t>
            </w:r>
          </w:p>
        </w:tc>
        <w:tc>
          <w:tcPr>
            <w:tcW w:w="9072" w:type="dxa"/>
            <w:shd w:val="clear" w:color="auto" w:fill="auto"/>
          </w:tcPr>
          <w:p w:rsidR="00CE1DC7" w:rsidRDefault="007833BF" w:rsidP="007D605B">
            <w:pPr>
              <w:jc w:val="both"/>
            </w:pPr>
            <w:r>
              <w:t>Meeting dates for KPSHG 2020, agreed to retain four meetings a year on a Monday</w:t>
            </w:r>
          </w:p>
          <w:p w:rsidR="00F74224" w:rsidRDefault="00F74224" w:rsidP="007D605B">
            <w:pPr>
              <w:jc w:val="both"/>
            </w:pPr>
          </w:p>
          <w:p w:rsidR="00F74224" w:rsidRPr="00B64176" w:rsidRDefault="00F74224" w:rsidP="007D605B">
            <w:pPr>
              <w:jc w:val="both"/>
            </w:pPr>
            <w:r>
              <w:t>Kent JMG – quick discussion about the meeting that followed this KPSHG.</w:t>
            </w:r>
          </w:p>
        </w:tc>
        <w:tc>
          <w:tcPr>
            <w:tcW w:w="3090" w:type="dxa"/>
            <w:shd w:val="clear" w:color="auto" w:fill="auto"/>
          </w:tcPr>
          <w:p w:rsidR="00CE1DC7" w:rsidRPr="00B64176" w:rsidRDefault="007833BF" w:rsidP="00C41773">
            <w:pPr>
              <w:rPr>
                <w:b/>
              </w:rPr>
            </w:pPr>
            <w:r>
              <w:rPr>
                <w:b/>
              </w:rPr>
              <w:t>RS to share dates via outlook</w:t>
            </w:r>
          </w:p>
        </w:tc>
        <w:tc>
          <w:tcPr>
            <w:tcW w:w="851" w:type="dxa"/>
            <w:shd w:val="clear" w:color="auto" w:fill="auto"/>
          </w:tcPr>
          <w:p w:rsidR="00CE1DC7" w:rsidRPr="00B64176" w:rsidRDefault="007833BF" w:rsidP="0081451A">
            <w:pPr>
              <w:rPr>
                <w:b/>
              </w:rPr>
            </w:pPr>
            <w:r>
              <w:rPr>
                <w:b/>
              </w:rPr>
              <w:t>ASAP</w:t>
            </w:r>
          </w:p>
        </w:tc>
        <w:tc>
          <w:tcPr>
            <w:tcW w:w="850" w:type="dxa"/>
            <w:shd w:val="clear" w:color="auto" w:fill="auto"/>
          </w:tcPr>
          <w:p w:rsidR="00CE1DC7" w:rsidRPr="00B64176" w:rsidRDefault="007833BF" w:rsidP="0081451A">
            <w:pPr>
              <w:rPr>
                <w:b/>
              </w:rPr>
            </w:pPr>
            <w:r>
              <w:rPr>
                <w:b/>
              </w:rPr>
              <w:t>RS</w:t>
            </w:r>
          </w:p>
        </w:tc>
      </w:tr>
    </w:tbl>
    <w:p w:rsidR="00443F82" w:rsidRDefault="00443F82" w:rsidP="007D605B"/>
    <w:p w:rsidR="00766F83" w:rsidRPr="00766F83" w:rsidRDefault="00120C24" w:rsidP="007D605B">
      <w:pPr>
        <w:rPr>
          <w:b/>
        </w:rPr>
      </w:pPr>
      <w:r>
        <w:rPr>
          <w:b/>
        </w:rPr>
        <w:t xml:space="preserve">Thanks noted to </w:t>
      </w:r>
      <w:r w:rsidR="00F74224">
        <w:rPr>
          <w:b/>
        </w:rPr>
        <w:t>TMBC f</w:t>
      </w:r>
      <w:r w:rsidR="00766F83" w:rsidRPr="00766F83">
        <w:rPr>
          <w:b/>
        </w:rPr>
        <w:t>or hosting the meeting</w:t>
      </w:r>
      <w:r w:rsidR="00ED33FF">
        <w:rPr>
          <w:b/>
        </w:rPr>
        <w:t xml:space="preserve"> and to James Cox for taking notes.</w:t>
      </w:r>
    </w:p>
    <w:sectPr w:rsidR="00766F83" w:rsidRPr="00766F83" w:rsidSect="005B5C5B">
      <w:headerReference w:type="default" r:id="rId9"/>
      <w:footerReference w:type="default" r:id="rId10"/>
      <w:pgSz w:w="16838" w:h="11906" w:orient="landscape"/>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A8" w:rsidRDefault="00D53AA8" w:rsidP="001D0582">
      <w:pPr>
        <w:spacing w:after="0" w:line="240" w:lineRule="auto"/>
      </w:pPr>
      <w:r>
        <w:separator/>
      </w:r>
    </w:p>
  </w:endnote>
  <w:endnote w:type="continuationSeparator" w:id="0">
    <w:p w:rsidR="00D53AA8" w:rsidRDefault="00D53AA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736"/>
      <w:docPartObj>
        <w:docPartGallery w:val="Page Numbers (Bottom of Page)"/>
        <w:docPartUnique/>
      </w:docPartObj>
    </w:sdtPr>
    <w:sdtEndPr>
      <w:rPr>
        <w:noProof/>
      </w:rPr>
    </w:sdtEndPr>
    <w:sdtContent>
      <w:p w:rsidR="007833BF" w:rsidRDefault="007833BF">
        <w:pPr>
          <w:pStyle w:val="Footer"/>
          <w:jc w:val="right"/>
        </w:pPr>
        <w:r>
          <w:fldChar w:fldCharType="begin"/>
        </w:r>
        <w:r>
          <w:instrText xml:space="preserve"> PAGE   \* MERGEFORMAT </w:instrText>
        </w:r>
        <w:r>
          <w:fldChar w:fldCharType="separate"/>
        </w:r>
        <w:r w:rsidR="004C4971">
          <w:rPr>
            <w:noProof/>
          </w:rPr>
          <w:t>2</w:t>
        </w:r>
        <w:r>
          <w:rPr>
            <w:noProof/>
          </w:rPr>
          <w:fldChar w:fldCharType="end"/>
        </w:r>
      </w:p>
    </w:sdtContent>
  </w:sdt>
  <w:p w:rsidR="007833BF" w:rsidRDefault="0078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A8" w:rsidRDefault="00D53AA8" w:rsidP="001D0582">
      <w:pPr>
        <w:spacing w:after="0" w:line="240" w:lineRule="auto"/>
      </w:pPr>
      <w:r>
        <w:separator/>
      </w:r>
    </w:p>
  </w:footnote>
  <w:footnote w:type="continuationSeparator" w:id="0">
    <w:p w:rsidR="00D53AA8" w:rsidRDefault="00D53AA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12015"/>
      <w:docPartObj>
        <w:docPartGallery w:val="Watermarks"/>
        <w:docPartUnique/>
      </w:docPartObj>
    </w:sdtPr>
    <w:sdtEndPr/>
    <w:sdtContent>
      <w:p w:rsidR="007833BF" w:rsidRDefault="004C497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C3C"/>
    <w:multiLevelType w:val="hybridMultilevel"/>
    <w:tmpl w:val="D1740EF8"/>
    <w:lvl w:ilvl="0" w:tplc="C8F4CA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3D78"/>
    <w:rsid w:val="00052B43"/>
    <w:rsid w:val="00056437"/>
    <w:rsid w:val="00061235"/>
    <w:rsid w:val="00062D95"/>
    <w:rsid w:val="00066FEA"/>
    <w:rsid w:val="00080E0D"/>
    <w:rsid w:val="000871E7"/>
    <w:rsid w:val="00091349"/>
    <w:rsid w:val="000946BF"/>
    <w:rsid w:val="00094D7E"/>
    <w:rsid w:val="00094E6C"/>
    <w:rsid w:val="000A509D"/>
    <w:rsid w:val="000B37B7"/>
    <w:rsid w:val="000B4C89"/>
    <w:rsid w:val="000B62C2"/>
    <w:rsid w:val="000C6CBB"/>
    <w:rsid w:val="000D61E5"/>
    <w:rsid w:val="000D7385"/>
    <w:rsid w:val="000E423F"/>
    <w:rsid w:val="000E6197"/>
    <w:rsid w:val="000F5AD7"/>
    <w:rsid w:val="001024BE"/>
    <w:rsid w:val="00111B2B"/>
    <w:rsid w:val="0011576E"/>
    <w:rsid w:val="001207A3"/>
    <w:rsid w:val="001207C1"/>
    <w:rsid w:val="001209A7"/>
    <w:rsid w:val="00120C24"/>
    <w:rsid w:val="001262F3"/>
    <w:rsid w:val="00150D2E"/>
    <w:rsid w:val="00156EA5"/>
    <w:rsid w:val="0018150A"/>
    <w:rsid w:val="00182CF3"/>
    <w:rsid w:val="001A1975"/>
    <w:rsid w:val="001A714A"/>
    <w:rsid w:val="001C1CF6"/>
    <w:rsid w:val="001D0582"/>
    <w:rsid w:val="001F0822"/>
    <w:rsid w:val="00200B68"/>
    <w:rsid w:val="00212326"/>
    <w:rsid w:val="002147E0"/>
    <w:rsid w:val="00214808"/>
    <w:rsid w:val="00275500"/>
    <w:rsid w:val="0027694D"/>
    <w:rsid w:val="00282C2D"/>
    <w:rsid w:val="00293C7B"/>
    <w:rsid w:val="002949BD"/>
    <w:rsid w:val="002B79A0"/>
    <w:rsid w:val="002C4971"/>
    <w:rsid w:val="002C49C7"/>
    <w:rsid w:val="002D0823"/>
    <w:rsid w:val="00315A2C"/>
    <w:rsid w:val="0032173E"/>
    <w:rsid w:val="0033294D"/>
    <w:rsid w:val="003341F6"/>
    <w:rsid w:val="003461C6"/>
    <w:rsid w:val="003525CC"/>
    <w:rsid w:val="003550B3"/>
    <w:rsid w:val="003753FE"/>
    <w:rsid w:val="003805C2"/>
    <w:rsid w:val="003824BC"/>
    <w:rsid w:val="003900EE"/>
    <w:rsid w:val="00391561"/>
    <w:rsid w:val="00392EA8"/>
    <w:rsid w:val="003A092E"/>
    <w:rsid w:val="003A12E5"/>
    <w:rsid w:val="003C7930"/>
    <w:rsid w:val="003E602B"/>
    <w:rsid w:val="003F30BD"/>
    <w:rsid w:val="003F5CB0"/>
    <w:rsid w:val="003F5E83"/>
    <w:rsid w:val="003F784E"/>
    <w:rsid w:val="004128AB"/>
    <w:rsid w:val="004241B5"/>
    <w:rsid w:val="00435D76"/>
    <w:rsid w:val="00443F82"/>
    <w:rsid w:val="00451409"/>
    <w:rsid w:val="004564B5"/>
    <w:rsid w:val="00474A12"/>
    <w:rsid w:val="00475C43"/>
    <w:rsid w:val="004774EB"/>
    <w:rsid w:val="00486834"/>
    <w:rsid w:val="00493424"/>
    <w:rsid w:val="004A2DD9"/>
    <w:rsid w:val="004B4C05"/>
    <w:rsid w:val="004C4971"/>
    <w:rsid w:val="004C57A0"/>
    <w:rsid w:val="004C6484"/>
    <w:rsid w:val="004D1D2D"/>
    <w:rsid w:val="004F0546"/>
    <w:rsid w:val="004F68FD"/>
    <w:rsid w:val="00501302"/>
    <w:rsid w:val="00513594"/>
    <w:rsid w:val="00530946"/>
    <w:rsid w:val="00530E55"/>
    <w:rsid w:val="005344E3"/>
    <w:rsid w:val="005755F2"/>
    <w:rsid w:val="00596291"/>
    <w:rsid w:val="005A7FF7"/>
    <w:rsid w:val="005B5C5B"/>
    <w:rsid w:val="005C1228"/>
    <w:rsid w:val="005D1AB8"/>
    <w:rsid w:val="005D68EF"/>
    <w:rsid w:val="005F4730"/>
    <w:rsid w:val="005F61E0"/>
    <w:rsid w:val="0062646A"/>
    <w:rsid w:val="00647CA0"/>
    <w:rsid w:val="00655900"/>
    <w:rsid w:val="00657AAD"/>
    <w:rsid w:val="006A0F46"/>
    <w:rsid w:val="006B7AC9"/>
    <w:rsid w:val="006D0B83"/>
    <w:rsid w:val="006D52CE"/>
    <w:rsid w:val="006E6AF0"/>
    <w:rsid w:val="00706F3A"/>
    <w:rsid w:val="00707E57"/>
    <w:rsid w:val="00735129"/>
    <w:rsid w:val="007646E6"/>
    <w:rsid w:val="007652BA"/>
    <w:rsid w:val="00766F83"/>
    <w:rsid w:val="00770C5E"/>
    <w:rsid w:val="00772228"/>
    <w:rsid w:val="007833BF"/>
    <w:rsid w:val="00791545"/>
    <w:rsid w:val="007A6F77"/>
    <w:rsid w:val="007D1936"/>
    <w:rsid w:val="007D3984"/>
    <w:rsid w:val="007D605B"/>
    <w:rsid w:val="007D6567"/>
    <w:rsid w:val="007E6F98"/>
    <w:rsid w:val="00805832"/>
    <w:rsid w:val="0081451A"/>
    <w:rsid w:val="0083090E"/>
    <w:rsid w:val="008319F8"/>
    <w:rsid w:val="00840DD3"/>
    <w:rsid w:val="008411F0"/>
    <w:rsid w:val="00843F80"/>
    <w:rsid w:val="00856E02"/>
    <w:rsid w:val="00874B16"/>
    <w:rsid w:val="008776CE"/>
    <w:rsid w:val="00885C4C"/>
    <w:rsid w:val="008B438C"/>
    <w:rsid w:val="008B509D"/>
    <w:rsid w:val="008C358B"/>
    <w:rsid w:val="008E741A"/>
    <w:rsid w:val="008E7E63"/>
    <w:rsid w:val="008F1C8E"/>
    <w:rsid w:val="008F7807"/>
    <w:rsid w:val="009104F9"/>
    <w:rsid w:val="009264FE"/>
    <w:rsid w:val="00940FB0"/>
    <w:rsid w:val="0097052A"/>
    <w:rsid w:val="00986AB8"/>
    <w:rsid w:val="009A0630"/>
    <w:rsid w:val="009A7812"/>
    <w:rsid w:val="009C1A42"/>
    <w:rsid w:val="009C3D93"/>
    <w:rsid w:val="009E5FB4"/>
    <w:rsid w:val="009E732B"/>
    <w:rsid w:val="00A15C41"/>
    <w:rsid w:val="00A2071E"/>
    <w:rsid w:val="00A2502B"/>
    <w:rsid w:val="00A2572E"/>
    <w:rsid w:val="00A34067"/>
    <w:rsid w:val="00A7464B"/>
    <w:rsid w:val="00A74FDB"/>
    <w:rsid w:val="00A91826"/>
    <w:rsid w:val="00AA5227"/>
    <w:rsid w:val="00AC037C"/>
    <w:rsid w:val="00AF3C5C"/>
    <w:rsid w:val="00B01805"/>
    <w:rsid w:val="00B14684"/>
    <w:rsid w:val="00B2799E"/>
    <w:rsid w:val="00B56E43"/>
    <w:rsid w:val="00B56EBC"/>
    <w:rsid w:val="00B57D19"/>
    <w:rsid w:val="00B64176"/>
    <w:rsid w:val="00B77576"/>
    <w:rsid w:val="00B8529C"/>
    <w:rsid w:val="00BB1E8F"/>
    <w:rsid w:val="00BC5559"/>
    <w:rsid w:val="00BC7803"/>
    <w:rsid w:val="00BD02E2"/>
    <w:rsid w:val="00BD2178"/>
    <w:rsid w:val="00BD2950"/>
    <w:rsid w:val="00BE5D7D"/>
    <w:rsid w:val="00BF07DA"/>
    <w:rsid w:val="00BF31E9"/>
    <w:rsid w:val="00C011BA"/>
    <w:rsid w:val="00C039E0"/>
    <w:rsid w:val="00C0468A"/>
    <w:rsid w:val="00C2230C"/>
    <w:rsid w:val="00C31779"/>
    <w:rsid w:val="00C41773"/>
    <w:rsid w:val="00C70D27"/>
    <w:rsid w:val="00C70D6A"/>
    <w:rsid w:val="00C8153F"/>
    <w:rsid w:val="00C919AF"/>
    <w:rsid w:val="00C91AE4"/>
    <w:rsid w:val="00CA27E0"/>
    <w:rsid w:val="00CA552E"/>
    <w:rsid w:val="00CA6BFB"/>
    <w:rsid w:val="00CC19AE"/>
    <w:rsid w:val="00CC19C9"/>
    <w:rsid w:val="00CC5D2C"/>
    <w:rsid w:val="00CD3142"/>
    <w:rsid w:val="00CD7B37"/>
    <w:rsid w:val="00CE146E"/>
    <w:rsid w:val="00CE1DC7"/>
    <w:rsid w:val="00CE57BD"/>
    <w:rsid w:val="00CE604B"/>
    <w:rsid w:val="00CF109C"/>
    <w:rsid w:val="00D20EEA"/>
    <w:rsid w:val="00D239CC"/>
    <w:rsid w:val="00D3313F"/>
    <w:rsid w:val="00D35225"/>
    <w:rsid w:val="00D53AA8"/>
    <w:rsid w:val="00D55EE3"/>
    <w:rsid w:val="00D619CF"/>
    <w:rsid w:val="00D642D4"/>
    <w:rsid w:val="00D64DF9"/>
    <w:rsid w:val="00D8644A"/>
    <w:rsid w:val="00D87615"/>
    <w:rsid w:val="00D91063"/>
    <w:rsid w:val="00DA1C96"/>
    <w:rsid w:val="00DB598E"/>
    <w:rsid w:val="00DE1832"/>
    <w:rsid w:val="00DE6042"/>
    <w:rsid w:val="00DF2FAC"/>
    <w:rsid w:val="00DF46AC"/>
    <w:rsid w:val="00E02F23"/>
    <w:rsid w:val="00E128D7"/>
    <w:rsid w:val="00E45720"/>
    <w:rsid w:val="00E57AE8"/>
    <w:rsid w:val="00E72115"/>
    <w:rsid w:val="00E805A7"/>
    <w:rsid w:val="00E95894"/>
    <w:rsid w:val="00E961EC"/>
    <w:rsid w:val="00E97F02"/>
    <w:rsid w:val="00EA4646"/>
    <w:rsid w:val="00EB1CF0"/>
    <w:rsid w:val="00ED33FF"/>
    <w:rsid w:val="00EF5DF0"/>
    <w:rsid w:val="00F32F5D"/>
    <w:rsid w:val="00F46818"/>
    <w:rsid w:val="00F4695A"/>
    <w:rsid w:val="00F47204"/>
    <w:rsid w:val="00F513B0"/>
    <w:rsid w:val="00F564FC"/>
    <w:rsid w:val="00F74224"/>
    <w:rsid w:val="00F937AB"/>
    <w:rsid w:val="00FB113B"/>
    <w:rsid w:val="00FC77C1"/>
    <w:rsid w:val="00FE4392"/>
    <w:rsid w:val="00FF4A0F"/>
    <w:rsid w:val="00FF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B7EE76-5AD7-4BF2-A71D-628941B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946"/>
    <w:rPr>
      <w:sz w:val="16"/>
      <w:szCs w:val="16"/>
    </w:rPr>
  </w:style>
  <w:style w:type="paragraph" w:styleId="CommentText">
    <w:name w:val="annotation text"/>
    <w:basedOn w:val="Normal"/>
    <w:link w:val="CommentTextChar"/>
    <w:uiPriority w:val="99"/>
    <w:semiHidden/>
    <w:unhideWhenUsed/>
    <w:rsid w:val="00530946"/>
    <w:pPr>
      <w:spacing w:line="240" w:lineRule="auto"/>
    </w:pPr>
    <w:rPr>
      <w:sz w:val="20"/>
      <w:szCs w:val="20"/>
    </w:rPr>
  </w:style>
  <w:style w:type="character" w:customStyle="1" w:styleId="CommentTextChar">
    <w:name w:val="Comment Text Char"/>
    <w:basedOn w:val="DefaultParagraphFont"/>
    <w:link w:val="CommentText"/>
    <w:uiPriority w:val="99"/>
    <w:semiHidden/>
    <w:rsid w:val="00530946"/>
    <w:rPr>
      <w:sz w:val="20"/>
      <w:szCs w:val="20"/>
    </w:rPr>
  </w:style>
  <w:style w:type="paragraph" w:styleId="CommentSubject">
    <w:name w:val="annotation subject"/>
    <w:basedOn w:val="CommentText"/>
    <w:next w:val="CommentText"/>
    <w:link w:val="CommentSubjectChar"/>
    <w:uiPriority w:val="99"/>
    <w:semiHidden/>
    <w:unhideWhenUsed/>
    <w:rsid w:val="00530946"/>
    <w:rPr>
      <w:b/>
      <w:bCs/>
    </w:rPr>
  </w:style>
  <w:style w:type="character" w:customStyle="1" w:styleId="CommentSubjectChar">
    <w:name w:val="Comment Subject Char"/>
    <w:basedOn w:val="CommentTextChar"/>
    <w:link w:val="CommentSubject"/>
    <w:uiPriority w:val="99"/>
    <w:semiHidden/>
    <w:rsid w:val="00530946"/>
    <w:rPr>
      <w:b/>
      <w:bCs/>
      <w:sz w:val="20"/>
      <w:szCs w:val="20"/>
    </w:rPr>
  </w:style>
  <w:style w:type="paragraph" w:styleId="BalloonText">
    <w:name w:val="Balloon Text"/>
    <w:basedOn w:val="Normal"/>
    <w:link w:val="BalloonTextChar"/>
    <w:uiPriority w:val="99"/>
    <w:semiHidden/>
    <w:unhideWhenUsed/>
    <w:rsid w:val="0053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eilby@tmb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66A9-1584-4261-8B11-480D65F6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E6EDD232.dotm</Template>
  <TotalTime>0</TotalTime>
  <Pages>3</Pages>
  <Words>925</Words>
  <Characters>4834</Characters>
  <Application>Microsoft Office Word</Application>
  <DocSecurity>4</DocSecurity>
  <Lines>166</Lines>
  <Paragraphs>81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2019-12-04T13:26:00Z</dcterms:created>
  <dcterms:modified xsi:type="dcterms:W3CDTF">2019-12-04T13:26:00Z</dcterms:modified>
</cp:coreProperties>
</file>