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6F3586" w:rsidP="00933209">
      <w:pPr>
        <w:tabs>
          <w:tab w:val="left" w:pos="3533"/>
          <w:tab w:val="center" w:pos="6979"/>
        </w:tabs>
        <w:rPr>
          <w:b/>
          <w:sz w:val="28"/>
          <w:szCs w:val="28"/>
          <w:u w:val="double" w:color="0070C0"/>
        </w:rPr>
      </w:pPr>
      <w:r>
        <w:rPr>
          <w:b/>
          <w:sz w:val="28"/>
          <w:szCs w:val="28"/>
          <w:u w:val="double" w:color="0070C0"/>
        </w:rPr>
        <w:t>KHG</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w:t>
      </w:r>
      <w:r w:rsidR="00685510">
        <w:rPr>
          <w:b/>
          <w:sz w:val="28"/>
          <w:szCs w:val="28"/>
          <w:u w:val="double" w:color="0070C0"/>
        </w:rPr>
        <w:t>16</w:t>
      </w:r>
      <w:r w:rsidR="00685510" w:rsidRPr="00685510">
        <w:rPr>
          <w:b/>
          <w:sz w:val="28"/>
          <w:szCs w:val="28"/>
          <w:u w:val="double" w:color="0070C0"/>
          <w:vertAlign w:val="superscript"/>
        </w:rPr>
        <w:t>th</w:t>
      </w:r>
      <w:r w:rsidR="00685510">
        <w:rPr>
          <w:b/>
          <w:sz w:val="28"/>
          <w:szCs w:val="28"/>
          <w:u w:val="double" w:color="0070C0"/>
        </w:rPr>
        <w:t xml:space="preserve"> May</w:t>
      </w:r>
      <w:r w:rsidR="002479D5">
        <w:rPr>
          <w:b/>
          <w:sz w:val="28"/>
          <w:szCs w:val="28"/>
          <w:u w:val="double" w:color="0070C0"/>
        </w:rPr>
        <w:t xml:space="preserve"> </w:t>
      </w:r>
      <w:r w:rsidR="00C86D65">
        <w:rPr>
          <w:b/>
          <w:sz w:val="28"/>
          <w:szCs w:val="28"/>
          <w:u w:val="double" w:color="0070C0"/>
        </w:rPr>
        <w:t>2018</w:t>
      </w:r>
      <w:r w:rsidR="004A500E">
        <w:rPr>
          <w:b/>
          <w:sz w:val="28"/>
          <w:szCs w:val="28"/>
          <w:u w:val="double" w:color="0070C0"/>
        </w:rPr>
        <w:t xml:space="preserve">, </w:t>
      </w:r>
      <w:r w:rsidR="00685510">
        <w:rPr>
          <w:b/>
          <w:sz w:val="28"/>
          <w:szCs w:val="28"/>
          <w:u w:val="double" w:color="0070C0"/>
        </w:rPr>
        <w:t>KCC Sessions House, Maidstone, Kent</w:t>
      </w:r>
    </w:p>
    <w:tbl>
      <w:tblPr>
        <w:tblStyle w:val="TableGrid"/>
        <w:tblW w:w="16019" w:type="dxa"/>
        <w:tblInd w:w="-856" w:type="dxa"/>
        <w:tblLayout w:type="fixed"/>
        <w:tblLook w:val="04A0" w:firstRow="1" w:lastRow="0" w:firstColumn="1" w:lastColumn="0" w:noHBand="0" w:noVBand="1"/>
      </w:tblPr>
      <w:tblGrid>
        <w:gridCol w:w="2411"/>
        <w:gridCol w:w="7228"/>
        <w:gridCol w:w="3970"/>
        <w:gridCol w:w="992"/>
        <w:gridCol w:w="1370"/>
        <w:gridCol w:w="48"/>
      </w:tblGrid>
      <w:tr w:rsidR="00B613D2" w:rsidRPr="00745BAC" w:rsidTr="00420965">
        <w:trPr>
          <w:gridAfter w:val="1"/>
          <w:wAfter w:w="48" w:type="dxa"/>
        </w:trPr>
        <w:tc>
          <w:tcPr>
            <w:tcW w:w="15971" w:type="dxa"/>
            <w:gridSpan w:val="5"/>
            <w:shd w:val="clear" w:color="auto" w:fill="0070C0"/>
          </w:tcPr>
          <w:p w:rsidR="00B613D2" w:rsidRPr="00B5373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A774F5">
              <w:rPr>
                <w:rFonts w:cstheme="minorHAnsi"/>
                <w:color w:val="FFFFFF" w:themeColor="background1"/>
              </w:rPr>
              <w:t xml:space="preserve">Jo Ellis, Vice Chair &amp; TCHG; Rebecca Smith, KHG; Deborah White, West Kent HA; Mark Breathwick , Medway Council; Stephanie Goad, MHS Homes; Mark Leader, West Kent HA; Debra Exall, KCC; Stephen Elliot, Riverside; Bev Covington, Clarion HG; Andy Kefford, Sevenoaks DC; Terry Spillard, Optivo; Peter Dosad, Dartford BC; Paul Whitfield, Dover DC; Kevin Hetherington, KHC; Rebecca Walker, Swale BC; Brian Horton, SELEP; Emma Bartlett, Canterbury CC; Jane Smither, TMBC &amp; KHOG Chair; John Littlemore, JPPB Chair &amp; Maidstone BC; Christy Holden, KCC; Eileen Martin, Events Chair &amp; Optivo; Sasha Harrison, Southern HG; Marion Money, NLA; </w:t>
            </w:r>
            <w:r w:rsidR="001C0BF2">
              <w:rPr>
                <w:rFonts w:cstheme="minorHAnsi"/>
                <w:color w:val="FFFFFF" w:themeColor="background1"/>
              </w:rPr>
              <w:t>Ashley Jackson, Thanet DC; Jo Scullion, Gravesend Churches HA; Kerry Petts, Folkestone &amp; Hythe DC; Maria Jacobs, Moat; Olushola Alao, Hyde Housing; Wale Adetoro, Gravesham BC;</w:t>
            </w:r>
          </w:p>
          <w:p w:rsidR="00B613D2" w:rsidRPr="00B53735" w:rsidRDefault="00B613D2" w:rsidP="00F6297A">
            <w:pPr>
              <w:jc w:val="center"/>
              <w:rPr>
                <w:color w:val="FFFFFF" w:themeColor="background1"/>
              </w:rPr>
            </w:pPr>
          </w:p>
          <w:p w:rsidR="00074BA3" w:rsidRDefault="00B613D2" w:rsidP="00F6297A">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w:t>
            </w:r>
            <w:r w:rsidR="00FE7CE2">
              <w:rPr>
                <w:rFonts w:cstheme="minorHAnsi"/>
                <w:color w:val="FFFFFF" w:themeColor="background1"/>
              </w:rPr>
              <w:t xml:space="preserve"> Jane Iley, Rapport Housing; Ashley Hook, MHS Homes; Linda Hibbs, TMBC; Richard Longman, Thames Gateway Kent; Vicky Hodson, Kent Homechoice; Jane Lang, TWBC; Sharon Williams, Ashford BC; Ruth Williamson &amp; Dave Smith, NHF; Claire Keeling, Gravesham BC; Hayley Brooks, Sevenoaks DC;</w:t>
            </w:r>
            <w:r w:rsidR="001C0BF2">
              <w:rPr>
                <w:rFonts w:cstheme="minorHAnsi"/>
                <w:color w:val="FFFFFF" w:themeColor="background1"/>
              </w:rPr>
              <w:t xml:space="preserve"> </w:t>
            </w:r>
            <w:r w:rsidR="00FE7CE2">
              <w:rPr>
                <w:rFonts w:cstheme="minorHAnsi"/>
                <w:color w:val="FFFFFF" w:themeColor="background1"/>
              </w:rPr>
              <w:t xml:space="preserve"> Helen Critcher, Golding Homes; Suzanne Smith, MHS Homes; Caroline Smith, KCC; Sarah Robson, Chair &amp; Folkestone &amp; Hythe District Council</w:t>
            </w:r>
            <w:r w:rsidR="00AE4DBC">
              <w:rPr>
                <w:rFonts w:cstheme="minorHAnsi"/>
                <w:color w:val="FFFFFF" w:themeColor="background1"/>
              </w:rPr>
              <w:t xml:space="preserve">; Adrian Hammond, Folkestone &amp; Hythe DC; </w:t>
            </w:r>
            <w:r w:rsidR="00AD6E36">
              <w:rPr>
                <w:rFonts w:cstheme="minorHAnsi"/>
                <w:color w:val="FFFFFF" w:themeColor="background1"/>
              </w:rPr>
              <w:t>Gillian Aylett, TMBC</w:t>
            </w:r>
            <w:r w:rsidR="00B16251">
              <w:rPr>
                <w:rFonts w:cstheme="minorHAnsi"/>
                <w:color w:val="FFFFFF" w:themeColor="background1"/>
              </w:rPr>
              <w:t>; Paul Thomas, SELEP</w:t>
            </w:r>
            <w:r w:rsidR="00A774F5">
              <w:rPr>
                <w:rFonts w:cstheme="minorHAnsi"/>
                <w:color w:val="FFFFFF" w:themeColor="background1"/>
              </w:rPr>
              <w:t>; Nick Fenton, KDG</w:t>
            </w:r>
            <w:r w:rsidR="001C0BF2">
              <w:rPr>
                <w:rFonts w:cstheme="minorHAnsi"/>
                <w:color w:val="FFFFFF" w:themeColor="background1"/>
              </w:rPr>
              <w:t xml:space="preserve">; Steve Fox, Gravesend Churches HA; Melanie Anthony, KCC; Tim Woolmer, KCC; Sarah Lewis , HSEG &amp; TWBC; Rebecca Clarke, CIH; Donna Pearson, Pathways to Independence; </w:t>
            </w:r>
            <w:r w:rsidR="0010001E">
              <w:rPr>
                <w:rFonts w:cstheme="minorHAnsi"/>
                <w:color w:val="FFFFFF" w:themeColor="background1"/>
              </w:rPr>
              <w:t>Marc Blowers, Medway Council</w:t>
            </w:r>
            <w:bookmarkStart w:id="0" w:name="_GoBack"/>
            <w:bookmarkEnd w:id="0"/>
          </w:p>
          <w:p w:rsidR="002F5ABE" w:rsidRPr="00B53735" w:rsidRDefault="002F5ABE" w:rsidP="00F6297A">
            <w:pPr>
              <w:rPr>
                <w:rFonts w:cstheme="minorHAnsi"/>
                <w:color w:val="FFFFFF" w:themeColor="background1"/>
              </w:rPr>
            </w:pPr>
          </w:p>
          <w:p w:rsidR="00B613D2" w:rsidRDefault="00B613D2" w:rsidP="00F6297A">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xml:space="preserve">: </w:t>
            </w:r>
            <w:r w:rsidR="00507EA7">
              <w:rPr>
                <w:rFonts w:cstheme="minorHAnsi"/>
                <w:color w:val="FFFFFF" w:themeColor="background1"/>
              </w:rPr>
              <w:t xml:space="preserve"> </w:t>
            </w:r>
            <w:r w:rsidR="00FE7CE2">
              <w:rPr>
                <w:rFonts w:cstheme="minorHAnsi"/>
                <w:color w:val="FFFFFF" w:themeColor="background1"/>
              </w:rPr>
              <w:t>Simon Ryan, Gen2; Kieron Wasdall &amp; Julie Johnson, Kent Estates Partnership; Katherine Atkinson, KCC; Carol Cairns, Homes England; Cathy Bellman, K&amp;M STP; Ian Weightman, Context Housing Finance</w:t>
            </w:r>
            <w:r w:rsidR="001C0BF2">
              <w:rPr>
                <w:rFonts w:cstheme="minorHAnsi"/>
                <w:color w:val="FFFFFF" w:themeColor="background1"/>
              </w:rPr>
              <w:t xml:space="preserve">; </w:t>
            </w:r>
            <w:r w:rsidR="00FE7CE2">
              <w:rPr>
                <w:rFonts w:cstheme="minorHAnsi"/>
                <w:color w:val="FFFFFF" w:themeColor="background1"/>
              </w:rPr>
              <w:t xml:space="preserve"> Tony Doran, Virtual School Kent</w:t>
            </w:r>
          </w:p>
          <w:p w:rsidR="00B613D2" w:rsidRPr="00745BAC" w:rsidRDefault="00B613D2" w:rsidP="00F6297A">
            <w:pPr>
              <w:rPr>
                <w:rFonts w:cstheme="minorHAnsi"/>
                <w:color w:val="FFFFFF" w:themeColor="background1"/>
              </w:rPr>
            </w:pPr>
          </w:p>
        </w:tc>
      </w:tr>
      <w:tr w:rsidR="00C86D65" w:rsidRPr="00745BAC" w:rsidTr="002D0116">
        <w:tc>
          <w:tcPr>
            <w:tcW w:w="2411" w:type="dxa"/>
            <w:shd w:val="clear" w:color="auto" w:fill="DBE5F1" w:themeFill="accent1" w:themeFillTint="33"/>
          </w:tcPr>
          <w:p w:rsidR="00C86D65" w:rsidRPr="00745BAC" w:rsidRDefault="00C86D65" w:rsidP="008719B0">
            <w:pPr>
              <w:jc w:val="center"/>
              <w:rPr>
                <w:b/>
              </w:rPr>
            </w:pPr>
            <w:r w:rsidRPr="00745BAC">
              <w:rPr>
                <w:b/>
              </w:rPr>
              <w:t>Reference</w:t>
            </w:r>
          </w:p>
        </w:tc>
        <w:tc>
          <w:tcPr>
            <w:tcW w:w="7228" w:type="dxa"/>
            <w:shd w:val="clear" w:color="auto" w:fill="DBE5F1" w:themeFill="accent1" w:themeFillTint="33"/>
          </w:tcPr>
          <w:p w:rsidR="00C86D65" w:rsidRPr="00745BAC" w:rsidRDefault="00C86D65" w:rsidP="002B184E">
            <w:pPr>
              <w:jc w:val="center"/>
              <w:rPr>
                <w:b/>
              </w:rPr>
            </w:pPr>
            <w:r>
              <w:rPr>
                <w:b/>
              </w:rPr>
              <w:t>Notes</w:t>
            </w:r>
          </w:p>
        </w:tc>
        <w:tc>
          <w:tcPr>
            <w:tcW w:w="3970" w:type="dxa"/>
            <w:shd w:val="clear" w:color="auto" w:fill="DBE5F1" w:themeFill="accent1" w:themeFillTint="33"/>
          </w:tcPr>
          <w:p w:rsidR="00C86D65" w:rsidRPr="00745BAC" w:rsidRDefault="00C86D65" w:rsidP="008719B0">
            <w:pPr>
              <w:jc w:val="center"/>
              <w:rPr>
                <w:b/>
              </w:rPr>
            </w:pPr>
            <w:r w:rsidRPr="00745BAC">
              <w:rPr>
                <w:b/>
              </w:rPr>
              <w:t>Action/Decision</w:t>
            </w:r>
          </w:p>
        </w:tc>
        <w:tc>
          <w:tcPr>
            <w:tcW w:w="992" w:type="dxa"/>
            <w:shd w:val="clear" w:color="auto" w:fill="DBE5F1" w:themeFill="accent1" w:themeFillTint="33"/>
          </w:tcPr>
          <w:p w:rsidR="00C86D65" w:rsidRPr="00745BAC" w:rsidRDefault="00C86D65" w:rsidP="00E9001C">
            <w:pPr>
              <w:jc w:val="center"/>
              <w:rPr>
                <w:b/>
              </w:rPr>
            </w:pPr>
            <w:r>
              <w:rPr>
                <w:b/>
              </w:rPr>
              <w:t xml:space="preserve">Lead </w:t>
            </w:r>
          </w:p>
        </w:tc>
        <w:tc>
          <w:tcPr>
            <w:tcW w:w="1418"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C86D65" w:rsidRPr="00745BAC" w:rsidTr="002D0116">
        <w:tc>
          <w:tcPr>
            <w:tcW w:w="2411" w:type="dxa"/>
            <w:shd w:val="clear" w:color="auto" w:fill="auto"/>
          </w:tcPr>
          <w:p w:rsidR="00C86D65" w:rsidRPr="00C86D65" w:rsidRDefault="00C86D65" w:rsidP="002F5ABE">
            <w:pPr>
              <w:rPr>
                <w:b/>
              </w:rPr>
            </w:pPr>
            <w:r w:rsidRPr="00C86D65">
              <w:rPr>
                <w:b/>
              </w:rPr>
              <w:t>Minute</w:t>
            </w:r>
            <w:r w:rsidR="002F5ABE">
              <w:rPr>
                <w:b/>
              </w:rPr>
              <w:t>s and Matters Arising February 2018</w:t>
            </w:r>
          </w:p>
        </w:tc>
        <w:tc>
          <w:tcPr>
            <w:tcW w:w="7228" w:type="dxa"/>
            <w:shd w:val="clear" w:color="auto" w:fill="auto"/>
          </w:tcPr>
          <w:p w:rsidR="00C86D65" w:rsidRPr="00745BAC" w:rsidRDefault="001C0BF2" w:rsidP="00663A8B">
            <w:pPr>
              <w:jc w:val="both"/>
            </w:pPr>
            <w:r>
              <w:t>Agreed and accurate.</w:t>
            </w:r>
          </w:p>
        </w:tc>
        <w:tc>
          <w:tcPr>
            <w:tcW w:w="3970" w:type="dxa"/>
            <w:shd w:val="clear" w:color="auto" w:fill="auto"/>
          </w:tcPr>
          <w:p w:rsidR="00C86D65" w:rsidRPr="00745BAC" w:rsidRDefault="00C86D65" w:rsidP="008719B0">
            <w:pPr>
              <w:jc w:val="both"/>
            </w:pPr>
          </w:p>
        </w:tc>
        <w:tc>
          <w:tcPr>
            <w:tcW w:w="992" w:type="dxa"/>
            <w:shd w:val="clear" w:color="auto" w:fill="auto"/>
          </w:tcPr>
          <w:p w:rsidR="00C86D65" w:rsidRPr="0044468F" w:rsidRDefault="00C86D65" w:rsidP="008719B0">
            <w:pPr>
              <w:jc w:val="both"/>
              <w:rPr>
                <w:b/>
              </w:rPr>
            </w:pPr>
          </w:p>
        </w:tc>
        <w:tc>
          <w:tcPr>
            <w:tcW w:w="1418" w:type="dxa"/>
            <w:gridSpan w:val="2"/>
            <w:shd w:val="clear" w:color="auto" w:fill="auto"/>
          </w:tcPr>
          <w:p w:rsidR="00C86D65" w:rsidRPr="0044468F" w:rsidRDefault="00C86D65" w:rsidP="008719B0">
            <w:pPr>
              <w:jc w:val="both"/>
              <w:rPr>
                <w:b/>
                <w:color w:val="FF0000"/>
              </w:rPr>
            </w:pPr>
          </w:p>
        </w:tc>
      </w:tr>
      <w:tr w:rsidR="001C0BF2" w:rsidRPr="00745BAC" w:rsidTr="007E40E0">
        <w:tc>
          <w:tcPr>
            <w:tcW w:w="2411" w:type="dxa"/>
            <w:shd w:val="clear" w:color="auto" w:fill="auto"/>
          </w:tcPr>
          <w:p w:rsidR="001C0BF2" w:rsidRPr="00C86D65" w:rsidRDefault="001C0BF2" w:rsidP="008719B0">
            <w:pPr>
              <w:rPr>
                <w:b/>
              </w:rPr>
            </w:pPr>
            <w:r>
              <w:rPr>
                <w:b/>
              </w:rPr>
              <w:t>Gen2 Presentation</w:t>
            </w:r>
          </w:p>
        </w:tc>
        <w:tc>
          <w:tcPr>
            <w:tcW w:w="11198" w:type="dxa"/>
            <w:gridSpan w:val="2"/>
            <w:shd w:val="clear" w:color="auto" w:fill="auto"/>
          </w:tcPr>
          <w:p w:rsidR="001C0BF2" w:rsidRDefault="001C0BF2" w:rsidP="00D131A0">
            <w:pPr>
              <w:jc w:val="both"/>
            </w:pPr>
            <w:r>
              <w:t>Simon Ryan introduced Gen2 and an overview of the organisation, incl:</w:t>
            </w:r>
          </w:p>
          <w:p w:rsidR="001C0BF2" w:rsidRDefault="001C0BF2" w:rsidP="00D131A0">
            <w:pPr>
              <w:jc w:val="both"/>
            </w:pPr>
          </w:p>
          <w:p w:rsidR="00DD591D" w:rsidRDefault="00DD591D" w:rsidP="00DD591D">
            <w:pPr>
              <w:pStyle w:val="ListParagraph"/>
              <w:numPr>
                <w:ilvl w:val="0"/>
                <w:numId w:val="9"/>
              </w:numPr>
              <w:ind w:left="288" w:hanging="283"/>
              <w:jc w:val="both"/>
            </w:pPr>
            <w:r>
              <w:t>Gen2 is wholly owned by KCC and have a relationship with KCC in client capacity, a range of asset types are managed</w:t>
            </w:r>
          </w:p>
          <w:p w:rsidR="001C0BF2" w:rsidRDefault="00DD591D" w:rsidP="00DD591D">
            <w:pPr>
              <w:pStyle w:val="ListParagraph"/>
              <w:numPr>
                <w:ilvl w:val="0"/>
                <w:numId w:val="9"/>
              </w:numPr>
              <w:ind w:left="288" w:hanging="283"/>
              <w:jc w:val="both"/>
            </w:pPr>
            <w:r>
              <w:t>Work streams include working with local authorities to consider temporary accommodation solutions, to reduce spend and provide flexible accommodation models that can be reviewed when change of use required/appropriate</w:t>
            </w:r>
          </w:p>
          <w:p w:rsidR="00DD591D" w:rsidRDefault="00DD591D" w:rsidP="00DD591D">
            <w:pPr>
              <w:pStyle w:val="ListParagraph"/>
              <w:numPr>
                <w:ilvl w:val="0"/>
                <w:numId w:val="9"/>
              </w:numPr>
              <w:ind w:left="288" w:hanging="283"/>
              <w:jc w:val="both"/>
            </w:pPr>
            <w:r>
              <w:t>Gen2 are keen to learn and shape their product offers going forward, construction methods vary dependent upon what is required by the JV that is worked with on a project/model.  Gen2 are open to the idea of HA’s being part of a JV going forward.</w:t>
            </w:r>
          </w:p>
          <w:p w:rsidR="00DD591D" w:rsidRDefault="00DD591D" w:rsidP="00DD591D">
            <w:pPr>
              <w:pStyle w:val="ListParagraph"/>
              <w:numPr>
                <w:ilvl w:val="0"/>
                <w:numId w:val="9"/>
              </w:numPr>
              <w:ind w:left="288" w:hanging="283"/>
              <w:jc w:val="both"/>
            </w:pPr>
            <w:r>
              <w:t>When considering sites and assets, each site is taken on its own merit, Gen2 have good visibility of land in Kent.</w:t>
            </w:r>
          </w:p>
          <w:p w:rsidR="00DD591D" w:rsidRDefault="00DD591D" w:rsidP="00DD591D">
            <w:pPr>
              <w:pStyle w:val="ListParagraph"/>
              <w:numPr>
                <w:ilvl w:val="0"/>
                <w:numId w:val="9"/>
              </w:numPr>
              <w:ind w:left="288" w:hanging="283"/>
              <w:jc w:val="both"/>
            </w:pPr>
            <w:r>
              <w:t xml:space="preserve">Discussion about move on accommodation options from the temporary accommodation models being explored via Gen2, </w:t>
            </w:r>
            <w:r w:rsidR="009C1E8F">
              <w:t>this is not considered by Gen2 but the objective is to provide opportunities for better solutions and provide confidence in the approach and interventions.</w:t>
            </w:r>
          </w:p>
          <w:p w:rsidR="009C1E8F" w:rsidRDefault="009C1E8F" w:rsidP="005C7741">
            <w:pPr>
              <w:pStyle w:val="ListParagraph"/>
              <w:numPr>
                <w:ilvl w:val="0"/>
                <w:numId w:val="9"/>
              </w:numPr>
              <w:ind w:left="288" w:hanging="283"/>
              <w:jc w:val="both"/>
            </w:pPr>
            <w:r>
              <w:t xml:space="preserve">Assets considered for construction around TA will be low maintenance/basic </w:t>
            </w:r>
            <w:r w:rsidR="005C7741">
              <w:t>buildings;</w:t>
            </w:r>
            <w:r>
              <w:t xml:space="preserve"> one model under consideration currently has intervention space within it to assist clients living in TA.</w:t>
            </w:r>
          </w:p>
          <w:p w:rsidR="005C7741" w:rsidRDefault="005C7741" w:rsidP="005C7741">
            <w:pPr>
              <w:pStyle w:val="ListParagraph"/>
              <w:numPr>
                <w:ilvl w:val="0"/>
                <w:numId w:val="9"/>
              </w:numPr>
              <w:ind w:left="288" w:hanging="283"/>
              <w:jc w:val="both"/>
            </w:pPr>
            <w:r>
              <w:lastRenderedPageBreak/>
              <w:t>SR extended his thanks and invited colleagues to contact him with any queries or potential opportunities to work with Gen2 going forward.</w:t>
            </w:r>
          </w:p>
          <w:p w:rsidR="005C7741" w:rsidRPr="00745BAC" w:rsidRDefault="005C7741" w:rsidP="005C7741">
            <w:pPr>
              <w:pStyle w:val="ListParagraph"/>
              <w:ind w:left="288"/>
              <w:jc w:val="both"/>
            </w:pPr>
          </w:p>
        </w:tc>
        <w:tc>
          <w:tcPr>
            <w:tcW w:w="992" w:type="dxa"/>
            <w:shd w:val="clear" w:color="auto" w:fill="auto"/>
          </w:tcPr>
          <w:p w:rsidR="001C0BF2" w:rsidRPr="0044468F" w:rsidRDefault="001C0BF2" w:rsidP="00D131A0">
            <w:pPr>
              <w:jc w:val="both"/>
              <w:rPr>
                <w:b/>
              </w:rPr>
            </w:pPr>
          </w:p>
        </w:tc>
        <w:tc>
          <w:tcPr>
            <w:tcW w:w="1418" w:type="dxa"/>
            <w:gridSpan w:val="2"/>
            <w:shd w:val="clear" w:color="auto" w:fill="auto"/>
          </w:tcPr>
          <w:p w:rsidR="001C0BF2" w:rsidRPr="0044468F" w:rsidRDefault="005C7741" w:rsidP="00F85B9E">
            <w:pPr>
              <w:rPr>
                <w:b/>
                <w:color w:val="FF0000"/>
              </w:rPr>
            </w:pPr>
            <w:r>
              <w:rPr>
                <w:b/>
                <w:color w:val="FF0000"/>
              </w:rPr>
              <w:t>RS to share presentation</w:t>
            </w:r>
          </w:p>
        </w:tc>
      </w:tr>
      <w:tr w:rsidR="005C7741" w:rsidRPr="00745BAC" w:rsidTr="00B55F62">
        <w:tc>
          <w:tcPr>
            <w:tcW w:w="2411" w:type="dxa"/>
            <w:shd w:val="clear" w:color="auto" w:fill="auto"/>
          </w:tcPr>
          <w:p w:rsidR="005C7741" w:rsidRPr="00C86D65" w:rsidRDefault="005C7741" w:rsidP="008719B0">
            <w:pPr>
              <w:rPr>
                <w:b/>
              </w:rPr>
            </w:pPr>
            <w:r>
              <w:rPr>
                <w:b/>
              </w:rPr>
              <w:t>SELEP Update</w:t>
            </w:r>
          </w:p>
        </w:tc>
        <w:tc>
          <w:tcPr>
            <w:tcW w:w="11198" w:type="dxa"/>
            <w:gridSpan w:val="2"/>
            <w:shd w:val="clear" w:color="auto" w:fill="auto"/>
          </w:tcPr>
          <w:p w:rsidR="005C7741" w:rsidRDefault="005C7741" w:rsidP="00D131A0">
            <w:pPr>
              <w:jc w:val="both"/>
            </w:pPr>
            <w:r>
              <w:t>BH provided an overview of the work undertaken by the SELEP, historically and to date.  Currently the SELEP is working on the refresh of the SEP (Strategic Economic Plan), setting out SELEP growth priorities and where the LEP can add value.  BH will share more information about the work on the SEP when available.</w:t>
            </w:r>
          </w:p>
          <w:p w:rsidR="005C7741" w:rsidRPr="00AA7D59" w:rsidRDefault="005C7741" w:rsidP="00D131A0">
            <w:pPr>
              <w:jc w:val="both"/>
              <w:rPr>
                <w:b/>
              </w:rPr>
            </w:pPr>
          </w:p>
        </w:tc>
        <w:tc>
          <w:tcPr>
            <w:tcW w:w="992" w:type="dxa"/>
            <w:shd w:val="clear" w:color="auto" w:fill="auto"/>
          </w:tcPr>
          <w:p w:rsidR="005C7741" w:rsidRPr="0044468F" w:rsidRDefault="005C7741" w:rsidP="00D131A0">
            <w:pPr>
              <w:jc w:val="both"/>
              <w:rPr>
                <w:b/>
              </w:rPr>
            </w:pPr>
          </w:p>
        </w:tc>
        <w:tc>
          <w:tcPr>
            <w:tcW w:w="1418" w:type="dxa"/>
            <w:gridSpan w:val="2"/>
            <w:shd w:val="clear" w:color="auto" w:fill="auto"/>
          </w:tcPr>
          <w:p w:rsidR="005C7741" w:rsidRPr="0044468F" w:rsidRDefault="005C7741" w:rsidP="00900A88">
            <w:pPr>
              <w:rPr>
                <w:b/>
                <w:color w:val="FF0000"/>
              </w:rPr>
            </w:pPr>
            <w:r>
              <w:rPr>
                <w:b/>
                <w:color w:val="FF0000"/>
              </w:rPr>
              <w:t>RS to share presentation</w:t>
            </w:r>
          </w:p>
        </w:tc>
      </w:tr>
      <w:tr w:rsidR="005C7741" w:rsidRPr="00745BAC" w:rsidTr="00C933E8">
        <w:tc>
          <w:tcPr>
            <w:tcW w:w="2411" w:type="dxa"/>
            <w:shd w:val="clear" w:color="auto" w:fill="auto"/>
          </w:tcPr>
          <w:p w:rsidR="005C7741" w:rsidRPr="00C86D65" w:rsidRDefault="005C7741" w:rsidP="008719B0">
            <w:pPr>
              <w:rPr>
                <w:b/>
              </w:rPr>
            </w:pPr>
            <w:r>
              <w:rPr>
                <w:b/>
              </w:rPr>
              <w:t>Kent Estates Partnership</w:t>
            </w:r>
          </w:p>
        </w:tc>
        <w:tc>
          <w:tcPr>
            <w:tcW w:w="11198" w:type="dxa"/>
            <w:gridSpan w:val="2"/>
            <w:shd w:val="clear" w:color="auto" w:fill="auto"/>
          </w:tcPr>
          <w:p w:rsidR="005C7741" w:rsidRPr="005C7741" w:rsidRDefault="005C7741" w:rsidP="00F85B9E">
            <w:r w:rsidRPr="005C7741">
              <w:t>Kieron provided an overview of the Kent Estates Partnership, including:</w:t>
            </w:r>
          </w:p>
          <w:p w:rsidR="005C7741" w:rsidRDefault="005C7741" w:rsidP="00F85B9E">
            <w:pPr>
              <w:rPr>
                <w:b/>
              </w:rPr>
            </w:pPr>
          </w:p>
          <w:p w:rsidR="005C7741" w:rsidRPr="005C7741" w:rsidRDefault="005C7741" w:rsidP="005C7741">
            <w:pPr>
              <w:pStyle w:val="ListParagraph"/>
              <w:numPr>
                <w:ilvl w:val="0"/>
                <w:numId w:val="10"/>
              </w:numPr>
              <w:ind w:left="288" w:hanging="283"/>
              <w:rPr>
                <w:b/>
              </w:rPr>
            </w:pPr>
            <w:r>
              <w:t>Property based partnership, creating a forum for partners to identify opportunities to work on collective projects, also about best practice and innovation</w:t>
            </w:r>
          </w:p>
          <w:p w:rsidR="005C7741" w:rsidRPr="00900A88" w:rsidRDefault="005C7741" w:rsidP="005C7741">
            <w:pPr>
              <w:pStyle w:val="ListParagraph"/>
              <w:numPr>
                <w:ilvl w:val="0"/>
                <w:numId w:val="10"/>
              </w:numPr>
              <w:ind w:left="288" w:hanging="283"/>
              <w:rPr>
                <w:b/>
              </w:rPr>
            </w:pPr>
            <w:r>
              <w:t>Currently working with groups like KHG and SELEP, this is a public sector focused partnership, there are currently 25 partners</w:t>
            </w:r>
          </w:p>
          <w:p w:rsidR="00900A88" w:rsidRPr="00900A88" w:rsidRDefault="00900A88" w:rsidP="00900A88">
            <w:pPr>
              <w:pStyle w:val="ListParagraph"/>
              <w:numPr>
                <w:ilvl w:val="0"/>
                <w:numId w:val="10"/>
              </w:numPr>
              <w:ind w:left="288" w:hanging="283"/>
              <w:rPr>
                <w:b/>
              </w:rPr>
            </w:pPr>
            <w:r>
              <w:t xml:space="preserve">KEP have been successful in funding streams both capital and revenue grant funding, including the Land Release Fund and One Public Estate. </w:t>
            </w:r>
          </w:p>
          <w:p w:rsidR="00900A88" w:rsidRPr="00900A88" w:rsidRDefault="00900A88" w:rsidP="00900A88">
            <w:pPr>
              <w:pStyle w:val="ListParagraph"/>
              <w:numPr>
                <w:ilvl w:val="0"/>
                <w:numId w:val="10"/>
              </w:numPr>
              <w:ind w:left="288" w:hanging="283"/>
              <w:rPr>
                <w:b/>
              </w:rPr>
            </w:pPr>
            <w:r>
              <w:t>There are a number of sites in Kent that KEP are engaged with and a range of partners who are delivering commercial and residential opportunities on these Kent sites.</w:t>
            </w:r>
          </w:p>
          <w:p w:rsidR="00900A88" w:rsidRPr="00900A88" w:rsidRDefault="00900A88" w:rsidP="00900A88">
            <w:pPr>
              <w:pStyle w:val="ListParagraph"/>
              <w:numPr>
                <w:ilvl w:val="0"/>
                <w:numId w:val="10"/>
              </w:numPr>
              <w:ind w:left="288" w:hanging="283"/>
              <w:rPr>
                <w:b/>
              </w:rPr>
            </w:pPr>
            <w:r>
              <w:t>The ask of KHG is to encourage sharing of good practice, prioritise opportunities for joint working and how to ensure local authorities are aware of funding opportunities available</w:t>
            </w:r>
          </w:p>
          <w:p w:rsidR="00900A88" w:rsidRPr="00900A88" w:rsidRDefault="00900A88" w:rsidP="00900A88">
            <w:pPr>
              <w:pStyle w:val="ListParagraph"/>
              <w:numPr>
                <w:ilvl w:val="0"/>
                <w:numId w:val="10"/>
              </w:numPr>
              <w:ind w:left="288" w:hanging="283"/>
              <w:rPr>
                <w:b/>
              </w:rPr>
            </w:pPr>
            <w:r>
              <w:t>Use of assets via KEP can be commercially based but are strategically linked to the local area</w:t>
            </w:r>
          </w:p>
          <w:p w:rsidR="00900A88" w:rsidRPr="00900A88" w:rsidRDefault="00900A88" w:rsidP="00900A88">
            <w:pPr>
              <w:pStyle w:val="ListParagraph"/>
              <w:numPr>
                <w:ilvl w:val="0"/>
                <w:numId w:val="10"/>
              </w:numPr>
              <w:ind w:left="288" w:hanging="283"/>
              <w:rPr>
                <w:b/>
              </w:rPr>
            </w:pPr>
            <w:r>
              <w:t>Homes England colleague commented that they would like to be sighted on the pipeline development opportunities for K&amp;M</w:t>
            </w:r>
          </w:p>
        </w:tc>
        <w:tc>
          <w:tcPr>
            <w:tcW w:w="992" w:type="dxa"/>
            <w:shd w:val="clear" w:color="auto" w:fill="auto"/>
          </w:tcPr>
          <w:p w:rsidR="005C7741" w:rsidRDefault="005C7741" w:rsidP="00D131A0">
            <w:pPr>
              <w:jc w:val="both"/>
              <w:rPr>
                <w:b/>
              </w:rPr>
            </w:pPr>
          </w:p>
        </w:tc>
        <w:tc>
          <w:tcPr>
            <w:tcW w:w="1418" w:type="dxa"/>
            <w:gridSpan w:val="2"/>
            <w:shd w:val="clear" w:color="auto" w:fill="auto"/>
          </w:tcPr>
          <w:p w:rsidR="005C7741" w:rsidRDefault="00900A88" w:rsidP="00900A88">
            <w:pPr>
              <w:rPr>
                <w:b/>
                <w:color w:val="FF0000"/>
              </w:rPr>
            </w:pPr>
            <w:r>
              <w:rPr>
                <w:b/>
                <w:color w:val="FF0000"/>
              </w:rPr>
              <w:t>RS to share presentation</w:t>
            </w:r>
          </w:p>
        </w:tc>
      </w:tr>
      <w:tr w:rsidR="00900A88" w:rsidRPr="00745BAC" w:rsidTr="00DE6930">
        <w:tc>
          <w:tcPr>
            <w:tcW w:w="2411" w:type="dxa"/>
            <w:shd w:val="clear" w:color="auto" w:fill="auto"/>
          </w:tcPr>
          <w:p w:rsidR="00900A88" w:rsidRPr="00C86D65" w:rsidRDefault="00900A88" w:rsidP="008719B0">
            <w:pPr>
              <w:rPr>
                <w:b/>
              </w:rPr>
            </w:pPr>
            <w:r>
              <w:rPr>
                <w:b/>
              </w:rPr>
              <w:t>Kent Accommodation Strategy</w:t>
            </w:r>
          </w:p>
        </w:tc>
        <w:tc>
          <w:tcPr>
            <w:tcW w:w="11198" w:type="dxa"/>
            <w:gridSpan w:val="2"/>
            <w:shd w:val="clear" w:color="auto" w:fill="auto"/>
          </w:tcPr>
          <w:p w:rsidR="00900A88" w:rsidRPr="005E0F59" w:rsidRDefault="00900A88" w:rsidP="009C0E21">
            <w:pPr>
              <w:jc w:val="both"/>
            </w:pPr>
            <w:r w:rsidRPr="005E0F59">
              <w:t>CH provided an overview of the current work and data trends related to the review of the Kent Accommodation Strategy.  Its noted that there is limited physical activity around Extra Care Housing delivery, due to the uncertainty around the future funding.  The refresh of the Kent Accommodation Strategy is to e</w:t>
            </w:r>
            <w:r w:rsidR="005E0F59" w:rsidRPr="005E0F59">
              <w:t xml:space="preserve">nsure it is current, includes reference to transformation of linked services and updated Glossary.  </w:t>
            </w:r>
          </w:p>
          <w:p w:rsidR="005E0F59" w:rsidRPr="005E0F59" w:rsidRDefault="005E0F59" w:rsidP="009C0E21">
            <w:pPr>
              <w:jc w:val="both"/>
            </w:pPr>
          </w:p>
          <w:p w:rsidR="005E0F59" w:rsidRPr="005E0F59" w:rsidRDefault="005E0F59" w:rsidP="005E0F59">
            <w:pPr>
              <w:jc w:val="both"/>
            </w:pPr>
            <w:r w:rsidRPr="005E0F59">
              <w:t>CH happy to take any queries regarding data provided via the slides, especially with reference to Extra Care Housing and Care Ready.  The intention is to have the newly refreshed Kent Accommodation Strategy launched in July 2018.</w:t>
            </w:r>
          </w:p>
          <w:p w:rsidR="005E0F59" w:rsidRPr="005E0F59" w:rsidRDefault="005E0F59" w:rsidP="005E0F59">
            <w:pPr>
              <w:jc w:val="both"/>
            </w:pPr>
          </w:p>
          <w:p w:rsidR="005E0F59" w:rsidRPr="005E0F59" w:rsidRDefault="005E0F59" w:rsidP="005E0F59">
            <w:pPr>
              <w:jc w:val="both"/>
            </w:pPr>
            <w:r w:rsidRPr="005E0F59">
              <w:t>The Extra Care Housing Prospectus is now launched and available on the Kent Portal, link in the presentation.  The focus is on delivery of 1000 units, a mix of tenure and there are identified areas for these delivery numbers.  There are two potential models of delivery for consideration,</w:t>
            </w:r>
            <w:r>
              <w:t xml:space="preserve"> one with care and one without.</w:t>
            </w:r>
          </w:p>
          <w:p w:rsidR="005E0F59" w:rsidRPr="008719B0" w:rsidRDefault="005E0F59" w:rsidP="005E0F59">
            <w:pPr>
              <w:jc w:val="both"/>
              <w:rPr>
                <w:b/>
              </w:rPr>
            </w:pPr>
          </w:p>
        </w:tc>
        <w:tc>
          <w:tcPr>
            <w:tcW w:w="992" w:type="dxa"/>
            <w:shd w:val="clear" w:color="auto" w:fill="auto"/>
          </w:tcPr>
          <w:p w:rsidR="00900A88" w:rsidRPr="0044468F" w:rsidRDefault="00900A88" w:rsidP="00D131A0">
            <w:pPr>
              <w:jc w:val="both"/>
              <w:rPr>
                <w:b/>
              </w:rPr>
            </w:pPr>
          </w:p>
        </w:tc>
        <w:tc>
          <w:tcPr>
            <w:tcW w:w="1418" w:type="dxa"/>
            <w:gridSpan w:val="2"/>
            <w:shd w:val="clear" w:color="auto" w:fill="auto"/>
          </w:tcPr>
          <w:p w:rsidR="00900A88" w:rsidRPr="0044468F" w:rsidRDefault="005E0F59" w:rsidP="005E0F59">
            <w:pPr>
              <w:rPr>
                <w:b/>
                <w:color w:val="FF0000"/>
              </w:rPr>
            </w:pPr>
            <w:r>
              <w:rPr>
                <w:b/>
                <w:color w:val="FF0000"/>
              </w:rPr>
              <w:t>RS to share presentation</w:t>
            </w:r>
          </w:p>
        </w:tc>
      </w:tr>
      <w:tr w:rsidR="005E0F59" w:rsidRPr="00745BAC" w:rsidTr="008D5CAA">
        <w:tc>
          <w:tcPr>
            <w:tcW w:w="2411" w:type="dxa"/>
            <w:shd w:val="clear" w:color="auto" w:fill="auto"/>
          </w:tcPr>
          <w:p w:rsidR="005E0F59" w:rsidRPr="00C86D65" w:rsidRDefault="005E0F59" w:rsidP="008719B0">
            <w:pPr>
              <w:rPr>
                <w:b/>
              </w:rPr>
            </w:pPr>
            <w:r>
              <w:rPr>
                <w:b/>
              </w:rPr>
              <w:lastRenderedPageBreak/>
              <w:t>KCC Corporate Parenting</w:t>
            </w:r>
          </w:p>
        </w:tc>
        <w:tc>
          <w:tcPr>
            <w:tcW w:w="11198" w:type="dxa"/>
            <w:gridSpan w:val="2"/>
            <w:shd w:val="clear" w:color="auto" w:fill="auto"/>
          </w:tcPr>
          <w:p w:rsidR="005E0F59" w:rsidRDefault="005E0F59" w:rsidP="0044178D">
            <w:pPr>
              <w:jc w:val="both"/>
            </w:pPr>
            <w:r>
              <w:t>Tony Doran provided a presentation on behalf of Caroline Smith:</w:t>
            </w:r>
          </w:p>
          <w:p w:rsidR="005E0F59" w:rsidRDefault="005E0F59" w:rsidP="0044178D">
            <w:pPr>
              <w:jc w:val="both"/>
            </w:pPr>
          </w:p>
          <w:p w:rsidR="005E0F59" w:rsidRDefault="005E0F59" w:rsidP="005E0F59">
            <w:pPr>
              <w:pStyle w:val="ListParagraph"/>
              <w:numPr>
                <w:ilvl w:val="0"/>
                <w:numId w:val="11"/>
              </w:numPr>
              <w:ind w:left="288" w:hanging="283"/>
              <w:jc w:val="both"/>
            </w:pPr>
            <w:r>
              <w:t>Corporate Parenting is the collective responsibility of all partners around the table, young people are significantly disadvantaged, therefore vital that all partners take responsibility for this role</w:t>
            </w:r>
          </w:p>
          <w:p w:rsidR="005E0F59" w:rsidRDefault="005E0F59" w:rsidP="005E0F59">
            <w:pPr>
              <w:pStyle w:val="ListParagraph"/>
              <w:numPr>
                <w:ilvl w:val="0"/>
                <w:numId w:val="11"/>
              </w:numPr>
              <w:ind w:left="288" w:hanging="283"/>
              <w:jc w:val="both"/>
            </w:pPr>
            <w:r>
              <w:t>Matt Dunkley is a new Corporate Director at KCC and has made this a particular focus within his role</w:t>
            </w:r>
          </w:p>
          <w:p w:rsidR="005E0F59" w:rsidRDefault="005E0F59" w:rsidP="005E0F59">
            <w:pPr>
              <w:pStyle w:val="ListParagraph"/>
              <w:numPr>
                <w:ilvl w:val="0"/>
                <w:numId w:val="11"/>
              </w:numPr>
              <w:ind w:left="288" w:hanging="283"/>
              <w:jc w:val="both"/>
            </w:pPr>
            <w:r>
              <w:t>KCC has largest care leaver population across the Country, since the 1</w:t>
            </w:r>
            <w:r w:rsidRPr="005E0F59">
              <w:rPr>
                <w:vertAlign w:val="superscript"/>
              </w:rPr>
              <w:t>st</w:t>
            </w:r>
            <w:r>
              <w:t xml:space="preserve"> April 2018 there have been changes to the law, with the introduction of the Children and Social Work Act 2018.  There is now a new duty to assist young people up to the age of 25 years and those who were previously ‘looked after children’</w:t>
            </w:r>
          </w:p>
          <w:p w:rsidR="005E0F59" w:rsidRDefault="007C7E2A" w:rsidP="005E0F59">
            <w:pPr>
              <w:pStyle w:val="ListParagraph"/>
              <w:numPr>
                <w:ilvl w:val="0"/>
                <w:numId w:val="11"/>
              </w:numPr>
              <w:ind w:left="288" w:hanging="283"/>
              <w:jc w:val="both"/>
            </w:pPr>
            <w:r>
              <w:t>KCC is now performing well in respect of education outcomes and NEETs statistics</w:t>
            </w:r>
          </w:p>
          <w:p w:rsidR="007C7E2A" w:rsidRDefault="007C7E2A" w:rsidP="005E0F59">
            <w:pPr>
              <w:pStyle w:val="ListParagraph"/>
              <w:numPr>
                <w:ilvl w:val="0"/>
                <w:numId w:val="11"/>
              </w:numPr>
              <w:ind w:left="288" w:hanging="283"/>
              <w:jc w:val="both"/>
            </w:pPr>
            <w:r>
              <w:t>12 months ago the representative young people in Kent were provided with Challenge Cards and have used these to encourage KCC to become a guarantor for accommodation, via the Corporate Parenting Panel</w:t>
            </w:r>
          </w:p>
          <w:p w:rsidR="007C7E2A" w:rsidRPr="007C7E2A" w:rsidRDefault="007C7E2A" w:rsidP="005E0F59">
            <w:pPr>
              <w:pStyle w:val="ListParagraph"/>
              <w:numPr>
                <w:ilvl w:val="0"/>
                <w:numId w:val="11"/>
              </w:numPr>
              <w:ind w:left="288" w:hanging="283"/>
              <w:jc w:val="both"/>
              <w:rPr>
                <w:highlight w:val="yellow"/>
              </w:rPr>
            </w:pPr>
            <w:r>
              <w:t xml:space="preserve">This guarantor pilot will run for 25 young people from June 2018, </w:t>
            </w:r>
            <w:r w:rsidRPr="007C7E2A">
              <w:rPr>
                <w:highlight w:val="yellow"/>
              </w:rPr>
              <w:t>TD to confirm the review period of the pilot for KHG via Caroline Smith.</w:t>
            </w:r>
          </w:p>
          <w:p w:rsidR="005E0F59" w:rsidRPr="002D0116" w:rsidRDefault="005E0F59" w:rsidP="002D0116">
            <w:pPr>
              <w:rPr>
                <w:b/>
              </w:rPr>
            </w:pPr>
          </w:p>
        </w:tc>
        <w:tc>
          <w:tcPr>
            <w:tcW w:w="992" w:type="dxa"/>
            <w:shd w:val="clear" w:color="auto" w:fill="auto"/>
          </w:tcPr>
          <w:p w:rsidR="005E0F59" w:rsidRPr="0044468F" w:rsidRDefault="005E0F59" w:rsidP="002D0116">
            <w:pPr>
              <w:rPr>
                <w:b/>
              </w:rPr>
            </w:pPr>
          </w:p>
        </w:tc>
        <w:tc>
          <w:tcPr>
            <w:tcW w:w="1418" w:type="dxa"/>
            <w:gridSpan w:val="2"/>
            <w:shd w:val="clear" w:color="auto" w:fill="auto"/>
          </w:tcPr>
          <w:p w:rsidR="005E0F59" w:rsidRPr="0044468F" w:rsidRDefault="007C7E2A" w:rsidP="002D0116">
            <w:pPr>
              <w:rPr>
                <w:b/>
                <w:color w:val="FF0000"/>
              </w:rPr>
            </w:pPr>
            <w:r>
              <w:rPr>
                <w:b/>
                <w:color w:val="FF0000"/>
              </w:rPr>
              <w:t>RS to share presentation</w:t>
            </w:r>
          </w:p>
        </w:tc>
      </w:tr>
      <w:tr w:rsidR="007C7E2A" w:rsidRPr="00745BAC" w:rsidTr="00261378">
        <w:tc>
          <w:tcPr>
            <w:tcW w:w="2411" w:type="dxa"/>
            <w:shd w:val="clear" w:color="auto" w:fill="auto"/>
          </w:tcPr>
          <w:p w:rsidR="007C7E2A" w:rsidRPr="00C86D65" w:rsidRDefault="007C7E2A" w:rsidP="008719B0">
            <w:pPr>
              <w:rPr>
                <w:b/>
              </w:rPr>
            </w:pPr>
            <w:r>
              <w:rPr>
                <w:b/>
              </w:rPr>
              <w:t>Troubled Families Programme</w:t>
            </w:r>
          </w:p>
        </w:tc>
        <w:tc>
          <w:tcPr>
            <w:tcW w:w="11198" w:type="dxa"/>
            <w:gridSpan w:val="2"/>
            <w:shd w:val="clear" w:color="auto" w:fill="auto"/>
          </w:tcPr>
          <w:p w:rsidR="007C7E2A" w:rsidRDefault="007C7E2A" w:rsidP="007C7E2A">
            <w:pPr>
              <w:jc w:val="both"/>
            </w:pPr>
            <w:r>
              <w:t>Katherine confirmed that the Kent TF Programme is in phase two and there are two years remaining.  MHCLG have published an annual report about TF and Kent, for the second year; have the highest volume of claims and percentage of families turned around.  By March 2018, 2808 claims were made and recorded for Kent.</w:t>
            </w:r>
          </w:p>
          <w:p w:rsidR="007C7E2A" w:rsidRDefault="007C7E2A" w:rsidP="007C7E2A">
            <w:pPr>
              <w:jc w:val="both"/>
            </w:pPr>
          </w:p>
          <w:p w:rsidR="007C7E2A" w:rsidRDefault="007C7E2A" w:rsidP="007C7E2A">
            <w:pPr>
              <w:jc w:val="both"/>
            </w:pPr>
            <w:r>
              <w:t xml:space="preserve">New funding was introduced by Government in November 2017, Kent TF put in an EOI for this new funding ‘Earned </w:t>
            </w:r>
            <w:r w:rsidR="005957F0">
              <w:t>Autonomy</w:t>
            </w:r>
            <w:r>
              <w:t xml:space="preserve">’ and were successful.  A final bid was submitted in January 2018 and this was successful and results in up front funding and less substantive data input about claims and cases.  The money upfront will benefit the programme in respect of being able to build on and create new partnerships.  14 local authorities were granted Earned </w:t>
            </w:r>
            <w:r w:rsidR="005957F0">
              <w:t>Autonomy</w:t>
            </w:r>
            <w:r>
              <w:t xml:space="preserve">, Kent have best practice around integration of Early Help into the </w:t>
            </w:r>
            <w:r w:rsidR="005957F0">
              <w:t>TF programme.  It is still necessary, with Earned Autonomy to continue to provide information about the case load management and outcomes.</w:t>
            </w:r>
          </w:p>
          <w:p w:rsidR="005957F0" w:rsidRDefault="005957F0" w:rsidP="007C7E2A">
            <w:pPr>
              <w:jc w:val="both"/>
            </w:pPr>
          </w:p>
          <w:p w:rsidR="005957F0" w:rsidRDefault="005957F0" w:rsidP="007C7E2A">
            <w:pPr>
              <w:jc w:val="both"/>
            </w:pPr>
            <w:r>
              <w:t>Next steps are an integration pilot, including working with schools considering adolescent risk, early help to support children in care, working with foster parents to reduce placement breakdowns and providing an overall seamless service with assistance of Early Help.</w:t>
            </w:r>
          </w:p>
          <w:p w:rsidR="005957F0" w:rsidRDefault="005957F0" w:rsidP="007C7E2A">
            <w:pPr>
              <w:jc w:val="both"/>
            </w:pPr>
          </w:p>
          <w:p w:rsidR="005957F0" w:rsidRDefault="005957F0" w:rsidP="007C7E2A">
            <w:pPr>
              <w:jc w:val="both"/>
            </w:pPr>
            <w:r w:rsidRPr="005957F0">
              <w:rPr>
                <w:highlight w:val="yellow"/>
              </w:rPr>
              <w:t>KA happy to share case studies and a copy of the Earned Autonomy bid submitted to Government with colleagues who wish to see them.</w:t>
            </w:r>
          </w:p>
          <w:p w:rsidR="007C7E2A" w:rsidRPr="0027714F" w:rsidRDefault="007C7E2A" w:rsidP="002D0116">
            <w:pPr>
              <w:rPr>
                <w:b/>
              </w:rPr>
            </w:pPr>
          </w:p>
        </w:tc>
        <w:tc>
          <w:tcPr>
            <w:tcW w:w="992" w:type="dxa"/>
            <w:shd w:val="clear" w:color="auto" w:fill="auto"/>
          </w:tcPr>
          <w:p w:rsidR="007C7E2A" w:rsidRPr="0044468F" w:rsidRDefault="007C7E2A" w:rsidP="00D131A0">
            <w:pPr>
              <w:jc w:val="both"/>
              <w:rPr>
                <w:b/>
              </w:rPr>
            </w:pPr>
          </w:p>
        </w:tc>
        <w:tc>
          <w:tcPr>
            <w:tcW w:w="1418" w:type="dxa"/>
            <w:gridSpan w:val="2"/>
            <w:shd w:val="clear" w:color="auto" w:fill="auto"/>
          </w:tcPr>
          <w:p w:rsidR="007C7E2A" w:rsidRPr="0027714F" w:rsidRDefault="007C7E2A" w:rsidP="0027714F">
            <w:pPr>
              <w:rPr>
                <w:b/>
                <w:color w:val="FF0000"/>
              </w:rPr>
            </w:pPr>
          </w:p>
        </w:tc>
      </w:tr>
      <w:tr w:rsidR="005957F0" w:rsidRPr="00745BAC" w:rsidTr="00DA6F41">
        <w:tc>
          <w:tcPr>
            <w:tcW w:w="2411" w:type="dxa"/>
            <w:shd w:val="clear" w:color="auto" w:fill="auto"/>
          </w:tcPr>
          <w:p w:rsidR="005957F0" w:rsidRPr="00C86D65" w:rsidRDefault="005957F0" w:rsidP="008719B0">
            <w:pPr>
              <w:rPr>
                <w:b/>
              </w:rPr>
            </w:pPr>
            <w:r>
              <w:rPr>
                <w:b/>
              </w:rPr>
              <w:t xml:space="preserve">Homes England Update </w:t>
            </w:r>
          </w:p>
        </w:tc>
        <w:tc>
          <w:tcPr>
            <w:tcW w:w="11198" w:type="dxa"/>
            <w:gridSpan w:val="2"/>
            <w:shd w:val="clear" w:color="auto" w:fill="auto"/>
          </w:tcPr>
          <w:p w:rsidR="005957F0" w:rsidRDefault="000575DA" w:rsidP="00417809">
            <w:r>
              <w:t>Carol provided an overview across three main areas:</w:t>
            </w:r>
          </w:p>
          <w:p w:rsidR="000575DA" w:rsidRDefault="000575DA" w:rsidP="00417809"/>
          <w:p w:rsidR="000575DA" w:rsidRDefault="000575DA" w:rsidP="000575DA">
            <w:pPr>
              <w:pStyle w:val="ListParagraph"/>
              <w:numPr>
                <w:ilvl w:val="0"/>
                <w:numId w:val="13"/>
              </w:numPr>
            </w:pPr>
            <w:r>
              <w:lastRenderedPageBreak/>
              <w:t>Homes England Structure:</w:t>
            </w:r>
          </w:p>
          <w:p w:rsidR="000575DA" w:rsidRDefault="000575DA" w:rsidP="000575DA"/>
          <w:p w:rsidR="000575DA" w:rsidRDefault="000575DA" w:rsidP="000575DA">
            <w:pPr>
              <w:pStyle w:val="ListParagraph"/>
              <w:numPr>
                <w:ilvl w:val="0"/>
                <w:numId w:val="14"/>
              </w:numPr>
              <w:ind w:left="288" w:hanging="283"/>
            </w:pPr>
            <w:r>
              <w:t>Homes England is a new organisation, the teams are working on shaping the organisation internally to meet the new objectives, the bar has been set high by Central Government</w:t>
            </w:r>
          </w:p>
          <w:p w:rsidR="000575DA" w:rsidRDefault="000575DA" w:rsidP="000575DA">
            <w:pPr>
              <w:pStyle w:val="ListParagraph"/>
              <w:numPr>
                <w:ilvl w:val="0"/>
                <w:numId w:val="14"/>
              </w:numPr>
              <w:ind w:left="288" w:hanging="283"/>
            </w:pPr>
            <w:r>
              <w:t>Desire is to understand and use freedoms and flexibilities of the programme management</w:t>
            </w:r>
          </w:p>
          <w:p w:rsidR="000575DA" w:rsidRDefault="00F04DB4" w:rsidP="000575DA">
            <w:pPr>
              <w:pStyle w:val="ListParagraph"/>
              <w:numPr>
                <w:ilvl w:val="0"/>
                <w:numId w:val="14"/>
              </w:numPr>
              <w:ind w:left="288" w:hanging="283"/>
            </w:pPr>
            <w:r>
              <w:t>HE need to ensure that they have the skills and resources in the right place to deliver the objectives set by Government</w:t>
            </w:r>
          </w:p>
          <w:p w:rsidR="00F04DB4" w:rsidRDefault="00F04DB4" w:rsidP="00F04DB4">
            <w:pPr>
              <w:pStyle w:val="ListParagraph"/>
              <w:numPr>
                <w:ilvl w:val="0"/>
                <w:numId w:val="14"/>
              </w:numPr>
              <w:ind w:left="288" w:hanging="283"/>
            </w:pPr>
            <w:r>
              <w:t>A more commercial approach will be taken by HE, making a difference, enabling partners to work at scale and pace, the SE is a key area of focus for HE, there will be no compromise on quality</w:t>
            </w:r>
          </w:p>
          <w:p w:rsidR="00F04DB4" w:rsidRDefault="00F04DB4" w:rsidP="00F04DB4">
            <w:pPr>
              <w:pStyle w:val="ListParagraph"/>
              <w:numPr>
                <w:ilvl w:val="0"/>
                <w:numId w:val="14"/>
              </w:numPr>
              <w:ind w:left="288" w:hanging="283"/>
            </w:pPr>
            <w:r>
              <w:t>HE have signed a new MOU with a commitment to design, provision of high quality affordable homes</w:t>
            </w:r>
          </w:p>
          <w:p w:rsidR="00F04DB4" w:rsidRDefault="00F04DB4" w:rsidP="00F04DB4">
            <w:pPr>
              <w:pStyle w:val="ListParagraph"/>
              <w:ind w:left="288"/>
            </w:pPr>
          </w:p>
          <w:p w:rsidR="00F04DB4" w:rsidRDefault="00F04DB4" w:rsidP="00F04DB4">
            <w:pPr>
              <w:pStyle w:val="ListParagraph"/>
              <w:numPr>
                <w:ilvl w:val="0"/>
                <w:numId w:val="13"/>
              </w:numPr>
            </w:pPr>
            <w:r>
              <w:t>Programme Updates:</w:t>
            </w:r>
          </w:p>
          <w:p w:rsidR="00F04DB4" w:rsidRDefault="00F04DB4" w:rsidP="00F04DB4"/>
          <w:p w:rsidR="00F04DB4" w:rsidRDefault="00F04DB4" w:rsidP="00F04DB4">
            <w:pPr>
              <w:pStyle w:val="ListParagraph"/>
              <w:numPr>
                <w:ilvl w:val="0"/>
                <w:numId w:val="16"/>
              </w:numPr>
              <w:ind w:left="288" w:hanging="283"/>
            </w:pPr>
            <w:r>
              <w:t>Funding for social rent, commercial led housing fund and Department of Health Care and Support funding – no further details available on these programmes yet</w:t>
            </w:r>
          </w:p>
          <w:p w:rsidR="00F04DB4" w:rsidRDefault="00F04DB4" w:rsidP="00F04DB4">
            <w:pPr>
              <w:pStyle w:val="ListParagraph"/>
              <w:numPr>
                <w:ilvl w:val="0"/>
                <w:numId w:val="16"/>
              </w:numPr>
              <w:ind w:left="288" w:hanging="283"/>
            </w:pPr>
            <w:r>
              <w:t>AHP 2016-21, funding still available in this programme, a good year in 2017/18 but a huge expectation and objective to fulfil going forward</w:t>
            </w:r>
          </w:p>
          <w:p w:rsidR="00F04DB4" w:rsidRDefault="00F04DB4" w:rsidP="00F04DB4">
            <w:pPr>
              <w:pStyle w:val="ListParagraph"/>
              <w:numPr>
                <w:ilvl w:val="0"/>
                <w:numId w:val="16"/>
              </w:numPr>
              <w:ind w:left="288" w:hanging="283"/>
            </w:pPr>
            <w:r>
              <w:t>HE keen to get visibility on the pipeline developments for Kent and Medway, looking also at barriers to delivery, how to unlock stalled sites/development and to engage in communication across partners.  Carol Cairns is the point of contact for HE currently in the SE</w:t>
            </w:r>
          </w:p>
          <w:p w:rsidR="00F04DB4" w:rsidRDefault="00F04DB4" w:rsidP="00F04DB4">
            <w:pPr>
              <w:pStyle w:val="ListParagraph"/>
              <w:numPr>
                <w:ilvl w:val="0"/>
                <w:numId w:val="16"/>
              </w:numPr>
              <w:ind w:left="288" w:hanging="283"/>
            </w:pPr>
            <w:r>
              <w:t>HIF – this fund was overwhelmed with bid submissions, 430 bids in total, 3 successful in Kent.  Currently working through funding clarification, including value for money and how to get ready for contracting process, this is being undertaken in waves due to the number of bids</w:t>
            </w:r>
          </w:p>
          <w:p w:rsidR="00F04DB4" w:rsidRDefault="00F04DB4" w:rsidP="00F04DB4">
            <w:pPr>
              <w:pStyle w:val="ListParagraph"/>
              <w:numPr>
                <w:ilvl w:val="0"/>
                <w:numId w:val="16"/>
              </w:numPr>
              <w:ind w:left="288" w:hanging="283"/>
            </w:pPr>
            <w:r>
              <w:t>Forward Funding Bids – EOI submitted by 21</w:t>
            </w:r>
            <w:r w:rsidRPr="00F04DB4">
              <w:rPr>
                <w:vertAlign w:val="superscript"/>
              </w:rPr>
              <w:t>st</w:t>
            </w:r>
            <w:r>
              <w:t xml:space="preserve"> March 2018, 45 EOI submitted, currently going through co-development stage, ensuring that EOI can be worked up to fully formed bid, HE can help shape bids, still a competitive process</w:t>
            </w:r>
          </w:p>
          <w:p w:rsidR="00F04DB4" w:rsidRDefault="00F04DB4" w:rsidP="00F04DB4">
            <w:pPr>
              <w:pStyle w:val="ListParagraph"/>
              <w:ind w:left="288"/>
            </w:pPr>
          </w:p>
          <w:p w:rsidR="00F04DB4" w:rsidRDefault="00F04DB4" w:rsidP="00F04DB4">
            <w:pPr>
              <w:pStyle w:val="ListParagraph"/>
              <w:numPr>
                <w:ilvl w:val="0"/>
                <w:numId w:val="13"/>
              </w:numPr>
            </w:pPr>
            <w:r>
              <w:t xml:space="preserve">Affordable Housing </w:t>
            </w:r>
          </w:p>
          <w:p w:rsidR="00F04DB4" w:rsidRDefault="00F04DB4" w:rsidP="00F04DB4"/>
          <w:p w:rsidR="00F04DB4" w:rsidRPr="00685176" w:rsidRDefault="00F04DB4" w:rsidP="00F04DB4">
            <w:pPr>
              <w:pStyle w:val="ListParagraph"/>
              <w:numPr>
                <w:ilvl w:val="0"/>
                <w:numId w:val="17"/>
              </w:numPr>
              <w:ind w:left="288" w:hanging="283"/>
            </w:pPr>
            <w:r w:rsidRPr="00685176">
              <w:t>HE to help support RP’s to help deliver the extra numbers identified by Government</w:t>
            </w:r>
          </w:p>
          <w:p w:rsidR="00F04DB4" w:rsidRPr="00685176" w:rsidRDefault="00F04DB4" w:rsidP="00F04DB4">
            <w:pPr>
              <w:pStyle w:val="ListParagraph"/>
              <w:numPr>
                <w:ilvl w:val="0"/>
                <w:numId w:val="17"/>
              </w:numPr>
              <w:ind w:left="288" w:hanging="283"/>
            </w:pPr>
            <w:r w:rsidRPr="00685176">
              <w:t>HE are building an evidence base to consider the opportunities for a ‘deals based approach’, a serious of round table events have taken place, RP’s invited to consider what flexibility might look like, what could it deliver</w:t>
            </w:r>
          </w:p>
          <w:p w:rsidR="00685176" w:rsidRPr="00685176" w:rsidRDefault="00F04DB4" w:rsidP="00685176">
            <w:pPr>
              <w:pStyle w:val="ListParagraph"/>
              <w:numPr>
                <w:ilvl w:val="0"/>
                <w:numId w:val="17"/>
              </w:numPr>
              <w:ind w:left="288" w:hanging="283"/>
            </w:pPr>
            <w:r w:rsidRPr="00685176">
              <w:t>RP’s as part of the round table have been asked to submit written proposals to HE to continue this work further, these are not bids</w:t>
            </w:r>
            <w:r w:rsidR="00685176" w:rsidRPr="00685176">
              <w:t>.  There could be a range of potential options around flexibility to consider going forward. HE will feedback on this work when details available.</w:t>
            </w:r>
          </w:p>
          <w:p w:rsidR="00685176" w:rsidRDefault="00685176" w:rsidP="00685176">
            <w:pPr>
              <w:ind w:left="5"/>
            </w:pPr>
          </w:p>
          <w:p w:rsidR="00685176" w:rsidRDefault="00685176" w:rsidP="00685176">
            <w:pPr>
              <w:ind w:left="5"/>
            </w:pPr>
            <w:r>
              <w:t>CC also advised that local authorities will be notified in writing of compulsory audit training and two events taking place in June, 12</w:t>
            </w:r>
            <w:r w:rsidRPr="00685176">
              <w:rPr>
                <w:vertAlign w:val="superscript"/>
              </w:rPr>
              <w:t>th</w:t>
            </w:r>
            <w:r>
              <w:t xml:space="preserve"> June in Cambridge and 6</w:t>
            </w:r>
            <w:r w:rsidRPr="00685176">
              <w:rPr>
                <w:vertAlign w:val="superscript"/>
              </w:rPr>
              <w:t>th</w:t>
            </w:r>
            <w:r>
              <w:t xml:space="preserve"> June in London.</w:t>
            </w:r>
          </w:p>
          <w:p w:rsidR="000575DA" w:rsidRDefault="000575DA" w:rsidP="000575DA">
            <w:pPr>
              <w:pStyle w:val="ListParagraph"/>
            </w:pPr>
          </w:p>
          <w:p w:rsidR="00685176" w:rsidRDefault="00685176" w:rsidP="00685176">
            <w:r>
              <w:t xml:space="preserve">There was a discussion about 141 receipts, CC was unable to shed light on this issue as not under the remit of HE, the decision around this lies with MHCLG.  The Delivery Disposal Plan is now available on the HE website, </w:t>
            </w:r>
            <w:r w:rsidRPr="00685176">
              <w:rPr>
                <w:highlight w:val="yellow"/>
              </w:rPr>
              <w:t>CC to share the link</w:t>
            </w:r>
          </w:p>
          <w:p w:rsidR="00685176" w:rsidRPr="008725B1" w:rsidRDefault="00685176" w:rsidP="00685176"/>
        </w:tc>
        <w:tc>
          <w:tcPr>
            <w:tcW w:w="992" w:type="dxa"/>
            <w:shd w:val="clear" w:color="auto" w:fill="auto"/>
          </w:tcPr>
          <w:p w:rsidR="005957F0" w:rsidRPr="0044468F" w:rsidRDefault="005957F0" w:rsidP="00D131A0">
            <w:pPr>
              <w:jc w:val="both"/>
              <w:rPr>
                <w:b/>
              </w:rPr>
            </w:pPr>
          </w:p>
        </w:tc>
        <w:tc>
          <w:tcPr>
            <w:tcW w:w="1418" w:type="dxa"/>
            <w:gridSpan w:val="2"/>
            <w:shd w:val="clear" w:color="auto" w:fill="auto"/>
          </w:tcPr>
          <w:p w:rsidR="005957F0" w:rsidRPr="0044468F" w:rsidRDefault="005957F0" w:rsidP="009A1443">
            <w:pPr>
              <w:rPr>
                <w:b/>
                <w:color w:val="FF0000"/>
              </w:rPr>
            </w:pPr>
          </w:p>
        </w:tc>
      </w:tr>
      <w:tr w:rsidR="00685176" w:rsidRPr="00745BAC" w:rsidTr="00333CE9">
        <w:tc>
          <w:tcPr>
            <w:tcW w:w="2411" w:type="dxa"/>
            <w:shd w:val="clear" w:color="auto" w:fill="auto"/>
          </w:tcPr>
          <w:p w:rsidR="00685176" w:rsidRPr="00C86D65" w:rsidRDefault="00685176" w:rsidP="008719B0">
            <w:pPr>
              <w:rPr>
                <w:b/>
              </w:rPr>
            </w:pPr>
            <w:r>
              <w:rPr>
                <w:b/>
              </w:rPr>
              <w:t>K&amp;M Local Care Plan</w:t>
            </w:r>
          </w:p>
        </w:tc>
        <w:tc>
          <w:tcPr>
            <w:tcW w:w="11198" w:type="dxa"/>
            <w:gridSpan w:val="2"/>
            <w:shd w:val="clear" w:color="auto" w:fill="auto"/>
          </w:tcPr>
          <w:p w:rsidR="00685176" w:rsidRDefault="00685176" w:rsidP="00D131A0">
            <w:pPr>
              <w:jc w:val="both"/>
            </w:pPr>
            <w:r>
              <w:t xml:space="preserve">Cathy Bellman provided an overview about Local Care for Kent and Medway.  </w:t>
            </w:r>
          </w:p>
          <w:p w:rsidR="00685176" w:rsidRDefault="00685176" w:rsidP="00D131A0">
            <w:pPr>
              <w:jc w:val="both"/>
            </w:pPr>
          </w:p>
          <w:p w:rsidR="00685176" w:rsidRPr="00685176" w:rsidRDefault="00685176" w:rsidP="00685176">
            <w:pPr>
              <w:pStyle w:val="ListParagraph"/>
              <w:numPr>
                <w:ilvl w:val="0"/>
                <w:numId w:val="18"/>
              </w:numPr>
              <w:ind w:left="288" w:hanging="283"/>
              <w:jc w:val="both"/>
            </w:pPr>
            <w:r w:rsidRPr="00685176">
              <w:t>The STP is now a partnership rather than plan and all statutory partners are coming together to explore options around transforming services</w:t>
            </w:r>
          </w:p>
          <w:p w:rsidR="00685176" w:rsidRPr="00685176" w:rsidRDefault="00685176" w:rsidP="00685176">
            <w:pPr>
              <w:pStyle w:val="ListParagraph"/>
              <w:numPr>
                <w:ilvl w:val="0"/>
                <w:numId w:val="18"/>
              </w:numPr>
              <w:ind w:left="288" w:hanging="283"/>
              <w:jc w:val="both"/>
            </w:pPr>
            <w:r w:rsidRPr="00685176">
              <w:t>Any service delivered in the community is ‘Local Care’</w:t>
            </w:r>
          </w:p>
          <w:p w:rsidR="00685176" w:rsidRPr="00685176" w:rsidRDefault="00685176" w:rsidP="00685176">
            <w:pPr>
              <w:pStyle w:val="ListParagraph"/>
              <w:numPr>
                <w:ilvl w:val="0"/>
                <w:numId w:val="18"/>
              </w:numPr>
              <w:ind w:left="288" w:hanging="283"/>
              <w:jc w:val="both"/>
            </w:pPr>
            <w:r w:rsidRPr="00685176">
              <w:t>It has been identified that the current model of care for Kent isn’t sufficient and requires transformation</w:t>
            </w:r>
          </w:p>
          <w:p w:rsidR="00685176" w:rsidRDefault="00685176" w:rsidP="00685176">
            <w:pPr>
              <w:pStyle w:val="ListParagraph"/>
              <w:numPr>
                <w:ilvl w:val="0"/>
                <w:numId w:val="18"/>
              </w:numPr>
              <w:ind w:left="288" w:hanging="283"/>
              <w:jc w:val="both"/>
            </w:pPr>
            <w:r w:rsidRPr="00685176">
              <w:t>A new model of local care for older people has been developed, called ‘Dorothy</w:t>
            </w:r>
            <w:r>
              <w:t>’ with the aim to have Multi-Disciplinary Teams, based around GP Practices, for GP cohorts of between 30 and 50,000, the challenge is for GP’s to start working together</w:t>
            </w:r>
          </w:p>
          <w:p w:rsidR="00685176" w:rsidRDefault="00685176" w:rsidP="00685176">
            <w:pPr>
              <w:pStyle w:val="ListParagraph"/>
              <w:numPr>
                <w:ilvl w:val="0"/>
                <w:numId w:val="18"/>
              </w:numPr>
              <w:ind w:left="288" w:hanging="283"/>
              <w:jc w:val="both"/>
            </w:pPr>
            <w:r>
              <w:t>Key is getting all partners, including the voluntary sector to work together in the development and delivery of the new model of care, including looking at Care Navigators and social prescribing</w:t>
            </w:r>
          </w:p>
          <w:p w:rsidR="00685176" w:rsidRDefault="00947571" w:rsidP="00685176">
            <w:pPr>
              <w:pStyle w:val="ListParagraph"/>
              <w:numPr>
                <w:ilvl w:val="0"/>
                <w:numId w:val="18"/>
              </w:numPr>
              <w:ind w:left="288" w:hanging="283"/>
              <w:jc w:val="both"/>
            </w:pPr>
            <w:r>
              <w:t>Investment into the model is critical for success, recognising the role of housing also</w:t>
            </w:r>
          </w:p>
          <w:p w:rsidR="00947571" w:rsidRDefault="00947571" w:rsidP="00685176">
            <w:pPr>
              <w:pStyle w:val="ListParagraph"/>
              <w:numPr>
                <w:ilvl w:val="0"/>
                <w:numId w:val="18"/>
              </w:numPr>
              <w:ind w:left="288" w:hanging="283"/>
              <w:jc w:val="both"/>
            </w:pPr>
            <w:r>
              <w:t>It was agreed that this would feed into the Health and Wellbeing priority in the new KMHS</w:t>
            </w:r>
          </w:p>
          <w:p w:rsidR="00947571" w:rsidRDefault="00947571" w:rsidP="00685176">
            <w:pPr>
              <w:pStyle w:val="ListParagraph"/>
              <w:numPr>
                <w:ilvl w:val="0"/>
                <w:numId w:val="18"/>
              </w:numPr>
              <w:ind w:left="288" w:hanging="283"/>
              <w:jc w:val="both"/>
            </w:pPr>
            <w:r>
              <w:t>There has been great success in the East Kent Vanguard model, other areas are working towards improvement</w:t>
            </w:r>
          </w:p>
          <w:p w:rsidR="00947571" w:rsidRPr="00947571" w:rsidRDefault="00947571" w:rsidP="00685176">
            <w:pPr>
              <w:pStyle w:val="ListParagraph"/>
              <w:numPr>
                <w:ilvl w:val="0"/>
                <w:numId w:val="18"/>
              </w:numPr>
              <w:ind w:left="288" w:hanging="283"/>
              <w:jc w:val="both"/>
              <w:rPr>
                <w:highlight w:val="yellow"/>
              </w:rPr>
            </w:pPr>
            <w:r w:rsidRPr="00947571">
              <w:rPr>
                <w:highlight w:val="yellow"/>
              </w:rPr>
              <w:t>Cathy can share short videos and case studies to explain more about the development of the model.</w:t>
            </w:r>
          </w:p>
          <w:p w:rsidR="00947571" w:rsidRPr="00685176" w:rsidRDefault="00947571" w:rsidP="00947571">
            <w:pPr>
              <w:pStyle w:val="ListParagraph"/>
              <w:ind w:left="288"/>
              <w:jc w:val="both"/>
            </w:pPr>
          </w:p>
        </w:tc>
        <w:tc>
          <w:tcPr>
            <w:tcW w:w="992" w:type="dxa"/>
            <w:shd w:val="clear" w:color="auto" w:fill="auto"/>
          </w:tcPr>
          <w:p w:rsidR="00685176" w:rsidRPr="0044468F" w:rsidRDefault="00685176" w:rsidP="00D131A0">
            <w:pPr>
              <w:jc w:val="both"/>
              <w:rPr>
                <w:b/>
              </w:rPr>
            </w:pPr>
          </w:p>
        </w:tc>
        <w:tc>
          <w:tcPr>
            <w:tcW w:w="1418" w:type="dxa"/>
            <w:gridSpan w:val="2"/>
            <w:shd w:val="clear" w:color="auto" w:fill="auto"/>
          </w:tcPr>
          <w:p w:rsidR="00685176" w:rsidRPr="0044468F" w:rsidRDefault="00947571" w:rsidP="009A1443">
            <w:pPr>
              <w:rPr>
                <w:b/>
                <w:color w:val="FF0000"/>
              </w:rPr>
            </w:pPr>
            <w:r>
              <w:rPr>
                <w:b/>
                <w:color w:val="FF0000"/>
              </w:rPr>
              <w:t>RS to share presentation</w:t>
            </w:r>
          </w:p>
        </w:tc>
      </w:tr>
      <w:tr w:rsidR="00947571" w:rsidRPr="00745BAC" w:rsidTr="00D21DBB">
        <w:tc>
          <w:tcPr>
            <w:tcW w:w="2411" w:type="dxa"/>
            <w:shd w:val="clear" w:color="auto" w:fill="auto"/>
          </w:tcPr>
          <w:p w:rsidR="00947571" w:rsidRPr="00C86D65" w:rsidRDefault="00947571" w:rsidP="008719B0">
            <w:pPr>
              <w:rPr>
                <w:b/>
              </w:rPr>
            </w:pPr>
            <w:r>
              <w:rPr>
                <w:b/>
              </w:rPr>
              <w:t>Context Housing Finance</w:t>
            </w:r>
          </w:p>
        </w:tc>
        <w:tc>
          <w:tcPr>
            <w:tcW w:w="11198" w:type="dxa"/>
            <w:gridSpan w:val="2"/>
            <w:shd w:val="clear" w:color="auto" w:fill="auto"/>
          </w:tcPr>
          <w:p w:rsidR="00947571" w:rsidRDefault="00947571" w:rsidP="00D131A0">
            <w:pPr>
              <w:jc w:val="both"/>
            </w:pPr>
            <w:r>
              <w:t>Context Housing Finance (CHF) role is to enable/facilitate the delivery of supported accommodation, developing a package and partnership to enable delivery without grant funding.  CHF recognise the need for supported accommodation in Kent and Medway and would like to engage with partners who may consider working with CHF going forward.  The main partner currently working with CHF is Reside Housing Association.  CHF can help identify sites to enable development of supported housing.</w:t>
            </w:r>
          </w:p>
          <w:p w:rsidR="00947571" w:rsidRDefault="00947571" w:rsidP="00D131A0">
            <w:pPr>
              <w:jc w:val="both"/>
            </w:pPr>
          </w:p>
          <w:p w:rsidR="00947571" w:rsidRDefault="00947571" w:rsidP="00947571">
            <w:pPr>
              <w:tabs>
                <w:tab w:val="left" w:pos="680"/>
              </w:tabs>
              <w:jc w:val="both"/>
            </w:pPr>
            <w:r>
              <w:t>CHF offer two models to partners, one to retain ownership of property, another to staircase up to ownership.  There is certainty around rent, reasonable rents and lease arrangements.  There is a flexible approach taken to the lease agreement, typically 25 year lease, within 5 – 10 years the risk is reduced.  CHF also work with housing benefit colleagues to ensure level of certainty around rental income.</w:t>
            </w:r>
          </w:p>
          <w:p w:rsidR="00947571" w:rsidRDefault="00947571" w:rsidP="00947571">
            <w:pPr>
              <w:jc w:val="both"/>
            </w:pPr>
          </w:p>
          <w:p w:rsidR="00947571" w:rsidRPr="00745BAC" w:rsidRDefault="00947571" w:rsidP="00947571">
            <w:pPr>
              <w:jc w:val="both"/>
            </w:pPr>
            <w:r>
              <w:t>Colleagues to contact CHF should they wish to consider a future working arrangement.</w:t>
            </w:r>
          </w:p>
        </w:tc>
        <w:tc>
          <w:tcPr>
            <w:tcW w:w="992" w:type="dxa"/>
            <w:shd w:val="clear" w:color="auto" w:fill="auto"/>
          </w:tcPr>
          <w:p w:rsidR="00947571" w:rsidRPr="0044468F" w:rsidRDefault="00947571" w:rsidP="00D131A0">
            <w:pPr>
              <w:jc w:val="both"/>
              <w:rPr>
                <w:b/>
              </w:rPr>
            </w:pPr>
          </w:p>
        </w:tc>
        <w:tc>
          <w:tcPr>
            <w:tcW w:w="1418" w:type="dxa"/>
            <w:gridSpan w:val="2"/>
            <w:shd w:val="clear" w:color="auto" w:fill="auto"/>
          </w:tcPr>
          <w:p w:rsidR="00947571" w:rsidRDefault="00947571" w:rsidP="009A1443">
            <w:pPr>
              <w:rPr>
                <w:b/>
                <w:color w:val="FF0000"/>
              </w:rPr>
            </w:pPr>
            <w:r>
              <w:rPr>
                <w:b/>
                <w:color w:val="FF0000"/>
              </w:rPr>
              <w:t>RS to share presentation</w:t>
            </w:r>
          </w:p>
          <w:p w:rsidR="00947571" w:rsidRPr="0044468F" w:rsidRDefault="00947571" w:rsidP="009A1443">
            <w:pPr>
              <w:rPr>
                <w:b/>
                <w:color w:val="FF0000"/>
              </w:rPr>
            </w:pPr>
          </w:p>
        </w:tc>
      </w:tr>
      <w:tr w:rsidR="002F5ABE" w:rsidRPr="00745BAC" w:rsidTr="002D0116">
        <w:tc>
          <w:tcPr>
            <w:tcW w:w="2411" w:type="dxa"/>
            <w:shd w:val="clear" w:color="auto" w:fill="auto"/>
          </w:tcPr>
          <w:p w:rsidR="002F5ABE" w:rsidRDefault="002F5ABE" w:rsidP="008719B0">
            <w:pPr>
              <w:rPr>
                <w:b/>
              </w:rPr>
            </w:pPr>
            <w:r>
              <w:rPr>
                <w:b/>
              </w:rPr>
              <w:t>EK Integration Project</w:t>
            </w:r>
          </w:p>
        </w:tc>
        <w:tc>
          <w:tcPr>
            <w:tcW w:w="7228" w:type="dxa"/>
            <w:shd w:val="clear" w:color="auto" w:fill="auto"/>
          </w:tcPr>
          <w:p w:rsidR="00947571" w:rsidRDefault="00947571" w:rsidP="002F5ABE">
            <w:pPr>
              <w:jc w:val="both"/>
            </w:pPr>
            <w:r>
              <w:t>Kerry Petts provided an overview of progress on the project.  Since the original agreement from Kent CEX’s to look at DFG’s there has been a good amount of good practice and innovation using the Better Care Funding.  It was agreed from the recommendation of the DFG last year to work on delivery of pilot in East Kent.  A small working group met to consider options and scoping of this project on 11</w:t>
            </w:r>
            <w:r w:rsidRPr="00947571">
              <w:rPr>
                <w:vertAlign w:val="superscript"/>
              </w:rPr>
              <w:t>th</w:t>
            </w:r>
            <w:r>
              <w:t xml:space="preserve"> May and will develop a proposal to pilot a more streamlined and timely process to enable a better experience for those who need to have a DFG to remain living independently.  This work includes consideration of an East Kent Housing Assistance Policy, a consistent approach to a Handy Persons Scheme and Hospital Discharge scheme.</w:t>
            </w:r>
          </w:p>
          <w:p w:rsidR="00947571" w:rsidRDefault="00947571" w:rsidP="002F5ABE">
            <w:pPr>
              <w:jc w:val="both"/>
            </w:pPr>
          </w:p>
        </w:tc>
        <w:tc>
          <w:tcPr>
            <w:tcW w:w="3970" w:type="dxa"/>
            <w:shd w:val="clear" w:color="auto" w:fill="auto"/>
          </w:tcPr>
          <w:p w:rsidR="002F5ABE" w:rsidRPr="00745BAC" w:rsidRDefault="00947571" w:rsidP="00D131A0">
            <w:pPr>
              <w:jc w:val="both"/>
            </w:pPr>
            <w:r>
              <w:t>The working group to report back to KHG on progress with the pilot</w:t>
            </w:r>
          </w:p>
        </w:tc>
        <w:tc>
          <w:tcPr>
            <w:tcW w:w="992" w:type="dxa"/>
            <w:shd w:val="clear" w:color="auto" w:fill="auto"/>
          </w:tcPr>
          <w:p w:rsidR="002F5ABE" w:rsidRPr="0044468F" w:rsidRDefault="00947571" w:rsidP="00D131A0">
            <w:pPr>
              <w:jc w:val="both"/>
              <w:rPr>
                <w:b/>
              </w:rPr>
            </w:pPr>
            <w:r>
              <w:rPr>
                <w:b/>
              </w:rPr>
              <w:t>KP/RS</w:t>
            </w:r>
          </w:p>
        </w:tc>
        <w:tc>
          <w:tcPr>
            <w:tcW w:w="1418" w:type="dxa"/>
            <w:gridSpan w:val="2"/>
            <w:shd w:val="clear" w:color="auto" w:fill="auto"/>
          </w:tcPr>
          <w:p w:rsidR="002F5ABE" w:rsidRPr="0044468F" w:rsidRDefault="00947571" w:rsidP="009A1443">
            <w:pPr>
              <w:rPr>
                <w:b/>
                <w:color w:val="FF0000"/>
              </w:rPr>
            </w:pPr>
            <w:r>
              <w:rPr>
                <w:b/>
                <w:color w:val="FF0000"/>
              </w:rPr>
              <w:t>When appropriate</w:t>
            </w:r>
          </w:p>
        </w:tc>
      </w:tr>
      <w:tr w:rsidR="002F5ABE" w:rsidRPr="00745BAC" w:rsidTr="002D0116">
        <w:tc>
          <w:tcPr>
            <w:tcW w:w="2411" w:type="dxa"/>
            <w:shd w:val="clear" w:color="auto" w:fill="auto"/>
          </w:tcPr>
          <w:p w:rsidR="002F5ABE" w:rsidRDefault="002F5ABE" w:rsidP="008719B0">
            <w:pPr>
              <w:rPr>
                <w:b/>
              </w:rPr>
            </w:pPr>
            <w:r>
              <w:rPr>
                <w:b/>
              </w:rPr>
              <w:t>KHG Events 2018</w:t>
            </w:r>
          </w:p>
        </w:tc>
        <w:tc>
          <w:tcPr>
            <w:tcW w:w="7228" w:type="dxa"/>
            <w:shd w:val="clear" w:color="auto" w:fill="auto"/>
          </w:tcPr>
          <w:p w:rsidR="002F5ABE" w:rsidRDefault="00C8137B" w:rsidP="002F5ABE">
            <w:pPr>
              <w:jc w:val="both"/>
            </w:pPr>
            <w:r>
              <w:t>EM advised that the four key priorities identified for the new KMHS will be the topic of workshops for members in the coming months; this will help develop out content and objectives for the new document.</w:t>
            </w:r>
          </w:p>
          <w:p w:rsidR="00C8137B" w:rsidRDefault="00C8137B" w:rsidP="002F5ABE">
            <w:pPr>
              <w:jc w:val="both"/>
            </w:pPr>
          </w:p>
          <w:p w:rsidR="00C8137B" w:rsidRDefault="00C8137B" w:rsidP="002F5ABE">
            <w:pPr>
              <w:jc w:val="both"/>
            </w:pPr>
            <w:r>
              <w:t>To ensure maximum benefit for members the Events Group are developing a plan of additional topical workshops and training opportunities that would be free to members and then opened to partners to draw in income where possible.    To enable this plan to develop members are asked to share ideas for themes, topics, speakers etc.</w:t>
            </w:r>
          </w:p>
          <w:p w:rsidR="00C8137B" w:rsidRDefault="00C8137B" w:rsidP="002F5ABE">
            <w:pPr>
              <w:jc w:val="both"/>
            </w:pPr>
          </w:p>
          <w:p w:rsidR="00C8137B" w:rsidRDefault="00C8137B" w:rsidP="002F5ABE">
            <w:pPr>
              <w:jc w:val="both"/>
            </w:pPr>
            <w:r>
              <w:t>KHG &amp; JPPB Excellence Awards 2018 – nominations are now open and all the information is on the KHG website.  There are 8 categories to choose from with no restriction about the number of nominations from an organisation or to a particular category.  Members encouraged to nominate by the deadline of 22</w:t>
            </w:r>
            <w:r w:rsidRPr="00C8137B">
              <w:rPr>
                <w:vertAlign w:val="superscript"/>
              </w:rPr>
              <w:t>nd</w:t>
            </w:r>
            <w:r>
              <w:t xml:space="preserve"> June.  The event will take place on the 19</w:t>
            </w:r>
            <w:r w:rsidRPr="00C8137B">
              <w:rPr>
                <w:vertAlign w:val="superscript"/>
              </w:rPr>
              <w:t>th</w:t>
            </w:r>
            <w:r>
              <w:t xml:space="preserve"> September at the Hilton Hotel in Maidstone.</w:t>
            </w:r>
          </w:p>
          <w:p w:rsidR="00C8137B" w:rsidRDefault="00C8137B" w:rsidP="002F5ABE">
            <w:pPr>
              <w:jc w:val="both"/>
            </w:pPr>
          </w:p>
          <w:p w:rsidR="00C8137B" w:rsidRDefault="00C8137B" w:rsidP="002F5ABE">
            <w:pPr>
              <w:jc w:val="both"/>
            </w:pPr>
            <w:r>
              <w:t xml:space="preserve">JE advised colleagues to come forward regarding future agenda items, what do members want to see on the agenda?  </w:t>
            </w:r>
          </w:p>
          <w:p w:rsidR="00C8137B" w:rsidRDefault="00C8137B" w:rsidP="002F5ABE">
            <w:pPr>
              <w:jc w:val="both"/>
            </w:pPr>
          </w:p>
        </w:tc>
        <w:tc>
          <w:tcPr>
            <w:tcW w:w="3970" w:type="dxa"/>
            <w:shd w:val="clear" w:color="auto" w:fill="auto"/>
          </w:tcPr>
          <w:p w:rsidR="002F5ABE" w:rsidRDefault="002F5ABE" w:rsidP="00D131A0">
            <w:pPr>
              <w:jc w:val="both"/>
            </w:pPr>
          </w:p>
          <w:p w:rsidR="00C8137B" w:rsidRDefault="00C8137B" w:rsidP="00D131A0">
            <w:pPr>
              <w:jc w:val="both"/>
            </w:pPr>
          </w:p>
          <w:p w:rsidR="00C8137B" w:rsidRDefault="00C8137B" w:rsidP="00D131A0">
            <w:pPr>
              <w:jc w:val="both"/>
            </w:pPr>
          </w:p>
          <w:p w:rsidR="00C8137B" w:rsidRDefault="00C8137B" w:rsidP="00D131A0">
            <w:pPr>
              <w:jc w:val="both"/>
            </w:pPr>
          </w:p>
          <w:p w:rsidR="00C8137B" w:rsidRDefault="00C8137B" w:rsidP="00D131A0">
            <w:pPr>
              <w:jc w:val="both"/>
            </w:pPr>
          </w:p>
          <w:p w:rsidR="00C8137B" w:rsidRDefault="00C8137B" w:rsidP="00D131A0">
            <w:pPr>
              <w:jc w:val="both"/>
            </w:pPr>
          </w:p>
          <w:p w:rsidR="00C8137B" w:rsidRDefault="00C8137B" w:rsidP="00D131A0">
            <w:pPr>
              <w:jc w:val="both"/>
            </w:pPr>
          </w:p>
          <w:p w:rsidR="00C8137B" w:rsidRDefault="00C8137B" w:rsidP="00C8137B">
            <w:r>
              <w:t>Members to share ideas for training/workshops with the Events Group</w:t>
            </w:r>
          </w:p>
          <w:p w:rsidR="00C8137B" w:rsidRDefault="00C8137B" w:rsidP="00C8137B"/>
          <w:p w:rsidR="00C8137B" w:rsidRDefault="00C8137B" w:rsidP="00C8137B"/>
          <w:p w:rsidR="00C8137B" w:rsidRDefault="00C8137B" w:rsidP="00C8137B"/>
          <w:p w:rsidR="00C8137B" w:rsidRDefault="0010001E" w:rsidP="00C8137B">
            <w:hyperlink r:id="rId8" w:history="1">
              <w:r w:rsidR="003F7D71" w:rsidRPr="00F37AC2">
                <w:rPr>
                  <w:rStyle w:val="Hyperlink"/>
                </w:rPr>
                <w:t>https://www.kenthousinggroup.org.uk/khg-awards/</w:t>
              </w:r>
            </w:hyperlink>
          </w:p>
          <w:p w:rsidR="003F7D71" w:rsidRDefault="003F7D71" w:rsidP="00C8137B"/>
          <w:p w:rsidR="003F7D71" w:rsidRDefault="003F7D71" w:rsidP="00C8137B"/>
          <w:p w:rsidR="003F7D71" w:rsidRPr="00745BAC" w:rsidRDefault="003F7D71" w:rsidP="00C8137B">
            <w:r>
              <w:t>Colleagues to contact SR/JE and RS with agenda items for future meetings</w:t>
            </w:r>
          </w:p>
        </w:tc>
        <w:tc>
          <w:tcPr>
            <w:tcW w:w="992" w:type="dxa"/>
            <w:shd w:val="clear" w:color="auto" w:fill="auto"/>
          </w:tcPr>
          <w:p w:rsidR="002F5ABE" w:rsidRDefault="002F5ABE" w:rsidP="00D131A0">
            <w:pPr>
              <w:jc w:val="both"/>
              <w:rPr>
                <w:b/>
              </w:rPr>
            </w:pPr>
          </w:p>
          <w:p w:rsidR="00C8137B" w:rsidRDefault="00C8137B" w:rsidP="00D131A0">
            <w:pPr>
              <w:jc w:val="both"/>
              <w:rPr>
                <w:b/>
              </w:rPr>
            </w:pPr>
          </w:p>
          <w:p w:rsidR="00C8137B" w:rsidRDefault="00C8137B" w:rsidP="00D131A0">
            <w:pPr>
              <w:jc w:val="both"/>
              <w:rPr>
                <w:b/>
              </w:rPr>
            </w:pPr>
          </w:p>
          <w:p w:rsidR="00C8137B" w:rsidRDefault="00C8137B" w:rsidP="00D131A0">
            <w:pPr>
              <w:jc w:val="both"/>
              <w:rPr>
                <w:b/>
              </w:rPr>
            </w:pPr>
          </w:p>
          <w:p w:rsidR="00C8137B" w:rsidRDefault="00C8137B" w:rsidP="00D131A0">
            <w:pPr>
              <w:jc w:val="both"/>
              <w:rPr>
                <w:b/>
              </w:rPr>
            </w:pPr>
          </w:p>
          <w:p w:rsidR="00C8137B" w:rsidRDefault="00C8137B" w:rsidP="00D131A0">
            <w:pPr>
              <w:jc w:val="both"/>
              <w:rPr>
                <w:b/>
              </w:rPr>
            </w:pPr>
          </w:p>
          <w:p w:rsidR="00C8137B" w:rsidRDefault="00C8137B" w:rsidP="00D131A0">
            <w:pPr>
              <w:jc w:val="both"/>
              <w:rPr>
                <w:b/>
              </w:rPr>
            </w:pPr>
          </w:p>
          <w:p w:rsidR="00C8137B" w:rsidRDefault="00C8137B" w:rsidP="00D131A0">
            <w:pPr>
              <w:jc w:val="both"/>
              <w:rPr>
                <w:b/>
              </w:rPr>
            </w:pPr>
            <w:r>
              <w:rPr>
                <w:b/>
              </w:rPr>
              <w:t>ALL</w:t>
            </w:r>
          </w:p>
          <w:p w:rsidR="00C8137B" w:rsidRDefault="00C8137B" w:rsidP="00D131A0">
            <w:pPr>
              <w:jc w:val="both"/>
              <w:rPr>
                <w:b/>
              </w:rPr>
            </w:pPr>
          </w:p>
          <w:p w:rsidR="00C8137B" w:rsidRDefault="00C8137B" w:rsidP="00D131A0">
            <w:pPr>
              <w:jc w:val="both"/>
              <w:rPr>
                <w:b/>
              </w:rPr>
            </w:pPr>
          </w:p>
          <w:p w:rsidR="00C8137B" w:rsidRDefault="00C8137B" w:rsidP="00D131A0">
            <w:pPr>
              <w:jc w:val="both"/>
              <w:rPr>
                <w:b/>
              </w:rPr>
            </w:pPr>
          </w:p>
          <w:p w:rsidR="00C8137B" w:rsidRDefault="00C8137B" w:rsidP="00D131A0">
            <w:pPr>
              <w:jc w:val="both"/>
              <w:rPr>
                <w:b/>
              </w:rPr>
            </w:pPr>
          </w:p>
          <w:p w:rsidR="00C8137B" w:rsidRDefault="00C8137B" w:rsidP="00D131A0">
            <w:pPr>
              <w:jc w:val="both"/>
              <w:rPr>
                <w:b/>
              </w:rPr>
            </w:pPr>
          </w:p>
          <w:p w:rsidR="00C8137B" w:rsidRDefault="00C8137B" w:rsidP="00D131A0">
            <w:pPr>
              <w:jc w:val="both"/>
              <w:rPr>
                <w:b/>
              </w:rPr>
            </w:pPr>
            <w:r>
              <w:rPr>
                <w:b/>
              </w:rPr>
              <w:t>ALL</w:t>
            </w:r>
          </w:p>
          <w:p w:rsidR="003F7D71" w:rsidRDefault="003F7D71" w:rsidP="00D131A0">
            <w:pPr>
              <w:jc w:val="both"/>
              <w:rPr>
                <w:b/>
              </w:rPr>
            </w:pPr>
          </w:p>
          <w:p w:rsidR="003F7D71" w:rsidRDefault="003F7D71" w:rsidP="00D131A0">
            <w:pPr>
              <w:jc w:val="both"/>
              <w:rPr>
                <w:b/>
              </w:rPr>
            </w:pPr>
          </w:p>
          <w:p w:rsidR="003F7D71" w:rsidRDefault="003F7D71" w:rsidP="00D131A0">
            <w:pPr>
              <w:jc w:val="both"/>
              <w:rPr>
                <w:b/>
              </w:rPr>
            </w:pPr>
          </w:p>
          <w:p w:rsidR="003F7D71" w:rsidRPr="0044468F" w:rsidRDefault="003F7D71" w:rsidP="00D131A0">
            <w:pPr>
              <w:jc w:val="both"/>
              <w:rPr>
                <w:b/>
              </w:rPr>
            </w:pPr>
            <w:r>
              <w:rPr>
                <w:b/>
              </w:rPr>
              <w:t>ALL</w:t>
            </w:r>
          </w:p>
        </w:tc>
        <w:tc>
          <w:tcPr>
            <w:tcW w:w="1418" w:type="dxa"/>
            <w:gridSpan w:val="2"/>
            <w:shd w:val="clear" w:color="auto" w:fill="auto"/>
          </w:tcPr>
          <w:p w:rsidR="002F5ABE" w:rsidRDefault="002F5ABE" w:rsidP="009A1443">
            <w:pPr>
              <w:rPr>
                <w:b/>
                <w:color w:val="FF0000"/>
              </w:rPr>
            </w:pPr>
          </w:p>
          <w:p w:rsidR="00C8137B" w:rsidRDefault="00C8137B" w:rsidP="009A1443">
            <w:pPr>
              <w:rPr>
                <w:b/>
                <w:color w:val="FF0000"/>
              </w:rPr>
            </w:pPr>
          </w:p>
          <w:p w:rsidR="00C8137B" w:rsidRDefault="00C8137B" w:rsidP="009A1443">
            <w:pPr>
              <w:rPr>
                <w:b/>
                <w:color w:val="FF0000"/>
              </w:rPr>
            </w:pPr>
          </w:p>
          <w:p w:rsidR="00C8137B" w:rsidRDefault="00C8137B" w:rsidP="009A1443">
            <w:pPr>
              <w:rPr>
                <w:b/>
                <w:color w:val="FF0000"/>
              </w:rPr>
            </w:pPr>
          </w:p>
          <w:p w:rsidR="00C8137B" w:rsidRDefault="00C8137B" w:rsidP="009A1443">
            <w:pPr>
              <w:rPr>
                <w:b/>
                <w:color w:val="FF0000"/>
              </w:rPr>
            </w:pPr>
          </w:p>
          <w:p w:rsidR="00C8137B" w:rsidRDefault="00C8137B" w:rsidP="009A1443">
            <w:pPr>
              <w:rPr>
                <w:b/>
                <w:color w:val="FF0000"/>
              </w:rPr>
            </w:pPr>
          </w:p>
          <w:p w:rsidR="00C8137B" w:rsidRDefault="00C8137B" w:rsidP="009A1443">
            <w:pPr>
              <w:rPr>
                <w:b/>
                <w:color w:val="FF0000"/>
              </w:rPr>
            </w:pPr>
          </w:p>
          <w:p w:rsidR="00C8137B" w:rsidRDefault="00C8137B" w:rsidP="009A1443">
            <w:pPr>
              <w:rPr>
                <w:b/>
                <w:color w:val="FF0000"/>
              </w:rPr>
            </w:pPr>
            <w:r>
              <w:rPr>
                <w:b/>
                <w:color w:val="FF0000"/>
              </w:rPr>
              <w:t>As appropriate</w:t>
            </w:r>
          </w:p>
          <w:p w:rsidR="00C8137B" w:rsidRDefault="00C8137B" w:rsidP="009A1443">
            <w:pPr>
              <w:rPr>
                <w:b/>
                <w:color w:val="FF0000"/>
              </w:rPr>
            </w:pPr>
          </w:p>
          <w:p w:rsidR="00C8137B" w:rsidRDefault="00C8137B" w:rsidP="009A1443">
            <w:pPr>
              <w:rPr>
                <w:b/>
                <w:color w:val="FF0000"/>
              </w:rPr>
            </w:pPr>
          </w:p>
          <w:p w:rsidR="00C8137B" w:rsidRDefault="00C8137B" w:rsidP="009A1443">
            <w:pPr>
              <w:rPr>
                <w:b/>
                <w:color w:val="FF0000"/>
              </w:rPr>
            </w:pPr>
          </w:p>
          <w:p w:rsidR="00C8137B" w:rsidRDefault="00C8137B" w:rsidP="009A1443">
            <w:pPr>
              <w:rPr>
                <w:b/>
                <w:color w:val="FF0000"/>
              </w:rPr>
            </w:pPr>
          </w:p>
          <w:p w:rsidR="00C8137B" w:rsidRDefault="00C8137B" w:rsidP="009A1443">
            <w:pPr>
              <w:rPr>
                <w:b/>
                <w:color w:val="FF0000"/>
              </w:rPr>
            </w:pPr>
            <w:r>
              <w:rPr>
                <w:b/>
                <w:color w:val="FF0000"/>
              </w:rPr>
              <w:t>By 22</w:t>
            </w:r>
            <w:r w:rsidRPr="00C8137B">
              <w:rPr>
                <w:b/>
                <w:color w:val="FF0000"/>
                <w:vertAlign w:val="superscript"/>
              </w:rPr>
              <w:t>nd</w:t>
            </w:r>
            <w:r>
              <w:rPr>
                <w:b/>
                <w:color w:val="FF0000"/>
              </w:rPr>
              <w:t xml:space="preserve"> June</w:t>
            </w:r>
          </w:p>
          <w:p w:rsidR="003F7D71" w:rsidRDefault="003F7D71" w:rsidP="009A1443">
            <w:pPr>
              <w:rPr>
                <w:b/>
                <w:color w:val="FF0000"/>
              </w:rPr>
            </w:pPr>
          </w:p>
          <w:p w:rsidR="003F7D71" w:rsidRDefault="003F7D71" w:rsidP="009A1443">
            <w:pPr>
              <w:rPr>
                <w:b/>
                <w:color w:val="FF0000"/>
              </w:rPr>
            </w:pPr>
          </w:p>
          <w:p w:rsidR="003F7D71" w:rsidRDefault="003F7D71" w:rsidP="009A1443">
            <w:pPr>
              <w:rPr>
                <w:b/>
                <w:color w:val="FF0000"/>
              </w:rPr>
            </w:pPr>
          </w:p>
          <w:p w:rsidR="003F7D71" w:rsidRPr="0044468F" w:rsidRDefault="003F7D71" w:rsidP="009A1443">
            <w:pPr>
              <w:rPr>
                <w:b/>
                <w:color w:val="FF0000"/>
              </w:rPr>
            </w:pPr>
            <w:r>
              <w:rPr>
                <w:b/>
                <w:color w:val="FF0000"/>
              </w:rPr>
              <w:t>As appropriate</w:t>
            </w:r>
          </w:p>
        </w:tc>
      </w:tr>
      <w:tr w:rsidR="004B36B2" w:rsidRPr="00745BAC" w:rsidTr="002D0116">
        <w:tc>
          <w:tcPr>
            <w:tcW w:w="2411" w:type="dxa"/>
            <w:shd w:val="clear" w:color="auto" w:fill="auto"/>
          </w:tcPr>
          <w:p w:rsidR="004B36B2" w:rsidRPr="00C86D65" w:rsidRDefault="004B36B2" w:rsidP="008719B0">
            <w:pPr>
              <w:rPr>
                <w:b/>
              </w:rPr>
            </w:pPr>
            <w:r>
              <w:rPr>
                <w:b/>
              </w:rPr>
              <w:t>AOB</w:t>
            </w:r>
          </w:p>
        </w:tc>
        <w:tc>
          <w:tcPr>
            <w:tcW w:w="7228" w:type="dxa"/>
            <w:shd w:val="clear" w:color="auto" w:fill="auto"/>
          </w:tcPr>
          <w:p w:rsidR="003F7D71" w:rsidRDefault="003F7D71" w:rsidP="002F5ABE">
            <w:pPr>
              <w:jc w:val="both"/>
            </w:pPr>
            <w:r>
              <w:t>CH, on behalf of Melanie Anthony (KCC) advised that they are working through the governance and preparation of tender sites and documentation regarding the Homelessness Commissioning.  The tendering should commence in mid-June, those interested are encouraged to register interest on the Kent Business Portal, new contracts due to commence on the 1</w:t>
            </w:r>
            <w:r w:rsidRPr="003F7D71">
              <w:rPr>
                <w:vertAlign w:val="superscript"/>
              </w:rPr>
              <w:t>st</w:t>
            </w:r>
            <w:r>
              <w:t xml:space="preserve"> October 2018.</w:t>
            </w:r>
          </w:p>
          <w:p w:rsidR="003F7D71" w:rsidRDefault="003F7D71" w:rsidP="002F5ABE">
            <w:pPr>
              <w:jc w:val="both"/>
            </w:pPr>
          </w:p>
          <w:p w:rsidR="003F7D71" w:rsidRDefault="003F7D71" w:rsidP="002F5ABE">
            <w:pPr>
              <w:jc w:val="both"/>
            </w:pPr>
            <w:r>
              <w:t>BH advised that the Kent Design and Development Awards 2018 are launching shortly, BH encouraged colleagues to submit nominations.</w:t>
            </w:r>
          </w:p>
          <w:p w:rsidR="003F7D71" w:rsidRDefault="003F7D71" w:rsidP="002F5ABE">
            <w:pPr>
              <w:jc w:val="both"/>
            </w:pPr>
          </w:p>
          <w:p w:rsidR="003F7D71" w:rsidRDefault="003F7D71" w:rsidP="002F5ABE">
            <w:pPr>
              <w:jc w:val="both"/>
            </w:pPr>
            <w:r>
              <w:t>DE advised that a new e-learning programme is due out, with a focus on housing and homelessness, when available DE will share the information.</w:t>
            </w:r>
          </w:p>
          <w:p w:rsidR="003F7D71" w:rsidRDefault="003F7D71" w:rsidP="002F5ABE">
            <w:pPr>
              <w:jc w:val="both"/>
            </w:pPr>
          </w:p>
          <w:p w:rsidR="003F7D71" w:rsidRDefault="003F7D71" w:rsidP="002F5ABE">
            <w:pPr>
              <w:jc w:val="both"/>
            </w:pPr>
            <w:r>
              <w:t>JE encouraged members to utilise the website as often as possible, to share feedback or ideas about improvements as they become apparent.</w:t>
            </w:r>
          </w:p>
          <w:p w:rsidR="003F7D71" w:rsidRDefault="003F7D71" w:rsidP="002F5ABE">
            <w:pPr>
              <w:jc w:val="both"/>
            </w:pPr>
          </w:p>
          <w:p w:rsidR="004B36B2" w:rsidRPr="003F7D71" w:rsidRDefault="00022E7A" w:rsidP="002F5ABE">
            <w:pPr>
              <w:jc w:val="both"/>
              <w:rPr>
                <w:b/>
              </w:rPr>
            </w:pPr>
            <w:r w:rsidRPr="003F7D71">
              <w:rPr>
                <w:b/>
                <w:sz w:val="28"/>
              </w:rPr>
              <w:t xml:space="preserve">Next KHG </w:t>
            </w:r>
            <w:r w:rsidR="002F5ABE" w:rsidRPr="003F7D71">
              <w:rPr>
                <w:b/>
                <w:sz w:val="28"/>
              </w:rPr>
              <w:t>3</w:t>
            </w:r>
            <w:r w:rsidR="002F5ABE" w:rsidRPr="003F7D71">
              <w:rPr>
                <w:b/>
                <w:sz w:val="28"/>
                <w:vertAlign w:val="superscript"/>
              </w:rPr>
              <w:t>rd</w:t>
            </w:r>
            <w:r w:rsidR="002F5ABE" w:rsidRPr="003F7D71">
              <w:rPr>
                <w:b/>
                <w:sz w:val="28"/>
              </w:rPr>
              <w:t xml:space="preserve"> October 2018, </w:t>
            </w:r>
            <w:r w:rsidRPr="003F7D71">
              <w:rPr>
                <w:b/>
                <w:sz w:val="28"/>
              </w:rPr>
              <w:t>KCC Sessions House</w:t>
            </w:r>
          </w:p>
        </w:tc>
        <w:tc>
          <w:tcPr>
            <w:tcW w:w="3970" w:type="dxa"/>
            <w:shd w:val="clear" w:color="auto" w:fill="auto"/>
          </w:tcPr>
          <w:p w:rsidR="004B36B2" w:rsidRDefault="003F7D71" w:rsidP="00D131A0">
            <w:pPr>
              <w:jc w:val="both"/>
            </w:pPr>
            <w:r>
              <w:t>MA to feedback to colleagues about the contract type/information so that colleagues with an EOI for the Homelessness commissioning process can understand if they are in a position to bid or not.</w:t>
            </w:r>
          </w:p>
          <w:p w:rsidR="003F7D71" w:rsidRDefault="003F7D71" w:rsidP="00D131A0">
            <w:pPr>
              <w:jc w:val="both"/>
            </w:pPr>
          </w:p>
          <w:p w:rsidR="003F7D71" w:rsidRDefault="003F7D71" w:rsidP="00D131A0">
            <w:pPr>
              <w:jc w:val="both"/>
            </w:pPr>
            <w:r>
              <w:t>BH to share link for the awards when available</w:t>
            </w:r>
          </w:p>
          <w:p w:rsidR="003F7D71" w:rsidRDefault="003F7D71" w:rsidP="00D131A0">
            <w:pPr>
              <w:jc w:val="both"/>
            </w:pPr>
          </w:p>
          <w:p w:rsidR="003F7D71" w:rsidRDefault="003F7D71" w:rsidP="00D131A0">
            <w:pPr>
              <w:jc w:val="both"/>
            </w:pPr>
            <w:r>
              <w:t>DE to note and share</w:t>
            </w:r>
          </w:p>
          <w:p w:rsidR="003F7D71" w:rsidRDefault="003F7D71" w:rsidP="00D131A0">
            <w:pPr>
              <w:jc w:val="both"/>
            </w:pPr>
          </w:p>
          <w:p w:rsidR="003F7D71" w:rsidRDefault="003F7D71" w:rsidP="00D131A0">
            <w:pPr>
              <w:jc w:val="both"/>
            </w:pPr>
          </w:p>
          <w:p w:rsidR="003F7D71" w:rsidRPr="00745BAC" w:rsidRDefault="003F7D71" w:rsidP="00D131A0">
            <w:pPr>
              <w:jc w:val="both"/>
            </w:pPr>
            <w:r>
              <w:t>ALL members to note and feedback to SR/JE and RS</w:t>
            </w:r>
          </w:p>
        </w:tc>
        <w:tc>
          <w:tcPr>
            <w:tcW w:w="992" w:type="dxa"/>
            <w:shd w:val="clear" w:color="auto" w:fill="auto"/>
          </w:tcPr>
          <w:p w:rsidR="004B36B2" w:rsidRDefault="003F7D71" w:rsidP="00D131A0">
            <w:pPr>
              <w:jc w:val="both"/>
              <w:rPr>
                <w:b/>
              </w:rPr>
            </w:pPr>
            <w:r>
              <w:rPr>
                <w:b/>
              </w:rPr>
              <w:t>MA</w:t>
            </w:r>
          </w:p>
          <w:p w:rsidR="003F7D71" w:rsidRDefault="003F7D71" w:rsidP="00D131A0">
            <w:pPr>
              <w:jc w:val="both"/>
              <w:rPr>
                <w:b/>
              </w:rPr>
            </w:pPr>
          </w:p>
          <w:p w:rsidR="003F7D71" w:rsidRDefault="003F7D71" w:rsidP="00D131A0">
            <w:pPr>
              <w:jc w:val="both"/>
              <w:rPr>
                <w:b/>
              </w:rPr>
            </w:pPr>
          </w:p>
          <w:p w:rsidR="003F7D71" w:rsidRDefault="003F7D71" w:rsidP="00D131A0">
            <w:pPr>
              <w:jc w:val="both"/>
              <w:rPr>
                <w:b/>
              </w:rPr>
            </w:pPr>
          </w:p>
          <w:p w:rsidR="003F7D71" w:rsidRDefault="003F7D71" w:rsidP="00D131A0">
            <w:pPr>
              <w:jc w:val="both"/>
              <w:rPr>
                <w:b/>
              </w:rPr>
            </w:pPr>
          </w:p>
          <w:p w:rsidR="003F7D71" w:rsidRDefault="003F7D71" w:rsidP="00D131A0">
            <w:pPr>
              <w:jc w:val="both"/>
              <w:rPr>
                <w:b/>
              </w:rPr>
            </w:pPr>
          </w:p>
          <w:p w:rsidR="003F7D71" w:rsidRDefault="003F7D71" w:rsidP="00D131A0">
            <w:pPr>
              <w:jc w:val="both"/>
              <w:rPr>
                <w:b/>
              </w:rPr>
            </w:pPr>
          </w:p>
          <w:p w:rsidR="003F7D71" w:rsidRDefault="003F7D71" w:rsidP="00D131A0">
            <w:pPr>
              <w:jc w:val="both"/>
              <w:rPr>
                <w:b/>
              </w:rPr>
            </w:pPr>
            <w:r>
              <w:rPr>
                <w:b/>
              </w:rPr>
              <w:t>BH</w:t>
            </w:r>
          </w:p>
          <w:p w:rsidR="003F7D71" w:rsidRDefault="003F7D71" w:rsidP="00D131A0">
            <w:pPr>
              <w:jc w:val="both"/>
              <w:rPr>
                <w:b/>
              </w:rPr>
            </w:pPr>
          </w:p>
          <w:p w:rsidR="003F7D71" w:rsidRDefault="003F7D71" w:rsidP="00D131A0">
            <w:pPr>
              <w:jc w:val="both"/>
              <w:rPr>
                <w:b/>
              </w:rPr>
            </w:pPr>
          </w:p>
          <w:p w:rsidR="003F7D71" w:rsidRDefault="003F7D71" w:rsidP="00D131A0">
            <w:pPr>
              <w:jc w:val="both"/>
              <w:rPr>
                <w:b/>
              </w:rPr>
            </w:pPr>
            <w:r>
              <w:rPr>
                <w:b/>
              </w:rPr>
              <w:t>DE</w:t>
            </w:r>
          </w:p>
          <w:p w:rsidR="003F7D71" w:rsidRDefault="003F7D71" w:rsidP="00D131A0">
            <w:pPr>
              <w:jc w:val="both"/>
              <w:rPr>
                <w:b/>
              </w:rPr>
            </w:pPr>
          </w:p>
          <w:p w:rsidR="003F7D71" w:rsidRDefault="003F7D71" w:rsidP="00D131A0">
            <w:pPr>
              <w:jc w:val="both"/>
              <w:rPr>
                <w:b/>
              </w:rPr>
            </w:pPr>
          </w:p>
          <w:p w:rsidR="003F7D71" w:rsidRPr="0044468F" w:rsidRDefault="003F7D71" w:rsidP="00D131A0">
            <w:pPr>
              <w:jc w:val="both"/>
              <w:rPr>
                <w:b/>
              </w:rPr>
            </w:pPr>
            <w:r>
              <w:rPr>
                <w:b/>
              </w:rPr>
              <w:t>ALL</w:t>
            </w:r>
          </w:p>
        </w:tc>
        <w:tc>
          <w:tcPr>
            <w:tcW w:w="1418" w:type="dxa"/>
            <w:gridSpan w:val="2"/>
            <w:shd w:val="clear" w:color="auto" w:fill="auto"/>
          </w:tcPr>
          <w:p w:rsidR="004B36B2" w:rsidRDefault="003F7D71" w:rsidP="009A1443">
            <w:pPr>
              <w:rPr>
                <w:b/>
                <w:color w:val="FF0000"/>
              </w:rPr>
            </w:pPr>
            <w:r>
              <w:rPr>
                <w:b/>
                <w:color w:val="FF0000"/>
              </w:rPr>
              <w:t>ASAP</w:t>
            </w:r>
          </w:p>
          <w:p w:rsidR="003F7D71" w:rsidRDefault="003F7D71" w:rsidP="009A1443">
            <w:pPr>
              <w:rPr>
                <w:b/>
                <w:color w:val="FF0000"/>
              </w:rPr>
            </w:pPr>
          </w:p>
          <w:p w:rsidR="003F7D71" w:rsidRDefault="003F7D71" w:rsidP="009A1443">
            <w:pPr>
              <w:rPr>
                <w:b/>
                <w:color w:val="FF0000"/>
              </w:rPr>
            </w:pPr>
          </w:p>
          <w:p w:rsidR="003F7D71" w:rsidRDefault="003F7D71" w:rsidP="009A1443">
            <w:pPr>
              <w:rPr>
                <w:b/>
                <w:color w:val="FF0000"/>
              </w:rPr>
            </w:pPr>
          </w:p>
          <w:p w:rsidR="003F7D71" w:rsidRDefault="003F7D71" w:rsidP="009A1443">
            <w:pPr>
              <w:rPr>
                <w:b/>
                <w:color w:val="FF0000"/>
              </w:rPr>
            </w:pPr>
          </w:p>
          <w:p w:rsidR="003F7D71" w:rsidRDefault="003F7D71" w:rsidP="009A1443">
            <w:pPr>
              <w:rPr>
                <w:b/>
                <w:color w:val="FF0000"/>
              </w:rPr>
            </w:pPr>
          </w:p>
          <w:p w:rsidR="003F7D71" w:rsidRDefault="003F7D71" w:rsidP="009A1443">
            <w:pPr>
              <w:rPr>
                <w:b/>
                <w:color w:val="FF0000"/>
              </w:rPr>
            </w:pPr>
          </w:p>
          <w:p w:rsidR="003F7D71" w:rsidRDefault="003F7D71" w:rsidP="009A1443">
            <w:pPr>
              <w:rPr>
                <w:b/>
                <w:color w:val="FF0000"/>
              </w:rPr>
            </w:pPr>
            <w:r>
              <w:rPr>
                <w:b/>
                <w:color w:val="FF0000"/>
              </w:rPr>
              <w:t>When available</w:t>
            </w:r>
          </w:p>
          <w:p w:rsidR="003F7D71" w:rsidRDefault="003F7D71" w:rsidP="009A1443">
            <w:pPr>
              <w:rPr>
                <w:b/>
                <w:color w:val="FF0000"/>
              </w:rPr>
            </w:pPr>
          </w:p>
          <w:p w:rsidR="003F7D71" w:rsidRDefault="003F7D71" w:rsidP="009A1443">
            <w:pPr>
              <w:rPr>
                <w:b/>
                <w:color w:val="FF0000"/>
              </w:rPr>
            </w:pPr>
            <w:r>
              <w:rPr>
                <w:b/>
                <w:color w:val="FF0000"/>
              </w:rPr>
              <w:t>When available</w:t>
            </w:r>
          </w:p>
          <w:p w:rsidR="003F7D71" w:rsidRDefault="003F7D71" w:rsidP="009A1443">
            <w:pPr>
              <w:rPr>
                <w:b/>
                <w:color w:val="FF0000"/>
              </w:rPr>
            </w:pPr>
          </w:p>
          <w:p w:rsidR="003F7D71" w:rsidRPr="0044468F" w:rsidRDefault="003F7D71" w:rsidP="009A1443">
            <w:pPr>
              <w:rPr>
                <w:b/>
                <w:color w:val="FF0000"/>
              </w:rPr>
            </w:pPr>
            <w:r>
              <w:rPr>
                <w:b/>
                <w:color w:val="FF0000"/>
              </w:rPr>
              <w:t>As appropriate</w:t>
            </w:r>
          </w:p>
        </w:tc>
      </w:tr>
    </w:tbl>
    <w:p w:rsidR="00194850" w:rsidRDefault="00194850"/>
    <w:p w:rsidR="00443F82" w:rsidRDefault="00E42640">
      <w:pPr>
        <w:rPr>
          <w:b/>
          <w:i/>
        </w:rPr>
      </w:pPr>
      <w:r>
        <w:t xml:space="preserve"> </w:t>
      </w:r>
      <w:r w:rsidRPr="00B86E64">
        <w:rPr>
          <w:b/>
          <w:i/>
        </w:rPr>
        <w:t>Thanks not</w:t>
      </w:r>
      <w:r w:rsidR="00DB38AF" w:rsidRPr="00B86E64">
        <w:rPr>
          <w:b/>
          <w:i/>
        </w:rPr>
        <w:t xml:space="preserve">ed to </w:t>
      </w:r>
      <w:r w:rsidR="00685510">
        <w:rPr>
          <w:b/>
          <w:i/>
        </w:rPr>
        <w:t>Kent County Council</w:t>
      </w:r>
      <w:r w:rsidR="006F3586" w:rsidRPr="00B86E64">
        <w:rPr>
          <w:b/>
          <w:i/>
        </w:rPr>
        <w:t xml:space="preserve"> for hosting</w:t>
      </w:r>
      <w:r w:rsidR="003F7D71">
        <w:rPr>
          <w:b/>
          <w:i/>
        </w:rPr>
        <w:t xml:space="preserve"> and provision of refreshments</w:t>
      </w:r>
    </w:p>
    <w:sectPr w:rsidR="00443F82" w:rsidSect="006C2977">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2E" w:rsidRDefault="00EF6A2E" w:rsidP="001D0582">
      <w:pPr>
        <w:spacing w:after="0" w:line="240" w:lineRule="auto"/>
      </w:pPr>
      <w:r>
        <w:separator/>
      </w:r>
    </w:p>
  </w:endnote>
  <w:endnote w:type="continuationSeparator" w:id="0">
    <w:p w:rsidR="00EF6A2E" w:rsidRDefault="00EF6A2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2D0116" w:rsidRDefault="002D0116">
        <w:pPr>
          <w:pStyle w:val="Footer"/>
          <w:jc w:val="right"/>
        </w:pPr>
        <w:r>
          <w:fldChar w:fldCharType="begin"/>
        </w:r>
        <w:r>
          <w:instrText xml:space="preserve"> PAGE   \* MERGEFORMAT </w:instrText>
        </w:r>
        <w:r>
          <w:fldChar w:fldCharType="separate"/>
        </w:r>
        <w:r w:rsidR="0010001E">
          <w:rPr>
            <w:noProof/>
          </w:rPr>
          <w:t>1</w:t>
        </w:r>
        <w:r>
          <w:rPr>
            <w:noProof/>
          </w:rPr>
          <w:fldChar w:fldCharType="end"/>
        </w:r>
      </w:p>
    </w:sdtContent>
  </w:sdt>
  <w:p w:rsidR="002D0116" w:rsidRDefault="002D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2E" w:rsidRDefault="00EF6A2E" w:rsidP="001D0582">
      <w:pPr>
        <w:spacing w:after="0" w:line="240" w:lineRule="auto"/>
      </w:pPr>
      <w:r>
        <w:separator/>
      </w:r>
    </w:p>
  </w:footnote>
  <w:footnote w:type="continuationSeparator" w:id="0">
    <w:p w:rsidR="00EF6A2E" w:rsidRDefault="00EF6A2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2D0116" w:rsidRDefault="0010001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C57"/>
    <w:multiLevelType w:val="hybridMultilevel"/>
    <w:tmpl w:val="5C72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F2474"/>
    <w:multiLevelType w:val="hybridMultilevel"/>
    <w:tmpl w:val="6280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C6741"/>
    <w:multiLevelType w:val="hybridMultilevel"/>
    <w:tmpl w:val="E26A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7A2E"/>
    <w:multiLevelType w:val="hybridMultilevel"/>
    <w:tmpl w:val="58C86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D5027"/>
    <w:multiLevelType w:val="hybridMultilevel"/>
    <w:tmpl w:val="821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F132F"/>
    <w:multiLevelType w:val="hybridMultilevel"/>
    <w:tmpl w:val="34CA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131A4"/>
    <w:multiLevelType w:val="hybridMultilevel"/>
    <w:tmpl w:val="299E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982C05"/>
    <w:multiLevelType w:val="hybridMultilevel"/>
    <w:tmpl w:val="CD22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A372F"/>
    <w:multiLevelType w:val="hybridMultilevel"/>
    <w:tmpl w:val="8AF8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97776"/>
    <w:multiLevelType w:val="hybridMultilevel"/>
    <w:tmpl w:val="743E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17"/>
  </w:num>
  <w:num w:numId="5">
    <w:abstractNumId w:val="8"/>
  </w:num>
  <w:num w:numId="6">
    <w:abstractNumId w:val="6"/>
  </w:num>
  <w:num w:numId="7">
    <w:abstractNumId w:val="12"/>
  </w:num>
  <w:num w:numId="8">
    <w:abstractNumId w:val="10"/>
  </w:num>
  <w:num w:numId="9">
    <w:abstractNumId w:val="13"/>
  </w:num>
  <w:num w:numId="10">
    <w:abstractNumId w:val="7"/>
  </w:num>
  <w:num w:numId="11">
    <w:abstractNumId w:val="4"/>
  </w:num>
  <w:num w:numId="12">
    <w:abstractNumId w:val="0"/>
  </w:num>
  <w:num w:numId="13">
    <w:abstractNumId w:val="5"/>
  </w:num>
  <w:num w:numId="14">
    <w:abstractNumId w:val="14"/>
  </w:num>
  <w:num w:numId="15">
    <w:abstractNumId w:val="9"/>
  </w:num>
  <w:num w:numId="16">
    <w:abstractNumId w:val="1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07DF1"/>
    <w:rsid w:val="00022E7A"/>
    <w:rsid w:val="0002794B"/>
    <w:rsid w:val="00030B86"/>
    <w:rsid w:val="0005688A"/>
    <w:rsid w:val="000575DA"/>
    <w:rsid w:val="00061235"/>
    <w:rsid w:val="000718CE"/>
    <w:rsid w:val="00074BA3"/>
    <w:rsid w:val="00077CCB"/>
    <w:rsid w:val="00085AA4"/>
    <w:rsid w:val="000871E7"/>
    <w:rsid w:val="00094B7F"/>
    <w:rsid w:val="00094D7E"/>
    <w:rsid w:val="00095958"/>
    <w:rsid w:val="000A139A"/>
    <w:rsid w:val="000B2686"/>
    <w:rsid w:val="000B4C89"/>
    <w:rsid w:val="000D2680"/>
    <w:rsid w:val="000E09FF"/>
    <w:rsid w:val="000E1AF4"/>
    <w:rsid w:val="000E46F3"/>
    <w:rsid w:val="000E5093"/>
    <w:rsid w:val="000E6197"/>
    <w:rsid w:val="0010001E"/>
    <w:rsid w:val="00101DED"/>
    <w:rsid w:val="00111B2B"/>
    <w:rsid w:val="00115336"/>
    <w:rsid w:val="001262F3"/>
    <w:rsid w:val="00127DAF"/>
    <w:rsid w:val="00127ED4"/>
    <w:rsid w:val="00130B92"/>
    <w:rsid w:val="001439DD"/>
    <w:rsid w:val="001475A9"/>
    <w:rsid w:val="00150D2E"/>
    <w:rsid w:val="00156EA5"/>
    <w:rsid w:val="00167755"/>
    <w:rsid w:val="00176C25"/>
    <w:rsid w:val="00182CF3"/>
    <w:rsid w:val="00194850"/>
    <w:rsid w:val="001965ED"/>
    <w:rsid w:val="001A1975"/>
    <w:rsid w:val="001C0BF2"/>
    <w:rsid w:val="001C3A06"/>
    <w:rsid w:val="001C7AAC"/>
    <w:rsid w:val="001D0582"/>
    <w:rsid w:val="001D1337"/>
    <w:rsid w:val="001D54FF"/>
    <w:rsid w:val="001E3BD2"/>
    <w:rsid w:val="001F0061"/>
    <w:rsid w:val="00200B68"/>
    <w:rsid w:val="002147E0"/>
    <w:rsid w:val="002171B0"/>
    <w:rsid w:val="00222A5F"/>
    <w:rsid w:val="00240ACA"/>
    <w:rsid w:val="00243F4C"/>
    <w:rsid w:val="002479D5"/>
    <w:rsid w:val="0026205B"/>
    <w:rsid w:val="00262705"/>
    <w:rsid w:val="00267BEB"/>
    <w:rsid w:val="00267C42"/>
    <w:rsid w:val="002718DD"/>
    <w:rsid w:val="00271F22"/>
    <w:rsid w:val="00274D25"/>
    <w:rsid w:val="0027714F"/>
    <w:rsid w:val="00293C7B"/>
    <w:rsid w:val="00297E1C"/>
    <w:rsid w:val="002A6E7D"/>
    <w:rsid w:val="002B184E"/>
    <w:rsid w:val="002B7C40"/>
    <w:rsid w:val="002C4971"/>
    <w:rsid w:val="002C521E"/>
    <w:rsid w:val="002D0116"/>
    <w:rsid w:val="002E1DBC"/>
    <w:rsid w:val="002E2A04"/>
    <w:rsid w:val="002F5ABE"/>
    <w:rsid w:val="003016B3"/>
    <w:rsid w:val="0030692E"/>
    <w:rsid w:val="00315A95"/>
    <w:rsid w:val="0033294D"/>
    <w:rsid w:val="003352B8"/>
    <w:rsid w:val="00341299"/>
    <w:rsid w:val="00341EA6"/>
    <w:rsid w:val="00362A5E"/>
    <w:rsid w:val="00365150"/>
    <w:rsid w:val="00366D02"/>
    <w:rsid w:val="0037203C"/>
    <w:rsid w:val="00375457"/>
    <w:rsid w:val="003763CD"/>
    <w:rsid w:val="003771C3"/>
    <w:rsid w:val="003805C2"/>
    <w:rsid w:val="0038370A"/>
    <w:rsid w:val="003839CF"/>
    <w:rsid w:val="003900EE"/>
    <w:rsid w:val="00391561"/>
    <w:rsid w:val="0039728D"/>
    <w:rsid w:val="003A12E5"/>
    <w:rsid w:val="003C7C89"/>
    <w:rsid w:val="003E1FB0"/>
    <w:rsid w:val="003E3946"/>
    <w:rsid w:val="003E6D4B"/>
    <w:rsid w:val="003F19AE"/>
    <w:rsid w:val="003F5CB0"/>
    <w:rsid w:val="003F7D71"/>
    <w:rsid w:val="00414345"/>
    <w:rsid w:val="00417809"/>
    <w:rsid w:val="00420965"/>
    <w:rsid w:val="004241B5"/>
    <w:rsid w:val="00426472"/>
    <w:rsid w:val="00432746"/>
    <w:rsid w:val="004409D4"/>
    <w:rsid w:val="0044178D"/>
    <w:rsid w:val="00443F82"/>
    <w:rsid w:val="0044468F"/>
    <w:rsid w:val="00454E00"/>
    <w:rsid w:val="00486834"/>
    <w:rsid w:val="004951B9"/>
    <w:rsid w:val="00495785"/>
    <w:rsid w:val="004A500E"/>
    <w:rsid w:val="004B36B2"/>
    <w:rsid w:val="004B501A"/>
    <w:rsid w:val="004C57A0"/>
    <w:rsid w:val="004D1D2D"/>
    <w:rsid w:val="004D2EC3"/>
    <w:rsid w:val="004F3A69"/>
    <w:rsid w:val="00507EA7"/>
    <w:rsid w:val="00540DE2"/>
    <w:rsid w:val="00557253"/>
    <w:rsid w:val="0057197C"/>
    <w:rsid w:val="005755F2"/>
    <w:rsid w:val="00583C1A"/>
    <w:rsid w:val="005957F0"/>
    <w:rsid w:val="00596291"/>
    <w:rsid w:val="005A7FF7"/>
    <w:rsid w:val="005B4E78"/>
    <w:rsid w:val="005C2EBA"/>
    <w:rsid w:val="005C39F5"/>
    <w:rsid w:val="005C7741"/>
    <w:rsid w:val="005D1AB8"/>
    <w:rsid w:val="005D279F"/>
    <w:rsid w:val="005D31FF"/>
    <w:rsid w:val="005D68EF"/>
    <w:rsid w:val="005E0F59"/>
    <w:rsid w:val="00620AC9"/>
    <w:rsid w:val="00637CB2"/>
    <w:rsid w:val="00640FCB"/>
    <w:rsid w:val="00647CA0"/>
    <w:rsid w:val="00663A8B"/>
    <w:rsid w:val="00676FD2"/>
    <w:rsid w:val="00681AFC"/>
    <w:rsid w:val="006835C0"/>
    <w:rsid w:val="00685176"/>
    <w:rsid w:val="00685510"/>
    <w:rsid w:val="006969C5"/>
    <w:rsid w:val="0069739D"/>
    <w:rsid w:val="006A0F46"/>
    <w:rsid w:val="006B0BF9"/>
    <w:rsid w:val="006B4E6F"/>
    <w:rsid w:val="006C2977"/>
    <w:rsid w:val="006C353E"/>
    <w:rsid w:val="006C76F0"/>
    <w:rsid w:val="006D52CE"/>
    <w:rsid w:val="006E5120"/>
    <w:rsid w:val="006F3586"/>
    <w:rsid w:val="006F73A7"/>
    <w:rsid w:val="006F7820"/>
    <w:rsid w:val="00702D6B"/>
    <w:rsid w:val="00707E57"/>
    <w:rsid w:val="0071574E"/>
    <w:rsid w:val="007253F4"/>
    <w:rsid w:val="00730D8F"/>
    <w:rsid w:val="00735129"/>
    <w:rsid w:val="00745BAC"/>
    <w:rsid w:val="007547C5"/>
    <w:rsid w:val="0075537B"/>
    <w:rsid w:val="0076489E"/>
    <w:rsid w:val="007652BA"/>
    <w:rsid w:val="00790C1F"/>
    <w:rsid w:val="00791545"/>
    <w:rsid w:val="0079363C"/>
    <w:rsid w:val="007A5862"/>
    <w:rsid w:val="007C78F2"/>
    <w:rsid w:val="007C7E2A"/>
    <w:rsid w:val="007D358C"/>
    <w:rsid w:val="007D3984"/>
    <w:rsid w:val="007F0729"/>
    <w:rsid w:val="00805F77"/>
    <w:rsid w:val="00813C87"/>
    <w:rsid w:val="0082091E"/>
    <w:rsid w:val="008319F8"/>
    <w:rsid w:val="0083657E"/>
    <w:rsid w:val="00843F80"/>
    <w:rsid w:val="00851586"/>
    <w:rsid w:val="00863010"/>
    <w:rsid w:val="008634D4"/>
    <w:rsid w:val="008719B0"/>
    <w:rsid w:val="008725B1"/>
    <w:rsid w:val="0087426F"/>
    <w:rsid w:val="00882841"/>
    <w:rsid w:val="0088348D"/>
    <w:rsid w:val="008B1CA5"/>
    <w:rsid w:val="008B438C"/>
    <w:rsid w:val="008D7F6E"/>
    <w:rsid w:val="008E7E63"/>
    <w:rsid w:val="008F2C58"/>
    <w:rsid w:val="008F693D"/>
    <w:rsid w:val="008F7807"/>
    <w:rsid w:val="00900A88"/>
    <w:rsid w:val="00905451"/>
    <w:rsid w:val="009060F9"/>
    <w:rsid w:val="00911690"/>
    <w:rsid w:val="00926174"/>
    <w:rsid w:val="00932B5D"/>
    <w:rsid w:val="00933209"/>
    <w:rsid w:val="00940033"/>
    <w:rsid w:val="00947571"/>
    <w:rsid w:val="00951585"/>
    <w:rsid w:val="00976329"/>
    <w:rsid w:val="009830C0"/>
    <w:rsid w:val="0098492A"/>
    <w:rsid w:val="00985443"/>
    <w:rsid w:val="00996D1A"/>
    <w:rsid w:val="009A1443"/>
    <w:rsid w:val="009A59AF"/>
    <w:rsid w:val="009A7BEE"/>
    <w:rsid w:val="009B30E4"/>
    <w:rsid w:val="009B671E"/>
    <w:rsid w:val="009C0E21"/>
    <w:rsid w:val="009C155C"/>
    <w:rsid w:val="009C1E8F"/>
    <w:rsid w:val="009D06FB"/>
    <w:rsid w:val="009E3045"/>
    <w:rsid w:val="009E4490"/>
    <w:rsid w:val="009E732B"/>
    <w:rsid w:val="009F6A91"/>
    <w:rsid w:val="00A0569E"/>
    <w:rsid w:val="00A20A77"/>
    <w:rsid w:val="00A23580"/>
    <w:rsid w:val="00A2502B"/>
    <w:rsid w:val="00A41B69"/>
    <w:rsid w:val="00A61C7E"/>
    <w:rsid w:val="00A74FDB"/>
    <w:rsid w:val="00A774F5"/>
    <w:rsid w:val="00A91826"/>
    <w:rsid w:val="00A93502"/>
    <w:rsid w:val="00AA098E"/>
    <w:rsid w:val="00AA336E"/>
    <w:rsid w:val="00AA7D59"/>
    <w:rsid w:val="00AB0CAA"/>
    <w:rsid w:val="00AB45E0"/>
    <w:rsid w:val="00AC1941"/>
    <w:rsid w:val="00AC4B44"/>
    <w:rsid w:val="00AC5535"/>
    <w:rsid w:val="00AD242F"/>
    <w:rsid w:val="00AD4D11"/>
    <w:rsid w:val="00AD6E36"/>
    <w:rsid w:val="00AE4DBC"/>
    <w:rsid w:val="00AF0BF5"/>
    <w:rsid w:val="00AF7A24"/>
    <w:rsid w:val="00B1036F"/>
    <w:rsid w:val="00B14B4D"/>
    <w:rsid w:val="00B16251"/>
    <w:rsid w:val="00B21C00"/>
    <w:rsid w:val="00B469BF"/>
    <w:rsid w:val="00B53735"/>
    <w:rsid w:val="00B550C2"/>
    <w:rsid w:val="00B60719"/>
    <w:rsid w:val="00B613D2"/>
    <w:rsid w:val="00B666CB"/>
    <w:rsid w:val="00B71004"/>
    <w:rsid w:val="00B77576"/>
    <w:rsid w:val="00B8529C"/>
    <w:rsid w:val="00B86E64"/>
    <w:rsid w:val="00B9511D"/>
    <w:rsid w:val="00BA27D3"/>
    <w:rsid w:val="00BA4C5F"/>
    <w:rsid w:val="00BA7C27"/>
    <w:rsid w:val="00BB1307"/>
    <w:rsid w:val="00BB2A96"/>
    <w:rsid w:val="00BB2AAD"/>
    <w:rsid w:val="00BC2B6E"/>
    <w:rsid w:val="00BC7803"/>
    <w:rsid w:val="00BE5D7D"/>
    <w:rsid w:val="00BF07DA"/>
    <w:rsid w:val="00BF31E9"/>
    <w:rsid w:val="00BF76C5"/>
    <w:rsid w:val="00C127AE"/>
    <w:rsid w:val="00C14626"/>
    <w:rsid w:val="00C147E5"/>
    <w:rsid w:val="00C14A6C"/>
    <w:rsid w:val="00C263CF"/>
    <w:rsid w:val="00C3309B"/>
    <w:rsid w:val="00C61842"/>
    <w:rsid w:val="00C70D27"/>
    <w:rsid w:val="00C8137B"/>
    <w:rsid w:val="00C836EB"/>
    <w:rsid w:val="00C83FFB"/>
    <w:rsid w:val="00C86D65"/>
    <w:rsid w:val="00CA27E0"/>
    <w:rsid w:val="00CB2B0F"/>
    <w:rsid w:val="00CB371F"/>
    <w:rsid w:val="00CC28C9"/>
    <w:rsid w:val="00CC5D2C"/>
    <w:rsid w:val="00CD3142"/>
    <w:rsid w:val="00CE0030"/>
    <w:rsid w:val="00CF109C"/>
    <w:rsid w:val="00D131A0"/>
    <w:rsid w:val="00D23A52"/>
    <w:rsid w:val="00D3313F"/>
    <w:rsid w:val="00D37C09"/>
    <w:rsid w:val="00D55D11"/>
    <w:rsid w:val="00D55EE3"/>
    <w:rsid w:val="00D6704C"/>
    <w:rsid w:val="00D75B11"/>
    <w:rsid w:val="00D8088B"/>
    <w:rsid w:val="00D92BA3"/>
    <w:rsid w:val="00D942B4"/>
    <w:rsid w:val="00DA472E"/>
    <w:rsid w:val="00DB38AF"/>
    <w:rsid w:val="00DB7928"/>
    <w:rsid w:val="00DC3C82"/>
    <w:rsid w:val="00DC3FBE"/>
    <w:rsid w:val="00DC4624"/>
    <w:rsid w:val="00DC5AC6"/>
    <w:rsid w:val="00DD4461"/>
    <w:rsid w:val="00DD591D"/>
    <w:rsid w:val="00DF2FAC"/>
    <w:rsid w:val="00DF3302"/>
    <w:rsid w:val="00DF3888"/>
    <w:rsid w:val="00DF74F2"/>
    <w:rsid w:val="00E01461"/>
    <w:rsid w:val="00E12356"/>
    <w:rsid w:val="00E128D7"/>
    <w:rsid w:val="00E42640"/>
    <w:rsid w:val="00E4409D"/>
    <w:rsid w:val="00E45720"/>
    <w:rsid w:val="00E546E6"/>
    <w:rsid w:val="00E547C9"/>
    <w:rsid w:val="00E65DCC"/>
    <w:rsid w:val="00E71FF5"/>
    <w:rsid w:val="00E723BB"/>
    <w:rsid w:val="00E763C8"/>
    <w:rsid w:val="00E80552"/>
    <w:rsid w:val="00E805A7"/>
    <w:rsid w:val="00E87D2F"/>
    <w:rsid w:val="00E9001C"/>
    <w:rsid w:val="00E945E0"/>
    <w:rsid w:val="00E97198"/>
    <w:rsid w:val="00E97F02"/>
    <w:rsid w:val="00EB1CF0"/>
    <w:rsid w:val="00EC630B"/>
    <w:rsid w:val="00EC76B3"/>
    <w:rsid w:val="00ED7102"/>
    <w:rsid w:val="00EE0E30"/>
    <w:rsid w:val="00EE13BA"/>
    <w:rsid w:val="00EE5454"/>
    <w:rsid w:val="00EF6A2E"/>
    <w:rsid w:val="00F04DB4"/>
    <w:rsid w:val="00F4695A"/>
    <w:rsid w:val="00F47DC4"/>
    <w:rsid w:val="00F513B0"/>
    <w:rsid w:val="00F57B47"/>
    <w:rsid w:val="00F6297A"/>
    <w:rsid w:val="00F71CB7"/>
    <w:rsid w:val="00F85B9E"/>
    <w:rsid w:val="00FB113B"/>
    <w:rsid w:val="00FB39EE"/>
    <w:rsid w:val="00FB47D9"/>
    <w:rsid w:val="00FC77C1"/>
    <w:rsid w:val="00FD0151"/>
    <w:rsid w:val="00FD5B84"/>
    <w:rsid w:val="00FD7444"/>
    <w:rsid w:val="00FE0566"/>
    <w:rsid w:val="00FE4392"/>
    <w:rsid w:val="00FE7CE2"/>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3F6D08"/>
  <w15:docId w15:val="{1C090616-4C15-40C4-9EF9-8AD872D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khg-aw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8D3F-C1BB-4D70-B29A-E76CCFE8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70C34851.dotm</Template>
  <TotalTime>204</TotalTime>
  <Pages>7</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9</cp:revision>
  <dcterms:created xsi:type="dcterms:W3CDTF">2018-05-01T10:26:00Z</dcterms:created>
  <dcterms:modified xsi:type="dcterms:W3CDTF">2018-05-17T16:09:00Z</dcterms:modified>
</cp:coreProperties>
</file>