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CC5D2C">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p>
    <w:tbl>
      <w:tblPr>
        <w:tblStyle w:val="TableGrid"/>
        <w:tblW w:w="16018" w:type="dxa"/>
        <w:tblInd w:w="-1026" w:type="dxa"/>
        <w:tblLayout w:type="fixed"/>
        <w:tblLook w:val="04A0" w:firstRow="1" w:lastRow="0" w:firstColumn="1" w:lastColumn="0" w:noHBand="0" w:noVBand="1"/>
      </w:tblPr>
      <w:tblGrid>
        <w:gridCol w:w="992"/>
        <w:gridCol w:w="1135"/>
        <w:gridCol w:w="7938"/>
        <w:gridCol w:w="4252"/>
        <w:gridCol w:w="851"/>
        <w:gridCol w:w="850"/>
      </w:tblGrid>
      <w:tr w:rsidR="008319F8" w:rsidRPr="00E93871" w:rsidTr="00003D78">
        <w:tc>
          <w:tcPr>
            <w:tcW w:w="16018" w:type="dxa"/>
            <w:gridSpan w:val="6"/>
            <w:shd w:val="clear" w:color="auto" w:fill="0070C0"/>
          </w:tcPr>
          <w:p w:rsidR="00B64176" w:rsidRDefault="0081451A" w:rsidP="003805C2">
            <w:pPr>
              <w:jc w:val="center"/>
              <w:rPr>
                <w:rFonts w:cstheme="minorHAnsi"/>
                <w:b/>
                <w:color w:val="FFFFFF" w:themeColor="background1"/>
              </w:rPr>
            </w:pPr>
            <w:r>
              <w:rPr>
                <w:rFonts w:cstheme="minorHAnsi"/>
                <w:b/>
                <w:color w:val="FFFFFF" w:themeColor="background1"/>
              </w:rPr>
              <w:t>3</w:t>
            </w:r>
            <w:r w:rsidRPr="0081451A">
              <w:rPr>
                <w:rFonts w:cstheme="minorHAnsi"/>
                <w:b/>
                <w:color w:val="FFFFFF" w:themeColor="background1"/>
                <w:vertAlign w:val="superscript"/>
              </w:rPr>
              <w:t>rd</w:t>
            </w:r>
            <w:r>
              <w:rPr>
                <w:rFonts w:cstheme="minorHAnsi"/>
                <w:b/>
                <w:color w:val="FFFFFF" w:themeColor="background1"/>
              </w:rPr>
              <w:t xml:space="preserve"> September</w:t>
            </w:r>
            <w:r w:rsidR="00B64176">
              <w:rPr>
                <w:rFonts w:cstheme="minorHAnsi"/>
                <w:b/>
                <w:color w:val="FFFFFF" w:themeColor="background1"/>
              </w:rPr>
              <w:t xml:space="preserve"> – TMBC, Gibson Building, Kings Hill, West Malling Kent</w:t>
            </w:r>
          </w:p>
          <w:p w:rsidR="0083090E" w:rsidRDefault="0083090E" w:rsidP="003805C2">
            <w:pPr>
              <w:jc w:val="center"/>
              <w:rPr>
                <w:rFonts w:cstheme="minorHAnsi"/>
                <w:b/>
                <w:color w:val="FFFFFF" w:themeColor="background1"/>
              </w:rPr>
            </w:pPr>
          </w:p>
          <w:p w:rsidR="008319F8" w:rsidRDefault="008319F8" w:rsidP="00B64176">
            <w:pPr>
              <w:rPr>
                <w:rFonts w:cstheme="minorHAnsi"/>
                <w:b/>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1451A">
              <w:rPr>
                <w:rFonts w:cstheme="minorHAnsi"/>
                <w:b/>
                <w:color w:val="FFFFFF" w:themeColor="background1"/>
              </w:rPr>
              <w:t>Marion Money, NLA &amp; Vice Chair; Janice Greenwood, TWBC; Jane Miller, KCC; Samantha Simmons, KCC; Hazel Skinner, TMBC; Linda Hibbs, TMBC; Dipna Pattni, Gravesham BC; Steve Fox, Gravesend Churches HA; Tim Lovell, Canterbury City Council;</w:t>
            </w:r>
            <w:r w:rsidR="003A092E">
              <w:rPr>
                <w:rFonts w:cstheme="minorHAnsi"/>
                <w:b/>
                <w:color w:val="FFFFFF" w:themeColor="background1"/>
              </w:rPr>
              <w:t xml:space="preserve"> Richard Stanford-Beale, KF&amp;RS; Peter Littlewood, </w:t>
            </w:r>
            <w:proofErr w:type="spellStart"/>
            <w:r w:rsidR="003A092E">
              <w:rPr>
                <w:rFonts w:cstheme="minorHAnsi"/>
                <w:b/>
                <w:color w:val="FFFFFF" w:themeColor="background1"/>
              </w:rPr>
              <w:t>iH</w:t>
            </w:r>
            <w:r w:rsidR="00E95894">
              <w:rPr>
                <w:rFonts w:cstheme="minorHAnsi"/>
                <w:b/>
                <w:color w:val="FFFFFF" w:themeColor="background1"/>
              </w:rPr>
              <w:t>OWZ</w:t>
            </w:r>
            <w:proofErr w:type="spellEnd"/>
            <w:r w:rsidR="0081451A">
              <w:rPr>
                <w:rFonts w:cstheme="minorHAnsi"/>
                <w:b/>
                <w:color w:val="FFFFFF" w:themeColor="background1"/>
              </w:rPr>
              <w:t>; Maureen Laney, Gravesham BC;</w:t>
            </w:r>
            <w:r w:rsidR="003461C6">
              <w:rPr>
                <w:rFonts w:cstheme="minorHAnsi"/>
                <w:b/>
                <w:color w:val="FFFFFF" w:themeColor="background1"/>
              </w:rPr>
              <w:t xml:space="preserve"> Karen Leslie, Peabody;</w:t>
            </w:r>
            <w:r w:rsidR="00F937AB">
              <w:rPr>
                <w:rFonts w:cstheme="minorHAnsi"/>
                <w:b/>
                <w:color w:val="FFFFFF" w:themeColor="background1"/>
              </w:rPr>
              <w:t xml:space="preserve"> Glyn Pritchard, Swale BC;</w:t>
            </w:r>
            <w:r w:rsidR="00D642D4">
              <w:rPr>
                <w:rFonts w:cstheme="minorHAnsi"/>
                <w:b/>
                <w:color w:val="FFFFFF" w:themeColor="background1"/>
              </w:rPr>
              <w:t xml:space="preserve"> Robin Kennedy; Dover DC</w:t>
            </w:r>
            <w:r w:rsidR="008F1C8E">
              <w:rPr>
                <w:rFonts w:cstheme="minorHAnsi"/>
                <w:b/>
                <w:color w:val="FFFFFF" w:themeColor="background1"/>
              </w:rPr>
              <w:t xml:space="preserve">; Nigel Bucklow, Maidstone BC; Richard Hopkins, Thanet DC; </w:t>
            </w:r>
          </w:p>
          <w:p w:rsidR="00B64176" w:rsidRDefault="00B64176" w:rsidP="003805C2">
            <w:pPr>
              <w:jc w:val="center"/>
              <w:rPr>
                <w:rFonts w:cstheme="minorHAnsi"/>
                <w:b/>
                <w:color w:val="FFFFFF" w:themeColor="background1"/>
              </w:rPr>
            </w:pPr>
          </w:p>
          <w:p w:rsidR="003805C2" w:rsidRDefault="00B64176" w:rsidP="0081451A">
            <w:pPr>
              <w:rPr>
                <w:rFonts w:cstheme="minorHAnsi"/>
                <w:b/>
                <w:color w:val="FFFFFF" w:themeColor="background1"/>
              </w:rPr>
            </w:pPr>
            <w:r>
              <w:rPr>
                <w:rFonts w:cstheme="minorHAnsi"/>
                <w:b/>
                <w:color w:val="FFFFFF" w:themeColor="background1"/>
              </w:rPr>
              <w:t xml:space="preserve">Apologies: </w:t>
            </w:r>
            <w:r w:rsidR="00530946" w:rsidRPr="00530946">
              <w:rPr>
                <w:rFonts w:cstheme="minorHAnsi"/>
                <w:b/>
                <w:color w:val="FFFFFF" w:themeColor="background1"/>
              </w:rPr>
              <w:t>Amanda Martin, Dover DC</w:t>
            </w:r>
            <w:r w:rsidR="00530946">
              <w:rPr>
                <w:rFonts w:cstheme="minorHAnsi"/>
                <w:b/>
                <w:color w:val="FFFFFF" w:themeColor="background1"/>
              </w:rPr>
              <w:t xml:space="preserve">; Brian Horton, SELEP; </w:t>
            </w:r>
            <w:r w:rsidR="0081451A">
              <w:rPr>
                <w:rFonts w:cstheme="minorHAnsi"/>
                <w:b/>
                <w:color w:val="FFFFFF" w:themeColor="background1"/>
              </w:rPr>
              <w:t>Kerry Petts, Folkestone &amp; Hythe DC</w:t>
            </w:r>
            <w:r w:rsidR="00DE6042">
              <w:rPr>
                <w:rFonts w:cstheme="minorHAnsi"/>
                <w:b/>
                <w:color w:val="FFFFFF" w:themeColor="background1"/>
              </w:rPr>
              <w:t>; Rachel Evans, Dartford BC</w:t>
            </w:r>
            <w:bookmarkStart w:id="0" w:name="_GoBack"/>
            <w:bookmarkEnd w:id="0"/>
          </w:p>
          <w:p w:rsidR="0081451A" w:rsidRDefault="0081451A" w:rsidP="0081451A">
            <w:pPr>
              <w:rPr>
                <w:rFonts w:cstheme="minorHAnsi"/>
                <w:b/>
                <w:color w:val="FFFFFF" w:themeColor="background1"/>
              </w:rPr>
            </w:pPr>
          </w:p>
          <w:p w:rsidR="0081451A" w:rsidRDefault="0081451A" w:rsidP="0081451A">
            <w:pPr>
              <w:rPr>
                <w:rFonts w:cstheme="minorHAnsi"/>
                <w:b/>
                <w:color w:val="FFFFFF" w:themeColor="background1"/>
              </w:rPr>
            </w:pPr>
            <w:r>
              <w:rPr>
                <w:rFonts w:cstheme="minorHAnsi"/>
                <w:b/>
                <w:color w:val="FFFFFF" w:themeColor="background1"/>
              </w:rPr>
              <w:t>Visitor: David Votta, ARLA</w:t>
            </w:r>
          </w:p>
          <w:p w:rsidR="0081451A" w:rsidRPr="008F7807" w:rsidRDefault="0081451A" w:rsidP="0081451A">
            <w:pPr>
              <w:rPr>
                <w:rFonts w:cstheme="minorHAnsi"/>
                <w:b/>
                <w:color w:val="FFFFFF" w:themeColor="background1"/>
              </w:rPr>
            </w:pPr>
          </w:p>
        </w:tc>
      </w:tr>
      <w:tr w:rsidR="00003D78" w:rsidRPr="00EE3A3D" w:rsidTr="00003D78">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35"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7938" w:type="dxa"/>
            <w:shd w:val="clear" w:color="auto" w:fill="DBE5F1" w:themeFill="accent1" w:themeFillTint="33"/>
          </w:tcPr>
          <w:p w:rsidR="00B64176" w:rsidRPr="00EE3A3D" w:rsidRDefault="00B64176" w:rsidP="000C6CBB">
            <w:pPr>
              <w:jc w:val="center"/>
              <w:rPr>
                <w:b/>
              </w:rPr>
            </w:pPr>
            <w:r>
              <w:rPr>
                <w:b/>
              </w:rPr>
              <w:t>Notes</w:t>
            </w:r>
          </w:p>
        </w:tc>
        <w:tc>
          <w:tcPr>
            <w:tcW w:w="4252"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003D78" w:rsidRPr="004241B5" w:rsidTr="00003D78">
        <w:tc>
          <w:tcPr>
            <w:tcW w:w="992" w:type="dxa"/>
          </w:tcPr>
          <w:p w:rsidR="00B64176" w:rsidRPr="00B64176" w:rsidRDefault="0081451A" w:rsidP="000C6CBB">
            <w:r>
              <w:t>3</w:t>
            </w:r>
            <w:r w:rsidRPr="0081451A">
              <w:rPr>
                <w:vertAlign w:val="superscript"/>
              </w:rPr>
              <w:t>rd</w:t>
            </w:r>
            <w:r>
              <w:t xml:space="preserve"> Sept 2018</w:t>
            </w:r>
          </w:p>
        </w:tc>
        <w:tc>
          <w:tcPr>
            <w:tcW w:w="1135" w:type="dxa"/>
            <w:shd w:val="clear" w:color="auto" w:fill="auto"/>
          </w:tcPr>
          <w:p w:rsidR="00B64176" w:rsidRPr="00B64176" w:rsidRDefault="00B64176" w:rsidP="000C6CBB">
            <w:r w:rsidRPr="00B64176">
              <w:t>Minutes &amp; Matters Arising</w:t>
            </w:r>
          </w:p>
        </w:tc>
        <w:tc>
          <w:tcPr>
            <w:tcW w:w="7938" w:type="dxa"/>
            <w:shd w:val="clear" w:color="auto" w:fill="auto"/>
          </w:tcPr>
          <w:p w:rsidR="00B14684" w:rsidRDefault="0081451A" w:rsidP="00B14684">
            <w:pPr>
              <w:jc w:val="both"/>
            </w:pPr>
            <w:r>
              <w:t>Minutes agreed as accurate, matters arising include:</w:t>
            </w:r>
          </w:p>
          <w:p w:rsidR="0081451A" w:rsidRDefault="0081451A" w:rsidP="00B14684">
            <w:pPr>
              <w:jc w:val="both"/>
            </w:pPr>
          </w:p>
          <w:p w:rsidR="0081451A" w:rsidRDefault="0081451A" w:rsidP="00B14684">
            <w:pPr>
              <w:jc w:val="both"/>
            </w:pPr>
            <w:r>
              <w:t>Page 1 – RK to share the information regarding legal advice and consent for flat conversions.</w:t>
            </w:r>
          </w:p>
          <w:p w:rsidR="0081451A" w:rsidRDefault="0081451A" w:rsidP="00B14684">
            <w:pPr>
              <w:jc w:val="both"/>
            </w:pPr>
          </w:p>
          <w:p w:rsidR="0081451A" w:rsidRDefault="003461C6" w:rsidP="00B14684">
            <w:pPr>
              <w:jc w:val="both"/>
            </w:pPr>
            <w:r>
              <w:t>Page 2 – still a query about the exemptions register.</w:t>
            </w:r>
          </w:p>
          <w:p w:rsidR="003461C6" w:rsidRDefault="003461C6" w:rsidP="00B14684">
            <w:pPr>
              <w:jc w:val="both"/>
            </w:pPr>
          </w:p>
          <w:p w:rsidR="003461C6" w:rsidRDefault="003461C6" w:rsidP="00B14684">
            <w:pPr>
              <w:jc w:val="both"/>
            </w:pPr>
            <w:r>
              <w:t>Press release example shared by LH, it is now for individual LA’s to share with their individual communications teams for use.  This could be shared with a landlord list too, if GDPR is covered appropriately.</w:t>
            </w:r>
          </w:p>
          <w:p w:rsidR="003461C6" w:rsidRDefault="003461C6" w:rsidP="00B14684">
            <w:pPr>
              <w:jc w:val="both"/>
            </w:pPr>
          </w:p>
          <w:p w:rsidR="003461C6" w:rsidRDefault="003461C6" w:rsidP="00D642D4">
            <w:pPr>
              <w:jc w:val="both"/>
            </w:pPr>
            <w:r>
              <w:t>SS to share a prompt to colleagues once more information about ECO 3 once available ahead of the release in October 2018.  It was agreed that the press release should not include text about low ratings and financial penalty for landlords.  MM commented that feedback on the leaflet is for tenants to ‘discuss’ carrying out energy efficiency improvements, it was agreed to also steer tenants to contact their LA’s PSH teams for more advice.</w:t>
            </w:r>
            <w:r w:rsidR="00F937AB">
              <w:t xml:space="preserve">  SS has suggested using mail chimp to share the leaflets for email distribution, this enables tracking the action and trail of emails shared by colleagues.</w:t>
            </w:r>
            <w:r w:rsidR="00D642D4">
              <w:t xml:space="preserve">  </w:t>
            </w:r>
          </w:p>
          <w:p w:rsidR="00E72115" w:rsidRDefault="00E72115" w:rsidP="00D642D4">
            <w:pPr>
              <w:jc w:val="both"/>
            </w:pPr>
          </w:p>
          <w:p w:rsidR="00E72115" w:rsidRDefault="008F1C8E" w:rsidP="00D642D4">
            <w:pPr>
              <w:jc w:val="both"/>
            </w:pPr>
            <w:r>
              <w:t>Page 3 – LH advised that TMBC are using information to match data and mail out to tenants regarding F&amp;G rated properties, LH to feedback progress as available.</w:t>
            </w:r>
          </w:p>
          <w:p w:rsidR="008F1C8E" w:rsidRDefault="008F1C8E" w:rsidP="00D642D4">
            <w:pPr>
              <w:jc w:val="both"/>
            </w:pPr>
            <w:r>
              <w:lastRenderedPageBreak/>
              <w:t>RSB advised that there has been some discussion and understanding about working relationships between KF&amp;RS and Local Authorities, to increase formal referrals.</w:t>
            </w:r>
          </w:p>
          <w:p w:rsidR="00DB598E" w:rsidRDefault="00DB598E" w:rsidP="00D642D4">
            <w:pPr>
              <w:jc w:val="both"/>
            </w:pPr>
          </w:p>
          <w:p w:rsidR="00DB598E" w:rsidRDefault="00DB598E" w:rsidP="00D642D4">
            <w:pPr>
              <w:jc w:val="both"/>
            </w:pPr>
            <w:r>
              <w:t>RBS advised that a first draft protocol for hoarding has been developed and shared with Adult Safeguarding Board for discussion, aim is to get this signed off for the end of this year, KP involved as Chairs the sub group for this work.</w:t>
            </w:r>
          </w:p>
          <w:p w:rsidR="00DB598E" w:rsidRPr="00B64176" w:rsidRDefault="00DB598E" w:rsidP="00D642D4">
            <w:pPr>
              <w:jc w:val="both"/>
            </w:pPr>
          </w:p>
        </w:tc>
        <w:tc>
          <w:tcPr>
            <w:tcW w:w="4252" w:type="dxa"/>
            <w:shd w:val="clear" w:color="auto" w:fill="auto"/>
          </w:tcPr>
          <w:p w:rsidR="00493424" w:rsidRDefault="00493424" w:rsidP="00B64176">
            <w:pPr>
              <w:rPr>
                <w:b/>
              </w:rPr>
            </w:pPr>
          </w:p>
          <w:p w:rsidR="0081451A" w:rsidRDefault="0081451A" w:rsidP="00B64176">
            <w:pPr>
              <w:rPr>
                <w:b/>
              </w:rPr>
            </w:pPr>
          </w:p>
          <w:p w:rsidR="0081451A" w:rsidRDefault="0081451A" w:rsidP="00B64176">
            <w:pPr>
              <w:rPr>
                <w:b/>
              </w:rPr>
            </w:pPr>
            <w:r>
              <w:rPr>
                <w:b/>
              </w:rPr>
              <w:t xml:space="preserve">RK to note and share </w:t>
            </w:r>
            <w:r w:rsidR="003461C6">
              <w:rPr>
                <w:b/>
              </w:rPr>
              <w:t>with colleagues</w:t>
            </w:r>
          </w:p>
          <w:p w:rsidR="003461C6" w:rsidRDefault="003461C6" w:rsidP="00B64176">
            <w:pPr>
              <w:rPr>
                <w:b/>
              </w:rPr>
            </w:pPr>
          </w:p>
          <w:p w:rsidR="003461C6" w:rsidRDefault="003461C6" w:rsidP="00B64176">
            <w:pPr>
              <w:rPr>
                <w:b/>
              </w:rPr>
            </w:pPr>
          </w:p>
          <w:p w:rsidR="003461C6" w:rsidRDefault="003461C6" w:rsidP="00B64176">
            <w:pPr>
              <w:rPr>
                <w:b/>
              </w:rPr>
            </w:pPr>
          </w:p>
          <w:p w:rsidR="003461C6" w:rsidRDefault="003461C6" w:rsidP="00B64176">
            <w:pPr>
              <w:rPr>
                <w:b/>
              </w:rPr>
            </w:pPr>
          </w:p>
          <w:p w:rsidR="003461C6" w:rsidRDefault="003461C6" w:rsidP="00B64176">
            <w:pPr>
              <w:rPr>
                <w:b/>
              </w:rPr>
            </w:pPr>
            <w:r>
              <w:rPr>
                <w:b/>
              </w:rPr>
              <w:t>LA’s to consider use of the press release shared by LH within their own organisations</w:t>
            </w:r>
          </w:p>
          <w:p w:rsidR="003461C6" w:rsidRDefault="003461C6" w:rsidP="00B64176">
            <w:pPr>
              <w:rPr>
                <w:b/>
              </w:rPr>
            </w:pPr>
          </w:p>
          <w:p w:rsidR="003461C6" w:rsidRDefault="003461C6" w:rsidP="00B64176">
            <w:pPr>
              <w:rPr>
                <w:b/>
              </w:rPr>
            </w:pPr>
          </w:p>
          <w:p w:rsidR="003461C6" w:rsidRDefault="00F937AB" w:rsidP="00B64176">
            <w:pPr>
              <w:rPr>
                <w:b/>
              </w:rPr>
            </w:pPr>
            <w:r>
              <w:rPr>
                <w:b/>
              </w:rPr>
              <w:t>Agreed to update leaflet and press release to encourage tenants to contact their LA</w:t>
            </w:r>
            <w:r w:rsidR="00E961EC">
              <w:rPr>
                <w:b/>
              </w:rPr>
              <w:t xml:space="preserve"> PSH team</w:t>
            </w:r>
            <w:r>
              <w:rPr>
                <w:b/>
              </w:rPr>
              <w:t xml:space="preserve"> for advice and support.  Colleagues to feedback any additional points on the documents. </w:t>
            </w:r>
            <w:r w:rsidR="00E72115">
              <w:rPr>
                <w:b/>
              </w:rPr>
              <w:t xml:space="preserve"> </w:t>
            </w:r>
            <w:r w:rsidR="008F1C8E">
              <w:rPr>
                <w:b/>
              </w:rPr>
              <w:t>SS to investigate/</w:t>
            </w:r>
            <w:r w:rsidR="00E72115">
              <w:rPr>
                <w:b/>
              </w:rPr>
              <w:t>consi</w:t>
            </w:r>
            <w:r w:rsidR="00C8153F">
              <w:rPr>
                <w:b/>
              </w:rPr>
              <w:t>der how to use via social med</w:t>
            </w:r>
            <w:r w:rsidR="008F1C8E">
              <w:rPr>
                <w:b/>
              </w:rPr>
              <w:t>ia via Trading Standards at KCC.</w:t>
            </w:r>
          </w:p>
          <w:p w:rsidR="00D642D4" w:rsidRDefault="00D642D4" w:rsidP="00B64176">
            <w:pPr>
              <w:rPr>
                <w:b/>
              </w:rPr>
            </w:pPr>
          </w:p>
          <w:p w:rsidR="00D642D4" w:rsidRPr="00B64176" w:rsidRDefault="00D642D4" w:rsidP="00E72115">
            <w:pPr>
              <w:rPr>
                <w:b/>
              </w:rPr>
            </w:pPr>
            <w:r>
              <w:rPr>
                <w:b/>
              </w:rPr>
              <w:lastRenderedPageBreak/>
              <w:t xml:space="preserve">RS to share the KHG logo to SS to put on the leaflet, SS to add EPC rainbow image to leaflet.  </w:t>
            </w:r>
          </w:p>
        </w:tc>
        <w:tc>
          <w:tcPr>
            <w:tcW w:w="851" w:type="dxa"/>
            <w:shd w:val="clear" w:color="auto" w:fill="auto"/>
          </w:tcPr>
          <w:p w:rsidR="0083090E" w:rsidRDefault="0083090E" w:rsidP="0083090E">
            <w:pPr>
              <w:rPr>
                <w:b/>
              </w:rPr>
            </w:pPr>
          </w:p>
          <w:p w:rsidR="003461C6" w:rsidRDefault="003461C6" w:rsidP="0083090E">
            <w:pPr>
              <w:rPr>
                <w:b/>
              </w:rPr>
            </w:pPr>
          </w:p>
          <w:p w:rsidR="003461C6" w:rsidRDefault="003461C6" w:rsidP="0083090E">
            <w:pPr>
              <w:rPr>
                <w:b/>
              </w:rPr>
            </w:pPr>
            <w:r>
              <w:rPr>
                <w:b/>
              </w:rPr>
              <w:t>ASAP</w:t>
            </w:r>
          </w:p>
          <w:p w:rsidR="003461C6" w:rsidRDefault="003461C6" w:rsidP="0083090E">
            <w:pPr>
              <w:rPr>
                <w:b/>
              </w:rPr>
            </w:pPr>
          </w:p>
          <w:p w:rsidR="003461C6" w:rsidRDefault="003461C6" w:rsidP="0083090E">
            <w:pPr>
              <w:rPr>
                <w:b/>
              </w:rPr>
            </w:pPr>
          </w:p>
          <w:p w:rsidR="003461C6" w:rsidRDefault="003461C6" w:rsidP="0083090E">
            <w:pPr>
              <w:rPr>
                <w:b/>
              </w:rPr>
            </w:pPr>
          </w:p>
          <w:p w:rsidR="003461C6" w:rsidRDefault="003461C6" w:rsidP="0083090E">
            <w:pPr>
              <w:rPr>
                <w:b/>
              </w:rPr>
            </w:pPr>
          </w:p>
          <w:p w:rsidR="003461C6" w:rsidRDefault="003461C6" w:rsidP="0083090E">
            <w:pPr>
              <w:rPr>
                <w:b/>
              </w:rPr>
            </w:pPr>
            <w:r>
              <w:rPr>
                <w:b/>
              </w:rPr>
              <w:t xml:space="preserve">As </w:t>
            </w:r>
            <w:proofErr w:type="spellStart"/>
            <w:r>
              <w:rPr>
                <w:b/>
              </w:rPr>
              <w:t>req’d</w:t>
            </w:r>
            <w:proofErr w:type="spellEnd"/>
          </w:p>
          <w:p w:rsidR="003461C6" w:rsidRDefault="003461C6" w:rsidP="0083090E">
            <w:pPr>
              <w:rPr>
                <w:b/>
              </w:rPr>
            </w:pPr>
          </w:p>
          <w:p w:rsidR="003461C6" w:rsidRDefault="003461C6" w:rsidP="0083090E">
            <w:pPr>
              <w:rPr>
                <w:b/>
              </w:rPr>
            </w:pPr>
          </w:p>
          <w:p w:rsidR="003461C6" w:rsidRDefault="003461C6" w:rsidP="0083090E">
            <w:pPr>
              <w:rPr>
                <w:b/>
              </w:rPr>
            </w:pPr>
            <w:r>
              <w:rPr>
                <w:b/>
              </w:rPr>
              <w:t>By 10</w:t>
            </w:r>
            <w:r w:rsidRPr="003461C6">
              <w:rPr>
                <w:b/>
                <w:vertAlign w:val="superscript"/>
              </w:rPr>
              <w:t>th</w:t>
            </w:r>
            <w:r>
              <w:rPr>
                <w:b/>
              </w:rPr>
              <w:t xml:space="preserve"> Sept</w:t>
            </w:r>
          </w:p>
          <w:p w:rsidR="00D642D4" w:rsidRDefault="00D642D4" w:rsidP="0083090E">
            <w:pPr>
              <w:rPr>
                <w:b/>
              </w:rPr>
            </w:pPr>
          </w:p>
          <w:p w:rsidR="00D642D4" w:rsidRDefault="00D642D4" w:rsidP="0083090E">
            <w:pPr>
              <w:rPr>
                <w:b/>
              </w:rPr>
            </w:pPr>
          </w:p>
          <w:p w:rsidR="00D642D4" w:rsidRDefault="00D642D4" w:rsidP="0083090E">
            <w:pPr>
              <w:rPr>
                <w:b/>
              </w:rPr>
            </w:pPr>
          </w:p>
          <w:p w:rsidR="00C8153F" w:rsidRDefault="00C8153F" w:rsidP="0083090E">
            <w:pPr>
              <w:rPr>
                <w:b/>
              </w:rPr>
            </w:pPr>
          </w:p>
          <w:p w:rsidR="008F1C8E" w:rsidRDefault="008F1C8E" w:rsidP="0083090E">
            <w:pPr>
              <w:rPr>
                <w:b/>
              </w:rPr>
            </w:pPr>
          </w:p>
          <w:p w:rsidR="00D642D4" w:rsidRPr="00B64176" w:rsidRDefault="00D642D4" w:rsidP="0083090E">
            <w:pPr>
              <w:rPr>
                <w:b/>
              </w:rPr>
            </w:pPr>
            <w:r>
              <w:rPr>
                <w:b/>
              </w:rPr>
              <w:t>3</w:t>
            </w:r>
            <w:r w:rsidRPr="00D642D4">
              <w:rPr>
                <w:b/>
                <w:vertAlign w:val="superscript"/>
              </w:rPr>
              <w:t>rd</w:t>
            </w:r>
            <w:r>
              <w:rPr>
                <w:b/>
              </w:rPr>
              <w:t xml:space="preserve"> Sept</w:t>
            </w:r>
          </w:p>
        </w:tc>
        <w:tc>
          <w:tcPr>
            <w:tcW w:w="850" w:type="dxa"/>
            <w:shd w:val="clear" w:color="auto" w:fill="auto"/>
          </w:tcPr>
          <w:p w:rsidR="0083090E" w:rsidRDefault="0083090E" w:rsidP="00B64176">
            <w:pPr>
              <w:rPr>
                <w:b/>
              </w:rPr>
            </w:pPr>
          </w:p>
          <w:p w:rsidR="003461C6" w:rsidRDefault="003461C6" w:rsidP="00B64176">
            <w:pPr>
              <w:rPr>
                <w:b/>
              </w:rPr>
            </w:pPr>
          </w:p>
          <w:p w:rsidR="003461C6" w:rsidRDefault="003461C6" w:rsidP="00B64176">
            <w:pPr>
              <w:rPr>
                <w:b/>
              </w:rPr>
            </w:pPr>
            <w:r>
              <w:rPr>
                <w:b/>
              </w:rPr>
              <w:t>RK</w:t>
            </w:r>
          </w:p>
          <w:p w:rsidR="003461C6" w:rsidRDefault="003461C6" w:rsidP="00B64176">
            <w:pPr>
              <w:rPr>
                <w:b/>
              </w:rPr>
            </w:pPr>
          </w:p>
          <w:p w:rsidR="003461C6" w:rsidRDefault="003461C6" w:rsidP="00B64176">
            <w:pPr>
              <w:rPr>
                <w:b/>
              </w:rPr>
            </w:pPr>
          </w:p>
          <w:p w:rsidR="003461C6" w:rsidRDefault="003461C6" w:rsidP="00B64176">
            <w:pPr>
              <w:rPr>
                <w:b/>
              </w:rPr>
            </w:pPr>
          </w:p>
          <w:p w:rsidR="003461C6" w:rsidRDefault="003461C6" w:rsidP="00B64176">
            <w:pPr>
              <w:rPr>
                <w:b/>
              </w:rPr>
            </w:pPr>
          </w:p>
          <w:p w:rsidR="003461C6" w:rsidRDefault="003461C6" w:rsidP="00B64176">
            <w:pPr>
              <w:rPr>
                <w:b/>
              </w:rPr>
            </w:pPr>
            <w:r>
              <w:rPr>
                <w:b/>
              </w:rPr>
              <w:t>ALL</w:t>
            </w:r>
          </w:p>
          <w:p w:rsidR="003461C6" w:rsidRDefault="003461C6" w:rsidP="00B64176">
            <w:pPr>
              <w:rPr>
                <w:b/>
              </w:rPr>
            </w:pPr>
          </w:p>
          <w:p w:rsidR="003461C6" w:rsidRDefault="003461C6" w:rsidP="00B64176">
            <w:pPr>
              <w:rPr>
                <w:b/>
              </w:rPr>
            </w:pPr>
          </w:p>
          <w:p w:rsidR="003461C6" w:rsidRDefault="003461C6" w:rsidP="00B64176">
            <w:pPr>
              <w:rPr>
                <w:b/>
              </w:rPr>
            </w:pPr>
          </w:p>
          <w:p w:rsidR="003461C6" w:rsidRDefault="003461C6" w:rsidP="00B64176">
            <w:pPr>
              <w:rPr>
                <w:b/>
              </w:rPr>
            </w:pPr>
            <w:r>
              <w:rPr>
                <w:b/>
              </w:rPr>
              <w:t>ALL/SS/RK</w:t>
            </w:r>
          </w:p>
          <w:p w:rsidR="00D642D4" w:rsidRDefault="00D642D4" w:rsidP="00B64176">
            <w:pPr>
              <w:rPr>
                <w:b/>
              </w:rPr>
            </w:pPr>
          </w:p>
          <w:p w:rsidR="00D642D4" w:rsidRDefault="00D642D4" w:rsidP="00B64176">
            <w:pPr>
              <w:rPr>
                <w:b/>
              </w:rPr>
            </w:pPr>
          </w:p>
          <w:p w:rsidR="00D642D4" w:rsidRDefault="00D642D4" w:rsidP="00B64176">
            <w:pPr>
              <w:rPr>
                <w:b/>
              </w:rPr>
            </w:pPr>
          </w:p>
          <w:p w:rsidR="008F1C8E" w:rsidRDefault="008F1C8E" w:rsidP="00B64176">
            <w:pPr>
              <w:rPr>
                <w:b/>
              </w:rPr>
            </w:pPr>
          </w:p>
          <w:p w:rsidR="00C8153F" w:rsidRDefault="00C8153F" w:rsidP="00B64176">
            <w:pPr>
              <w:rPr>
                <w:b/>
              </w:rPr>
            </w:pPr>
          </w:p>
          <w:p w:rsidR="00D642D4" w:rsidRPr="00B64176" w:rsidRDefault="00D642D4" w:rsidP="00B64176">
            <w:pPr>
              <w:rPr>
                <w:b/>
              </w:rPr>
            </w:pPr>
            <w:r>
              <w:rPr>
                <w:b/>
              </w:rPr>
              <w:t>RS</w:t>
            </w:r>
          </w:p>
        </w:tc>
      </w:tr>
      <w:tr w:rsidR="00003D78" w:rsidRPr="000871E7" w:rsidTr="00003D78">
        <w:tc>
          <w:tcPr>
            <w:tcW w:w="992" w:type="dxa"/>
          </w:tcPr>
          <w:p w:rsidR="00530946" w:rsidRDefault="0081451A" w:rsidP="00530946">
            <w:r>
              <w:t>3</w:t>
            </w:r>
            <w:r w:rsidRPr="0081451A">
              <w:rPr>
                <w:vertAlign w:val="superscript"/>
              </w:rPr>
              <w:t>rd</w:t>
            </w:r>
            <w:r>
              <w:t xml:space="preserve"> Sept 2018</w:t>
            </w:r>
          </w:p>
        </w:tc>
        <w:tc>
          <w:tcPr>
            <w:tcW w:w="1135" w:type="dxa"/>
            <w:shd w:val="clear" w:color="auto" w:fill="auto"/>
          </w:tcPr>
          <w:p w:rsidR="00530946" w:rsidRPr="00B64176" w:rsidRDefault="0027694D" w:rsidP="00530946">
            <w:r>
              <w:t>Revised Action Plan</w:t>
            </w:r>
          </w:p>
        </w:tc>
        <w:tc>
          <w:tcPr>
            <w:tcW w:w="7938" w:type="dxa"/>
            <w:shd w:val="clear" w:color="auto" w:fill="auto"/>
          </w:tcPr>
          <w:p w:rsidR="0011576E" w:rsidRPr="00B64176" w:rsidRDefault="00DB598E" w:rsidP="00AC037C">
            <w:pPr>
              <w:jc w:val="both"/>
            </w:pPr>
            <w:r>
              <w:t>Colleagues to feed through ideas regarding training or workshop needs for PSH teams and through KHG these can hopefully be set up at a lower cost or free for colleagues.</w:t>
            </w:r>
          </w:p>
        </w:tc>
        <w:tc>
          <w:tcPr>
            <w:tcW w:w="4252" w:type="dxa"/>
            <w:shd w:val="clear" w:color="auto" w:fill="auto"/>
          </w:tcPr>
          <w:p w:rsidR="0011576E" w:rsidRPr="00B64176" w:rsidRDefault="00DB598E" w:rsidP="00530946">
            <w:pPr>
              <w:rPr>
                <w:b/>
              </w:rPr>
            </w:pPr>
            <w:r>
              <w:rPr>
                <w:b/>
              </w:rPr>
              <w:t>Colleagues to share any ideas/themes with KP and RS</w:t>
            </w:r>
          </w:p>
        </w:tc>
        <w:tc>
          <w:tcPr>
            <w:tcW w:w="851" w:type="dxa"/>
            <w:shd w:val="clear" w:color="auto" w:fill="auto"/>
          </w:tcPr>
          <w:p w:rsidR="0011576E" w:rsidRPr="00B64176" w:rsidRDefault="00DB598E" w:rsidP="00530946">
            <w:pPr>
              <w:rPr>
                <w:b/>
              </w:rPr>
            </w:pPr>
            <w:r>
              <w:rPr>
                <w:b/>
              </w:rPr>
              <w:t xml:space="preserve">As </w:t>
            </w:r>
            <w:proofErr w:type="spellStart"/>
            <w:r>
              <w:rPr>
                <w:b/>
              </w:rPr>
              <w:t>req’d</w:t>
            </w:r>
            <w:proofErr w:type="spellEnd"/>
          </w:p>
        </w:tc>
        <w:tc>
          <w:tcPr>
            <w:tcW w:w="850" w:type="dxa"/>
            <w:shd w:val="clear" w:color="auto" w:fill="auto"/>
          </w:tcPr>
          <w:p w:rsidR="00E57AE8" w:rsidRPr="00B64176" w:rsidRDefault="00DB598E" w:rsidP="00E57AE8">
            <w:pPr>
              <w:rPr>
                <w:b/>
              </w:rPr>
            </w:pPr>
            <w:r>
              <w:rPr>
                <w:b/>
              </w:rPr>
              <w:t>ALL</w:t>
            </w:r>
          </w:p>
        </w:tc>
      </w:tr>
      <w:tr w:rsidR="0081451A" w:rsidRPr="000871E7" w:rsidTr="00003D78">
        <w:tc>
          <w:tcPr>
            <w:tcW w:w="992" w:type="dxa"/>
          </w:tcPr>
          <w:p w:rsidR="0081451A" w:rsidRDefault="0081451A" w:rsidP="00530946">
            <w:r>
              <w:t>3</w:t>
            </w:r>
            <w:r w:rsidRPr="0081451A">
              <w:rPr>
                <w:vertAlign w:val="superscript"/>
              </w:rPr>
              <w:t>rd</w:t>
            </w:r>
            <w:r>
              <w:t xml:space="preserve"> Sept 2018</w:t>
            </w:r>
          </w:p>
        </w:tc>
        <w:tc>
          <w:tcPr>
            <w:tcW w:w="1135" w:type="dxa"/>
            <w:shd w:val="clear" w:color="auto" w:fill="auto"/>
          </w:tcPr>
          <w:p w:rsidR="0081451A" w:rsidRDefault="0081451A" w:rsidP="00530946">
            <w:r>
              <w:t>ARLA Update</w:t>
            </w:r>
          </w:p>
        </w:tc>
        <w:tc>
          <w:tcPr>
            <w:tcW w:w="7938" w:type="dxa"/>
            <w:shd w:val="clear" w:color="auto" w:fill="auto"/>
          </w:tcPr>
          <w:p w:rsidR="0081451A" w:rsidRDefault="00DB598E" w:rsidP="00AC037C">
            <w:pPr>
              <w:jc w:val="both"/>
            </w:pPr>
            <w:r>
              <w:t xml:space="preserve">ARLA Property Mark – Association of Residential Letting Agents.  Meeting higher standards that legislation demands and governs.  </w:t>
            </w:r>
          </w:p>
          <w:p w:rsidR="00DB598E" w:rsidRDefault="00DB598E" w:rsidP="00AC037C">
            <w:pPr>
              <w:jc w:val="both"/>
            </w:pPr>
          </w:p>
          <w:p w:rsidR="00CA6BFB" w:rsidRPr="00CA6BFB" w:rsidRDefault="00DB598E" w:rsidP="00AC037C">
            <w:pPr>
              <w:jc w:val="both"/>
              <w:rPr>
                <w:u w:val="single"/>
              </w:rPr>
            </w:pPr>
            <w:r>
              <w:t>Government Proposals</w:t>
            </w:r>
            <w:r w:rsidR="00CA6BFB">
              <w:t xml:space="preserve"> under consultation</w:t>
            </w:r>
            <w:r>
              <w:t xml:space="preserve"> – </w:t>
            </w:r>
            <w:r w:rsidRPr="00CA6BFB">
              <w:rPr>
                <w:b/>
                <w:u w:val="single"/>
              </w:rPr>
              <w:t>Banning letting agent fees</w:t>
            </w:r>
            <w:r>
              <w:t>, a loss of income to the agent.  There are negative and positive impacts from this proposal by Government, outlined in the mind map slide.</w:t>
            </w:r>
            <w:r w:rsidR="00CA6BFB">
              <w:t xml:space="preserve">  </w:t>
            </w:r>
            <w:r w:rsidR="00CA6BFB" w:rsidRPr="00CA6BFB">
              <w:rPr>
                <w:b/>
                <w:u w:val="single"/>
              </w:rPr>
              <w:t>Section 24 of the Finance Act 2015</w:t>
            </w:r>
            <w:r w:rsidR="00CA6BFB">
              <w:t xml:space="preserve"> (Landlord Taxation) – landlords with Buy to Let Mortgages from 2020 will not be able to claim taxation against property owned.  This could lead to less properties available in the private sector rented market.  </w:t>
            </w:r>
            <w:r w:rsidR="00CA6BFB" w:rsidRPr="00CA6BFB">
              <w:rPr>
                <w:b/>
                <w:u w:val="single"/>
              </w:rPr>
              <w:t>The Homelessness Reduction Act 2017</w:t>
            </w:r>
            <w:r w:rsidR="00CA6BFB">
              <w:rPr>
                <w:u w:val="single"/>
              </w:rPr>
              <w:t xml:space="preserve"> </w:t>
            </w:r>
            <w:r w:rsidR="00CA6BFB" w:rsidRPr="00CA6BFB">
              <w:t xml:space="preserve">and </w:t>
            </w:r>
            <w:r w:rsidR="00CA6BFB" w:rsidRPr="00CA6BFB">
              <w:rPr>
                <w:b/>
                <w:u w:val="single"/>
              </w:rPr>
              <w:t>Three year tenancies</w:t>
            </w:r>
            <w:r w:rsidR="00CA6BFB">
              <w:rPr>
                <w:u w:val="single"/>
              </w:rPr>
              <w:t xml:space="preserve"> </w:t>
            </w:r>
            <w:r w:rsidR="00CA6BFB" w:rsidRPr="00CA6BFB">
              <w:t>– m</w:t>
            </w:r>
            <w:r w:rsidR="00CA6BFB">
              <w:t xml:space="preserve">inority group of the private rented housing market to benefit from this proposal.  </w:t>
            </w:r>
          </w:p>
          <w:p w:rsidR="00CA6BFB" w:rsidRDefault="00CA6BFB" w:rsidP="00AC037C">
            <w:pPr>
              <w:jc w:val="both"/>
            </w:pPr>
          </w:p>
          <w:p w:rsidR="000B62C2" w:rsidRDefault="00FF61B4" w:rsidP="00AC037C">
            <w:pPr>
              <w:jc w:val="both"/>
            </w:pPr>
            <w:r>
              <w:t>Monthly survey produced by ARLA for members, example shared via slides.  Includes information about supply and stock, rent prices and the demand from tenants and landlords.</w:t>
            </w:r>
          </w:p>
          <w:p w:rsidR="00FF61B4" w:rsidRDefault="00FF61B4" w:rsidP="00AC037C">
            <w:pPr>
              <w:jc w:val="both"/>
            </w:pPr>
          </w:p>
          <w:p w:rsidR="00FF61B4" w:rsidRPr="0097052A" w:rsidRDefault="0097052A" w:rsidP="00AC037C">
            <w:pPr>
              <w:jc w:val="both"/>
              <w:rPr>
                <w:u w:val="single"/>
              </w:rPr>
            </w:pPr>
            <w:r w:rsidRPr="0097052A">
              <w:rPr>
                <w:u w:val="single"/>
              </w:rPr>
              <w:t>Open Forum &amp; Discussion Points:</w:t>
            </w:r>
          </w:p>
          <w:p w:rsidR="0097052A" w:rsidRDefault="0097052A" w:rsidP="00AC037C">
            <w:pPr>
              <w:jc w:val="both"/>
            </w:pPr>
          </w:p>
          <w:p w:rsidR="00094E6C" w:rsidRDefault="0097052A" w:rsidP="00AC037C">
            <w:pPr>
              <w:jc w:val="both"/>
            </w:pPr>
            <w:r>
              <w:t>How to influence landlords about their knowledge around legislation and expectations regarding property co</w:t>
            </w:r>
            <w:r w:rsidR="00052B43">
              <w:t xml:space="preserve">nditions and energy performance?  DV keen, via ARLA to raise standards and use the regulations to improve the condition of properties in the Private Rented Sector.  </w:t>
            </w:r>
            <w:r w:rsidR="00BC5559">
              <w:t xml:space="preserve">Discussion about whether </w:t>
            </w:r>
            <w:r w:rsidR="00052B43">
              <w:t>there</w:t>
            </w:r>
            <w:r w:rsidR="00BC5559">
              <w:t xml:space="preserve"> is</w:t>
            </w:r>
            <w:r w:rsidR="00052B43">
              <w:t xml:space="preserve"> sufficient consequence for landlords who are not adhering to legislation or standards?  </w:t>
            </w:r>
          </w:p>
          <w:p w:rsidR="00A34067" w:rsidRDefault="00A34067" w:rsidP="00AC037C">
            <w:pPr>
              <w:jc w:val="both"/>
            </w:pPr>
            <w:r>
              <w:lastRenderedPageBreak/>
              <w:t xml:space="preserve">ARLA membership is £350 per year and this includes access to excellent legal advice, there is also a complaints procedure for agents who don’t adhere to the </w:t>
            </w:r>
            <w:r w:rsidR="00BC5559">
              <w:t xml:space="preserve">standards set by ARLA.  </w:t>
            </w:r>
          </w:p>
          <w:p w:rsidR="000B62C2" w:rsidRDefault="000B62C2" w:rsidP="00AC037C">
            <w:pPr>
              <w:jc w:val="both"/>
            </w:pPr>
          </w:p>
          <w:p w:rsidR="00BC5559" w:rsidRDefault="00BC5559" w:rsidP="00AC037C">
            <w:pPr>
              <w:jc w:val="both"/>
            </w:pPr>
            <w:r>
              <w:t>David is the contact for Kent colleagues with regards to working with agents.</w:t>
            </w:r>
            <w:r w:rsidR="00094E6C">
              <w:t xml:space="preserve">  </w:t>
            </w:r>
            <w:r w:rsidR="00655900">
              <w:t>LH suggested the acceptability of letting to tenants who are in receipt of benefits.</w:t>
            </w:r>
            <w:r w:rsidR="00282C2D">
              <w:t xml:space="preserve">  </w:t>
            </w:r>
            <w:r w:rsidR="00B56E43">
              <w:t>David happy to receive information from colleagues about any issues coming forward, including information about landlords who may not be members of ARLA, as these can be forwarded to Trading Standards.</w:t>
            </w:r>
          </w:p>
          <w:p w:rsidR="00BC5559" w:rsidRPr="00B64176" w:rsidRDefault="00BC5559" w:rsidP="00AC037C">
            <w:pPr>
              <w:jc w:val="both"/>
            </w:pPr>
          </w:p>
        </w:tc>
        <w:tc>
          <w:tcPr>
            <w:tcW w:w="4252" w:type="dxa"/>
            <w:shd w:val="clear" w:color="auto" w:fill="auto"/>
          </w:tcPr>
          <w:p w:rsidR="0081451A" w:rsidRDefault="00DB598E" w:rsidP="00530946">
            <w:pPr>
              <w:rPr>
                <w:b/>
              </w:rPr>
            </w:pPr>
            <w:r>
              <w:rPr>
                <w:b/>
              </w:rPr>
              <w:lastRenderedPageBreak/>
              <w:t>Slides to be shared with Action Log</w:t>
            </w:r>
          </w:p>
          <w:p w:rsidR="000B62C2" w:rsidRDefault="000B62C2" w:rsidP="00530946">
            <w:pPr>
              <w:rPr>
                <w:b/>
              </w:rPr>
            </w:pPr>
          </w:p>
          <w:p w:rsidR="000B62C2" w:rsidRDefault="000B62C2" w:rsidP="00530946">
            <w:pPr>
              <w:rPr>
                <w:b/>
              </w:rPr>
            </w:pPr>
          </w:p>
          <w:p w:rsidR="000B62C2" w:rsidRDefault="000B62C2" w:rsidP="00530946">
            <w:pPr>
              <w:rPr>
                <w:b/>
              </w:rPr>
            </w:pPr>
          </w:p>
          <w:p w:rsidR="000B62C2" w:rsidRDefault="000B62C2" w:rsidP="00530946">
            <w:pPr>
              <w:rPr>
                <w:b/>
              </w:rPr>
            </w:pPr>
          </w:p>
          <w:p w:rsidR="000B62C2" w:rsidRDefault="000B62C2" w:rsidP="00530946">
            <w:pPr>
              <w:rPr>
                <w:b/>
              </w:rPr>
            </w:pPr>
          </w:p>
          <w:p w:rsidR="000B62C2" w:rsidRDefault="000B62C2" w:rsidP="00530946">
            <w:pPr>
              <w:rPr>
                <w:b/>
              </w:rPr>
            </w:pPr>
          </w:p>
          <w:p w:rsidR="000B62C2" w:rsidRDefault="000B62C2" w:rsidP="00530946">
            <w:pPr>
              <w:rPr>
                <w:b/>
              </w:rPr>
            </w:pPr>
          </w:p>
          <w:p w:rsidR="000B62C2" w:rsidRDefault="000B62C2" w:rsidP="00530946">
            <w:pPr>
              <w:rPr>
                <w:b/>
              </w:rPr>
            </w:pPr>
            <w:r>
              <w:rPr>
                <w:b/>
              </w:rPr>
              <w:t>Colleagues to share thoughts on the three year tenancy proposal to ARLA</w:t>
            </w: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282C2D">
            <w:pPr>
              <w:rPr>
                <w:b/>
              </w:rPr>
            </w:pPr>
            <w:r>
              <w:rPr>
                <w:b/>
              </w:rPr>
              <w:t>RS to share the contact details for David</w:t>
            </w:r>
            <w:r w:rsidR="00094E6C">
              <w:rPr>
                <w:b/>
              </w:rPr>
              <w:t>.  David to share details of who mem</w:t>
            </w:r>
            <w:r w:rsidR="00282C2D">
              <w:rPr>
                <w:b/>
              </w:rPr>
              <w:t>bers of ARLA in Kent and Medway.  How can the message then be shared more widely to landlords not members of ARLA?</w:t>
            </w:r>
          </w:p>
          <w:p w:rsidR="00282C2D" w:rsidRPr="00B64176" w:rsidRDefault="00282C2D" w:rsidP="00282C2D">
            <w:pPr>
              <w:rPr>
                <w:b/>
              </w:rPr>
            </w:pPr>
          </w:p>
        </w:tc>
        <w:tc>
          <w:tcPr>
            <w:tcW w:w="851" w:type="dxa"/>
            <w:shd w:val="clear" w:color="auto" w:fill="auto"/>
          </w:tcPr>
          <w:p w:rsidR="0081451A" w:rsidRDefault="00DB598E" w:rsidP="00530946">
            <w:pPr>
              <w:rPr>
                <w:b/>
              </w:rPr>
            </w:pPr>
            <w:r>
              <w:rPr>
                <w:b/>
              </w:rPr>
              <w:lastRenderedPageBreak/>
              <w:t>By 4</w:t>
            </w:r>
            <w:r w:rsidRPr="00DB598E">
              <w:rPr>
                <w:b/>
                <w:vertAlign w:val="superscript"/>
              </w:rPr>
              <w:t>th</w:t>
            </w:r>
            <w:r>
              <w:rPr>
                <w:b/>
              </w:rPr>
              <w:t xml:space="preserve"> Sept</w:t>
            </w: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Default="00BC5559" w:rsidP="00530946">
            <w:pPr>
              <w:rPr>
                <w:b/>
              </w:rPr>
            </w:pPr>
          </w:p>
          <w:p w:rsidR="00BC5559" w:rsidRPr="00B64176" w:rsidRDefault="00BC5559" w:rsidP="00530946">
            <w:pPr>
              <w:rPr>
                <w:b/>
              </w:rPr>
            </w:pPr>
            <w:r>
              <w:rPr>
                <w:b/>
              </w:rPr>
              <w:t>By 4</w:t>
            </w:r>
            <w:r w:rsidRPr="00BC5559">
              <w:rPr>
                <w:b/>
                <w:vertAlign w:val="superscript"/>
              </w:rPr>
              <w:t>th</w:t>
            </w:r>
            <w:r>
              <w:rPr>
                <w:b/>
              </w:rPr>
              <w:t xml:space="preserve"> Sept</w:t>
            </w:r>
          </w:p>
        </w:tc>
        <w:tc>
          <w:tcPr>
            <w:tcW w:w="850" w:type="dxa"/>
            <w:shd w:val="clear" w:color="auto" w:fill="auto"/>
          </w:tcPr>
          <w:p w:rsidR="0081451A" w:rsidRDefault="00DB598E" w:rsidP="00E57AE8">
            <w:pPr>
              <w:rPr>
                <w:b/>
              </w:rPr>
            </w:pPr>
            <w:r>
              <w:rPr>
                <w:b/>
              </w:rPr>
              <w:lastRenderedPageBreak/>
              <w:t>RS</w:t>
            </w: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Default="00BC5559" w:rsidP="00E57AE8">
            <w:pPr>
              <w:rPr>
                <w:b/>
              </w:rPr>
            </w:pPr>
          </w:p>
          <w:p w:rsidR="00BC5559" w:rsidRPr="00B64176" w:rsidRDefault="00BC5559" w:rsidP="00E57AE8">
            <w:pPr>
              <w:rPr>
                <w:b/>
              </w:rPr>
            </w:pPr>
            <w:r>
              <w:rPr>
                <w:b/>
              </w:rPr>
              <w:t>RS</w:t>
            </w:r>
            <w:r w:rsidR="00094E6C">
              <w:rPr>
                <w:b/>
              </w:rPr>
              <w:t>/DV</w:t>
            </w:r>
          </w:p>
        </w:tc>
      </w:tr>
      <w:tr w:rsidR="0081451A" w:rsidRPr="000871E7" w:rsidTr="00003D78">
        <w:tc>
          <w:tcPr>
            <w:tcW w:w="992" w:type="dxa"/>
          </w:tcPr>
          <w:p w:rsidR="0081451A" w:rsidRDefault="0081451A" w:rsidP="0081451A">
            <w:r w:rsidRPr="00D25103">
              <w:lastRenderedPageBreak/>
              <w:t>3</w:t>
            </w:r>
            <w:r w:rsidRPr="00D25103">
              <w:rPr>
                <w:vertAlign w:val="superscript"/>
              </w:rPr>
              <w:t>rd</w:t>
            </w:r>
            <w:r w:rsidRPr="00D25103">
              <w:t xml:space="preserve"> Sept 2018</w:t>
            </w:r>
          </w:p>
        </w:tc>
        <w:tc>
          <w:tcPr>
            <w:tcW w:w="1135" w:type="dxa"/>
            <w:shd w:val="clear" w:color="auto" w:fill="auto"/>
          </w:tcPr>
          <w:p w:rsidR="0081451A" w:rsidRPr="00B64176" w:rsidRDefault="0081451A" w:rsidP="0081451A">
            <w:r>
              <w:t>Written Updates</w:t>
            </w:r>
          </w:p>
        </w:tc>
        <w:tc>
          <w:tcPr>
            <w:tcW w:w="7938" w:type="dxa"/>
            <w:shd w:val="clear" w:color="auto" w:fill="auto"/>
          </w:tcPr>
          <w:p w:rsidR="0081451A" w:rsidRDefault="00094E6C" w:rsidP="0081451A">
            <w:pPr>
              <w:jc w:val="both"/>
            </w:pPr>
            <w:r>
              <w:t>Written updates for KEEP, KHG and KMSEP shared ahead of the meeting for information.</w:t>
            </w:r>
          </w:p>
          <w:p w:rsidR="00C0468A" w:rsidRDefault="00C0468A" w:rsidP="0081451A">
            <w:pPr>
              <w:jc w:val="both"/>
            </w:pPr>
          </w:p>
          <w:p w:rsidR="009A0630" w:rsidRDefault="009A0630" w:rsidP="0081451A">
            <w:pPr>
              <w:jc w:val="both"/>
            </w:pPr>
            <w:r>
              <w:t>SS advised that KMSEP is undertaking a review of what the programme should focus on across K&amp;M, this is the domestic energy programme, comments and feedback welcome on this, there is a workshop on the 14</w:t>
            </w:r>
            <w:r w:rsidRPr="009A0630">
              <w:rPr>
                <w:vertAlign w:val="superscript"/>
              </w:rPr>
              <w:t>th</w:t>
            </w:r>
            <w:r>
              <w:t xml:space="preserve"> September at Oakwood House.</w:t>
            </w:r>
          </w:p>
          <w:p w:rsidR="009A0630" w:rsidRPr="00B64176" w:rsidRDefault="009A0630" w:rsidP="0081451A">
            <w:pPr>
              <w:jc w:val="both"/>
            </w:pPr>
          </w:p>
        </w:tc>
        <w:tc>
          <w:tcPr>
            <w:tcW w:w="4252" w:type="dxa"/>
            <w:shd w:val="clear" w:color="auto" w:fill="auto"/>
          </w:tcPr>
          <w:p w:rsidR="0081451A" w:rsidRDefault="0081451A" w:rsidP="0081451A">
            <w:pPr>
              <w:rPr>
                <w:b/>
              </w:rPr>
            </w:pPr>
          </w:p>
          <w:p w:rsidR="009A0630" w:rsidRDefault="009A0630" w:rsidP="0081451A">
            <w:pPr>
              <w:rPr>
                <w:b/>
              </w:rPr>
            </w:pPr>
          </w:p>
          <w:p w:rsidR="009A0630" w:rsidRDefault="009A0630" w:rsidP="0081451A">
            <w:pPr>
              <w:rPr>
                <w:b/>
              </w:rPr>
            </w:pPr>
          </w:p>
          <w:p w:rsidR="009A0630" w:rsidRPr="00B64176" w:rsidRDefault="009A0630" w:rsidP="0081451A">
            <w:pPr>
              <w:rPr>
                <w:b/>
              </w:rPr>
            </w:pPr>
            <w:r>
              <w:rPr>
                <w:b/>
              </w:rPr>
              <w:t>If colleagues are keen to attend the workshop in September to contact SS</w:t>
            </w:r>
          </w:p>
        </w:tc>
        <w:tc>
          <w:tcPr>
            <w:tcW w:w="851" w:type="dxa"/>
            <w:shd w:val="clear" w:color="auto" w:fill="auto"/>
          </w:tcPr>
          <w:p w:rsidR="0081451A" w:rsidRDefault="0081451A" w:rsidP="0081451A">
            <w:pPr>
              <w:rPr>
                <w:b/>
              </w:rPr>
            </w:pPr>
          </w:p>
          <w:p w:rsidR="00885C4C" w:rsidRDefault="00885C4C" w:rsidP="0081451A">
            <w:pPr>
              <w:rPr>
                <w:b/>
              </w:rPr>
            </w:pPr>
          </w:p>
          <w:p w:rsidR="00885C4C" w:rsidRDefault="00885C4C" w:rsidP="0081451A">
            <w:pPr>
              <w:rPr>
                <w:b/>
              </w:rPr>
            </w:pPr>
          </w:p>
          <w:p w:rsidR="00885C4C" w:rsidRPr="00B64176" w:rsidRDefault="00885C4C" w:rsidP="0081451A">
            <w:pPr>
              <w:rPr>
                <w:b/>
              </w:rPr>
            </w:pPr>
            <w:r>
              <w:rPr>
                <w:b/>
              </w:rPr>
              <w:t>By 10</w:t>
            </w:r>
            <w:r w:rsidRPr="00885C4C">
              <w:rPr>
                <w:b/>
                <w:vertAlign w:val="superscript"/>
              </w:rPr>
              <w:t>th</w:t>
            </w:r>
            <w:r>
              <w:rPr>
                <w:b/>
              </w:rPr>
              <w:t xml:space="preserve"> Sept</w:t>
            </w:r>
          </w:p>
        </w:tc>
        <w:tc>
          <w:tcPr>
            <w:tcW w:w="850" w:type="dxa"/>
            <w:shd w:val="clear" w:color="auto" w:fill="auto"/>
          </w:tcPr>
          <w:p w:rsidR="0081451A" w:rsidRDefault="0081451A" w:rsidP="0081451A">
            <w:pPr>
              <w:rPr>
                <w:b/>
              </w:rPr>
            </w:pPr>
          </w:p>
          <w:p w:rsidR="00885C4C" w:rsidRDefault="00885C4C" w:rsidP="0081451A">
            <w:pPr>
              <w:rPr>
                <w:b/>
              </w:rPr>
            </w:pPr>
          </w:p>
          <w:p w:rsidR="00885C4C" w:rsidRDefault="00885C4C" w:rsidP="0081451A">
            <w:pPr>
              <w:rPr>
                <w:b/>
              </w:rPr>
            </w:pPr>
          </w:p>
          <w:p w:rsidR="00885C4C" w:rsidRPr="00B64176" w:rsidRDefault="00885C4C" w:rsidP="0081451A">
            <w:pPr>
              <w:rPr>
                <w:b/>
              </w:rPr>
            </w:pPr>
            <w:r>
              <w:rPr>
                <w:b/>
              </w:rPr>
              <w:t>ALL</w:t>
            </w:r>
          </w:p>
        </w:tc>
      </w:tr>
      <w:tr w:rsidR="0081451A" w:rsidRPr="000871E7" w:rsidTr="00003D78">
        <w:tc>
          <w:tcPr>
            <w:tcW w:w="992" w:type="dxa"/>
          </w:tcPr>
          <w:p w:rsidR="0081451A" w:rsidRDefault="0081451A" w:rsidP="0081451A">
            <w:r w:rsidRPr="00D25103">
              <w:t>3</w:t>
            </w:r>
            <w:r w:rsidRPr="00D25103">
              <w:rPr>
                <w:vertAlign w:val="superscript"/>
              </w:rPr>
              <w:t>rd</w:t>
            </w:r>
            <w:r w:rsidRPr="00D25103">
              <w:t xml:space="preserve"> Sept 2018</w:t>
            </w:r>
          </w:p>
        </w:tc>
        <w:tc>
          <w:tcPr>
            <w:tcW w:w="1135" w:type="dxa"/>
            <w:shd w:val="clear" w:color="auto" w:fill="auto"/>
          </w:tcPr>
          <w:p w:rsidR="0081451A" w:rsidRPr="00B64176" w:rsidRDefault="0081451A" w:rsidP="0081451A">
            <w:r>
              <w:t>AOB</w:t>
            </w:r>
          </w:p>
        </w:tc>
        <w:tc>
          <w:tcPr>
            <w:tcW w:w="7938" w:type="dxa"/>
            <w:shd w:val="clear" w:color="auto" w:fill="auto"/>
          </w:tcPr>
          <w:p w:rsidR="0081451A" w:rsidRDefault="00CA6BFB" w:rsidP="0081451A">
            <w:pPr>
              <w:jc w:val="both"/>
            </w:pPr>
            <w:r>
              <w:t xml:space="preserve">Agreed </w:t>
            </w:r>
            <w:r w:rsidR="008E741A">
              <w:t>set meeting dates</w:t>
            </w:r>
            <w:r>
              <w:t xml:space="preserve"> for 2019, to align with the Technical Officers Group meetings. Dates to be shared via outlook.  Agreed for TMBC to host.</w:t>
            </w:r>
          </w:p>
          <w:p w:rsidR="009A0630" w:rsidRDefault="009A0630" w:rsidP="0081451A">
            <w:pPr>
              <w:jc w:val="both"/>
            </w:pPr>
          </w:p>
          <w:p w:rsidR="009A0630" w:rsidRDefault="009A0630" w:rsidP="0081451A">
            <w:pPr>
              <w:jc w:val="both"/>
            </w:pPr>
            <w:r>
              <w:t>Rise4Disability event on 18</w:t>
            </w:r>
            <w:r w:rsidRPr="009A0630">
              <w:rPr>
                <w:vertAlign w:val="superscript"/>
              </w:rPr>
              <w:t>th</w:t>
            </w:r>
            <w:r>
              <w:t xml:space="preserve"> September, leaflets and information shared about this via LH</w:t>
            </w:r>
            <w:r w:rsidR="008E741A">
              <w:t>.  This is a free event and tickets issued on line.  There are many aspects of service provision being shared and an exhibition area.</w:t>
            </w:r>
          </w:p>
          <w:p w:rsidR="007A6F77" w:rsidRDefault="007A6F77" w:rsidP="0081451A">
            <w:pPr>
              <w:jc w:val="both"/>
            </w:pPr>
          </w:p>
          <w:p w:rsidR="007A6F77" w:rsidRDefault="007A6F77" w:rsidP="0081451A">
            <w:pPr>
              <w:jc w:val="both"/>
            </w:pPr>
            <w:r>
              <w:t xml:space="preserve">MM raised the issue about the change in HMO legislation in October 2018, what are local authorities doing to raise awareness?  What will be the enforcement policy from October?  </w:t>
            </w:r>
          </w:p>
          <w:p w:rsidR="008E741A" w:rsidRPr="00B64176" w:rsidRDefault="008E741A" w:rsidP="0081451A">
            <w:pPr>
              <w:jc w:val="both"/>
            </w:pPr>
          </w:p>
        </w:tc>
        <w:tc>
          <w:tcPr>
            <w:tcW w:w="4252" w:type="dxa"/>
            <w:shd w:val="clear" w:color="auto" w:fill="auto"/>
          </w:tcPr>
          <w:p w:rsidR="0081451A" w:rsidRDefault="00CA6BFB" w:rsidP="0081451A">
            <w:pPr>
              <w:rPr>
                <w:b/>
              </w:rPr>
            </w:pPr>
            <w:r>
              <w:rPr>
                <w:b/>
              </w:rPr>
              <w:t>RS to share dates via outlook</w:t>
            </w:r>
          </w:p>
          <w:p w:rsidR="009A0630" w:rsidRDefault="009A0630" w:rsidP="0081451A">
            <w:pPr>
              <w:rPr>
                <w:b/>
              </w:rPr>
            </w:pPr>
          </w:p>
          <w:p w:rsidR="009A0630" w:rsidRDefault="009A0630" w:rsidP="0081451A">
            <w:pPr>
              <w:rPr>
                <w:b/>
              </w:rPr>
            </w:pPr>
          </w:p>
          <w:p w:rsidR="009A0630" w:rsidRDefault="009A0630" w:rsidP="0081451A">
            <w:pPr>
              <w:rPr>
                <w:b/>
              </w:rPr>
            </w:pPr>
            <w:r>
              <w:rPr>
                <w:b/>
              </w:rPr>
              <w:t>Contact LH or visit KHG website news for more information.</w:t>
            </w:r>
          </w:p>
          <w:p w:rsidR="007A6F77" w:rsidRDefault="007A6F77" w:rsidP="0081451A">
            <w:pPr>
              <w:rPr>
                <w:b/>
              </w:rPr>
            </w:pPr>
          </w:p>
          <w:p w:rsidR="007A6F77" w:rsidRDefault="007A6F77" w:rsidP="0081451A">
            <w:pPr>
              <w:rPr>
                <w:b/>
              </w:rPr>
            </w:pPr>
          </w:p>
          <w:p w:rsidR="007A6F77" w:rsidRPr="00B64176" w:rsidRDefault="007A6F77" w:rsidP="0081451A">
            <w:pPr>
              <w:rPr>
                <w:b/>
              </w:rPr>
            </w:pPr>
            <w:r>
              <w:rPr>
                <w:b/>
              </w:rPr>
              <w:t>This will be discussed at the Technical Officers Group following this meeting.  To be feedback to RS the outcome.</w:t>
            </w:r>
          </w:p>
        </w:tc>
        <w:tc>
          <w:tcPr>
            <w:tcW w:w="851" w:type="dxa"/>
            <w:shd w:val="clear" w:color="auto" w:fill="auto"/>
          </w:tcPr>
          <w:p w:rsidR="0081451A" w:rsidRDefault="00CA6BFB" w:rsidP="0081451A">
            <w:pPr>
              <w:rPr>
                <w:b/>
              </w:rPr>
            </w:pPr>
            <w:r>
              <w:rPr>
                <w:b/>
              </w:rPr>
              <w:t>As avail</w:t>
            </w: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r>
              <w:rPr>
                <w:b/>
              </w:rPr>
              <w:t>ASAP</w:t>
            </w:r>
          </w:p>
          <w:p w:rsidR="007A6F77" w:rsidRDefault="007A6F77" w:rsidP="0081451A">
            <w:pPr>
              <w:rPr>
                <w:b/>
              </w:rPr>
            </w:pPr>
          </w:p>
          <w:p w:rsidR="007A6F77" w:rsidRDefault="007A6F77" w:rsidP="0081451A">
            <w:pPr>
              <w:rPr>
                <w:b/>
              </w:rPr>
            </w:pPr>
          </w:p>
          <w:p w:rsidR="007A6F77" w:rsidRDefault="007A6F77" w:rsidP="0081451A">
            <w:pPr>
              <w:rPr>
                <w:b/>
              </w:rPr>
            </w:pPr>
          </w:p>
          <w:p w:rsidR="007A6F77" w:rsidRDefault="007A6F77" w:rsidP="0081451A">
            <w:pPr>
              <w:rPr>
                <w:b/>
              </w:rPr>
            </w:pPr>
          </w:p>
          <w:p w:rsidR="007A6F77" w:rsidRDefault="007A6F77" w:rsidP="0081451A">
            <w:pPr>
              <w:rPr>
                <w:b/>
              </w:rPr>
            </w:pPr>
          </w:p>
          <w:p w:rsidR="007A6F77" w:rsidRPr="00B64176" w:rsidRDefault="007A6F77" w:rsidP="0081451A">
            <w:pPr>
              <w:rPr>
                <w:b/>
              </w:rPr>
            </w:pPr>
          </w:p>
        </w:tc>
        <w:tc>
          <w:tcPr>
            <w:tcW w:w="850" w:type="dxa"/>
            <w:shd w:val="clear" w:color="auto" w:fill="auto"/>
          </w:tcPr>
          <w:p w:rsidR="0081451A" w:rsidRDefault="00CA6BFB" w:rsidP="0081451A">
            <w:pPr>
              <w:rPr>
                <w:b/>
              </w:rPr>
            </w:pPr>
            <w:r>
              <w:rPr>
                <w:b/>
              </w:rPr>
              <w:t>RS</w:t>
            </w: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p>
          <w:p w:rsidR="00885C4C" w:rsidRDefault="00885C4C" w:rsidP="0081451A">
            <w:pPr>
              <w:rPr>
                <w:b/>
              </w:rPr>
            </w:pPr>
          </w:p>
          <w:p w:rsidR="00885C4C" w:rsidRPr="00B64176" w:rsidRDefault="00885C4C" w:rsidP="0081451A">
            <w:pPr>
              <w:rPr>
                <w:b/>
              </w:rPr>
            </w:pPr>
            <w:r>
              <w:rPr>
                <w:b/>
              </w:rPr>
              <w:t>HZ/RK</w:t>
            </w:r>
          </w:p>
        </w:tc>
      </w:tr>
    </w:tbl>
    <w:p w:rsidR="00003D78" w:rsidRDefault="00003D78"/>
    <w:p w:rsidR="00443F82" w:rsidRPr="001D0582" w:rsidRDefault="0083090E">
      <w:r>
        <w:t>Thanks</w:t>
      </w:r>
      <w:r w:rsidR="00003D78">
        <w:t xml:space="preserve"> noted</w:t>
      </w:r>
      <w:r>
        <w:t xml:space="preserve"> to TMBC for hosting</w:t>
      </w:r>
    </w:p>
    <w:sectPr w:rsidR="00443F82" w:rsidRPr="001D0582" w:rsidSect="00003D78">
      <w:headerReference w:type="default" r:id="rId8"/>
      <w:footerReference w:type="default" r:id="rId9"/>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F0" w:rsidRDefault="00EF5DF0" w:rsidP="001D0582">
      <w:pPr>
        <w:spacing w:after="0" w:line="240" w:lineRule="auto"/>
      </w:pPr>
      <w:r>
        <w:separator/>
      </w:r>
    </w:p>
  </w:endnote>
  <w:endnote w:type="continuationSeparator" w:id="0">
    <w:p w:rsidR="00EF5DF0" w:rsidRDefault="00EF5DF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0C6CBB" w:rsidRDefault="000C6CBB">
        <w:pPr>
          <w:pStyle w:val="Footer"/>
          <w:jc w:val="right"/>
        </w:pPr>
        <w:r>
          <w:fldChar w:fldCharType="begin"/>
        </w:r>
        <w:r>
          <w:instrText xml:space="preserve"> PAGE   \* MERGEFORMAT </w:instrText>
        </w:r>
        <w:r>
          <w:fldChar w:fldCharType="separate"/>
        </w:r>
        <w:r w:rsidR="00DE6042">
          <w:rPr>
            <w:noProof/>
          </w:rPr>
          <w:t>1</w:t>
        </w:r>
        <w:r>
          <w:rPr>
            <w:noProof/>
          </w:rPr>
          <w:fldChar w:fldCharType="end"/>
        </w:r>
      </w:p>
    </w:sdtContent>
  </w:sdt>
  <w:p w:rsidR="000C6CBB" w:rsidRDefault="000C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F0" w:rsidRDefault="00EF5DF0" w:rsidP="001D0582">
      <w:pPr>
        <w:spacing w:after="0" w:line="240" w:lineRule="auto"/>
      </w:pPr>
      <w:r>
        <w:separator/>
      </w:r>
    </w:p>
  </w:footnote>
  <w:footnote w:type="continuationSeparator" w:id="0">
    <w:p w:rsidR="00EF5DF0" w:rsidRDefault="00EF5DF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0C6CBB" w:rsidRDefault="00DE604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52B43"/>
    <w:rsid w:val="00061235"/>
    <w:rsid w:val="00062D95"/>
    <w:rsid w:val="00080E0D"/>
    <w:rsid w:val="000871E7"/>
    <w:rsid w:val="000946BF"/>
    <w:rsid w:val="00094D7E"/>
    <w:rsid w:val="00094E6C"/>
    <w:rsid w:val="000B37B7"/>
    <w:rsid w:val="000B4C89"/>
    <w:rsid w:val="000B62C2"/>
    <w:rsid w:val="000C6CBB"/>
    <w:rsid w:val="000E6197"/>
    <w:rsid w:val="00111B2B"/>
    <w:rsid w:val="0011576E"/>
    <w:rsid w:val="001207C1"/>
    <w:rsid w:val="001262F3"/>
    <w:rsid w:val="00150D2E"/>
    <w:rsid w:val="00156EA5"/>
    <w:rsid w:val="0018150A"/>
    <w:rsid w:val="00182CF3"/>
    <w:rsid w:val="001A1975"/>
    <w:rsid w:val="001D0582"/>
    <w:rsid w:val="00200B68"/>
    <w:rsid w:val="002147E0"/>
    <w:rsid w:val="0027694D"/>
    <w:rsid w:val="00282C2D"/>
    <w:rsid w:val="00293C7B"/>
    <w:rsid w:val="002949BD"/>
    <w:rsid w:val="002B79A0"/>
    <w:rsid w:val="002C4971"/>
    <w:rsid w:val="002C49C7"/>
    <w:rsid w:val="00315A2C"/>
    <w:rsid w:val="0033294D"/>
    <w:rsid w:val="003341F6"/>
    <w:rsid w:val="003461C6"/>
    <w:rsid w:val="003525CC"/>
    <w:rsid w:val="003753FE"/>
    <w:rsid w:val="003805C2"/>
    <w:rsid w:val="003900EE"/>
    <w:rsid w:val="00391561"/>
    <w:rsid w:val="003A092E"/>
    <w:rsid w:val="003A12E5"/>
    <w:rsid w:val="003F5CB0"/>
    <w:rsid w:val="003F784E"/>
    <w:rsid w:val="004241B5"/>
    <w:rsid w:val="00435D76"/>
    <w:rsid w:val="00443F82"/>
    <w:rsid w:val="004774EB"/>
    <w:rsid w:val="00486834"/>
    <w:rsid w:val="00493424"/>
    <w:rsid w:val="004A2DD9"/>
    <w:rsid w:val="004C57A0"/>
    <w:rsid w:val="004C6484"/>
    <w:rsid w:val="004D1D2D"/>
    <w:rsid w:val="004F0546"/>
    <w:rsid w:val="00513594"/>
    <w:rsid w:val="00530946"/>
    <w:rsid w:val="005755F2"/>
    <w:rsid w:val="00596291"/>
    <w:rsid w:val="005A7FF7"/>
    <w:rsid w:val="005D1AB8"/>
    <w:rsid w:val="005D68EF"/>
    <w:rsid w:val="005F4730"/>
    <w:rsid w:val="0062646A"/>
    <w:rsid w:val="00647CA0"/>
    <w:rsid w:val="00655900"/>
    <w:rsid w:val="006A0F46"/>
    <w:rsid w:val="006D0B83"/>
    <w:rsid w:val="006D52CE"/>
    <w:rsid w:val="00707E57"/>
    <w:rsid w:val="00735129"/>
    <w:rsid w:val="007652BA"/>
    <w:rsid w:val="00791545"/>
    <w:rsid w:val="007A6F77"/>
    <w:rsid w:val="007D3984"/>
    <w:rsid w:val="007E6F98"/>
    <w:rsid w:val="00805832"/>
    <w:rsid w:val="0081451A"/>
    <w:rsid w:val="0083090E"/>
    <w:rsid w:val="008319F8"/>
    <w:rsid w:val="00843F80"/>
    <w:rsid w:val="00874B16"/>
    <w:rsid w:val="00885C4C"/>
    <w:rsid w:val="008B438C"/>
    <w:rsid w:val="008B509D"/>
    <w:rsid w:val="008E741A"/>
    <w:rsid w:val="008E7E63"/>
    <w:rsid w:val="008F1C8E"/>
    <w:rsid w:val="008F7807"/>
    <w:rsid w:val="0097052A"/>
    <w:rsid w:val="00986AB8"/>
    <w:rsid w:val="009A0630"/>
    <w:rsid w:val="009C3D93"/>
    <w:rsid w:val="009E732B"/>
    <w:rsid w:val="00A2502B"/>
    <w:rsid w:val="00A34067"/>
    <w:rsid w:val="00A74FDB"/>
    <w:rsid w:val="00A91826"/>
    <w:rsid w:val="00AC037C"/>
    <w:rsid w:val="00AF3C5C"/>
    <w:rsid w:val="00B14684"/>
    <w:rsid w:val="00B2799E"/>
    <w:rsid w:val="00B56E43"/>
    <w:rsid w:val="00B64176"/>
    <w:rsid w:val="00B77576"/>
    <w:rsid w:val="00B8529C"/>
    <w:rsid w:val="00BB1E8F"/>
    <w:rsid w:val="00BC5559"/>
    <w:rsid w:val="00BC7803"/>
    <w:rsid w:val="00BD2178"/>
    <w:rsid w:val="00BD2950"/>
    <w:rsid w:val="00BE5D7D"/>
    <w:rsid w:val="00BF07DA"/>
    <w:rsid w:val="00BF31E9"/>
    <w:rsid w:val="00C0468A"/>
    <w:rsid w:val="00C31779"/>
    <w:rsid w:val="00C70D27"/>
    <w:rsid w:val="00C8153F"/>
    <w:rsid w:val="00CA27E0"/>
    <w:rsid w:val="00CA6BFB"/>
    <w:rsid w:val="00CC19AE"/>
    <w:rsid w:val="00CC5D2C"/>
    <w:rsid w:val="00CD3142"/>
    <w:rsid w:val="00CE57BD"/>
    <w:rsid w:val="00CF109C"/>
    <w:rsid w:val="00D239CC"/>
    <w:rsid w:val="00D3313F"/>
    <w:rsid w:val="00D35225"/>
    <w:rsid w:val="00D55EE3"/>
    <w:rsid w:val="00D642D4"/>
    <w:rsid w:val="00D91063"/>
    <w:rsid w:val="00DB598E"/>
    <w:rsid w:val="00DE1832"/>
    <w:rsid w:val="00DE6042"/>
    <w:rsid w:val="00DF2FAC"/>
    <w:rsid w:val="00E02F23"/>
    <w:rsid w:val="00E128D7"/>
    <w:rsid w:val="00E45720"/>
    <w:rsid w:val="00E57AE8"/>
    <w:rsid w:val="00E72115"/>
    <w:rsid w:val="00E805A7"/>
    <w:rsid w:val="00E95894"/>
    <w:rsid w:val="00E961EC"/>
    <w:rsid w:val="00E97F02"/>
    <w:rsid w:val="00EB1CF0"/>
    <w:rsid w:val="00EF5DF0"/>
    <w:rsid w:val="00F4695A"/>
    <w:rsid w:val="00F513B0"/>
    <w:rsid w:val="00F937AB"/>
    <w:rsid w:val="00FB113B"/>
    <w:rsid w:val="00FC77C1"/>
    <w:rsid w:val="00FE4392"/>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3DC36C"/>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8120-D3CA-470F-9FF7-2B9B0199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AE168632.dotm</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2018-09-03T12:59:00Z</dcterms:created>
  <dcterms:modified xsi:type="dcterms:W3CDTF">2018-09-03T13:39:00Z</dcterms:modified>
</cp:coreProperties>
</file>