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15F" w:rsidRDefault="00DF015F" w:rsidP="00DC2DDD">
      <w:pPr>
        <w:jc w:val="center"/>
        <w:rPr>
          <w:b/>
          <w:u w:val="single"/>
        </w:rPr>
      </w:pPr>
      <w:r w:rsidRPr="00DF015F">
        <w:rPr>
          <w:b/>
          <w:u w:val="single"/>
        </w:rPr>
        <w:t>KENT HOUSING OPTIONS SUB GROUP (KHOG)</w:t>
      </w:r>
      <w:r w:rsidR="00DD4308">
        <w:rPr>
          <w:b/>
          <w:u w:val="single"/>
        </w:rPr>
        <w:t xml:space="preserve"> </w:t>
      </w:r>
      <w:r w:rsidRPr="00DF015F">
        <w:rPr>
          <w:b/>
          <w:u w:val="single"/>
        </w:rPr>
        <w:t>MEETING</w:t>
      </w:r>
      <w:r w:rsidR="00DC2DDD" w:rsidRPr="00DF015F">
        <w:rPr>
          <w:b/>
          <w:u w:val="single"/>
        </w:rPr>
        <w:t xml:space="preserve"> </w:t>
      </w:r>
    </w:p>
    <w:p w:rsidR="00DC2DDD" w:rsidRPr="00DF015F" w:rsidRDefault="00DC208F" w:rsidP="00DC2DDD">
      <w:pPr>
        <w:jc w:val="center"/>
        <w:rPr>
          <w:b/>
          <w:u w:val="single"/>
        </w:rPr>
      </w:pPr>
      <w:r>
        <w:rPr>
          <w:b/>
          <w:u w:val="single"/>
        </w:rPr>
        <w:t>13</w:t>
      </w:r>
      <w:r w:rsidRPr="00DC208F">
        <w:rPr>
          <w:b/>
          <w:u w:val="single"/>
          <w:vertAlign w:val="superscript"/>
        </w:rPr>
        <w:t>th</w:t>
      </w:r>
      <w:r>
        <w:rPr>
          <w:b/>
          <w:u w:val="single"/>
        </w:rPr>
        <w:t xml:space="preserve"> September 2018</w:t>
      </w:r>
      <w:r w:rsidR="0080322B">
        <w:rPr>
          <w:b/>
          <w:u w:val="single"/>
        </w:rPr>
        <w:t xml:space="preserve"> - </w:t>
      </w:r>
      <w:r w:rsidR="00DF015F" w:rsidRPr="00DF015F">
        <w:rPr>
          <w:b/>
          <w:u w:val="single"/>
        </w:rPr>
        <w:t>Maidstone BC Office, Maidstone House, Maidstone</w:t>
      </w:r>
    </w:p>
    <w:p w:rsidR="00527061" w:rsidRDefault="00DF015F" w:rsidP="00DF015F">
      <w:r w:rsidRPr="00DF015F">
        <w:rPr>
          <w:b/>
        </w:rPr>
        <w:t>Present:</w:t>
      </w:r>
      <w:r w:rsidR="00842D44">
        <w:rPr>
          <w:b/>
        </w:rPr>
        <w:t xml:space="preserve"> </w:t>
      </w:r>
      <w:r w:rsidR="007156DF">
        <w:t xml:space="preserve">; </w:t>
      </w:r>
      <w:r w:rsidR="007156DF" w:rsidRPr="007156DF">
        <w:t>Jane Smither, Chair and T &amp; M BC;</w:t>
      </w:r>
      <w:r w:rsidR="007156DF" w:rsidRPr="007156DF">
        <w:rPr>
          <w:b/>
        </w:rPr>
        <w:t xml:space="preserve"> </w:t>
      </w:r>
      <w:r w:rsidR="00842D44" w:rsidRPr="007B1A6D">
        <w:t>Marie Gerald,</w:t>
      </w:r>
      <w:r w:rsidR="00905C95">
        <w:t xml:space="preserve"> Vice Chair &amp;</w:t>
      </w:r>
      <w:r w:rsidR="00842D44" w:rsidRPr="007B1A6D">
        <w:t xml:space="preserve"> Dartford BC</w:t>
      </w:r>
      <w:r w:rsidR="007330A4">
        <w:t xml:space="preserve">, </w:t>
      </w:r>
      <w:r w:rsidR="00471DD9">
        <w:t>Ray O’Shea</w:t>
      </w:r>
      <w:r w:rsidR="00C775CC">
        <w:t>, Ashford</w:t>
      </w:r>
      <w:r w:rsidR="00471DD9">
        <w:t xml:space="preserve"> BC;</w:t>
      </w:r>
      <w:r w:rsidR="00C775CC">
        <w:t xml:space="preserve"> Elly Toye</w:t>
      </w:r>
      <w:r w:rsidR="00905C95">
        <w:t xml:space="preserve"> &amp; Pam Millington</w:t>
      </w:r>
      <w:r w:rsidR="00C775CC">
        <w:t xml:space="preserve">, Dover; </w:t>
      </w:r>
      <w:r w:rsidR="00C873FB">
        <w:t>Jane Lang, TWBC; Stuart Clifton, Maidstone Borough Council; Mark Damiral, F&amp;HDC; Lynn Wilders, Gravesham BC; Vicky Hodson, Kent Homechoice</w:t>
      </w:r>
      <w:r w:rsidR="00451A7A">
        <w:t>;</w:t>
      </w:r>
      <w:r w:rsidR="00905C95">
        <w:t xml:space="preserve"> Zoe Callaway, Swale BC;</w:t>
      </w:r>
      <w:r w:rsidR="00471DD9">
        <w:t xml:space="preserve"> Deborah White, WKHA and KHOG Mentor;</w:t>
      </w:r>
      <w:r w:rsidR="009A08A6">
        <w:t xml:space="preserve"> </w:t>
      </w:r>
      <w:r w:rsidR="00AA0992">
        <w:t xml:space="preserve">Franky Roma, Medway Council; Lora McCourt, Canterbury CC; Vicky May, Thanet DC; </w:t>
      </w:r>
    </w:p>
    <w:p w:rsidR="0080322B" w:rsidRDefault="00DF015F" w:rsidP="00DF015F">
      <w:pPr>
        <w:rPr>
          <w:b/>
        </w:rPr>
      </w:pPr>
      <w:r>
        <w:rPr>
          <w:b/>
        </w:rPr>
        <w:t>Apologies</w:t>
      </w:r>
      <w:r w:rsidR="007330A4">
        <w:rPr>
          <w:b/>
        </w:rPr>
        <w:t xml:space="preserve">: </w:t>
      </w:r>
      <w:r w:rsidR="00905C95" w:rsidRPr="00905C95">
        <w:t>Josh Mitchell, KCC CRC</w:t>
      </w:r>
      <w:r w:rsidR="00471DD9">
        <w:t>; Roxanne Sheppard, Swale BC;</w:t>
      </w:r>
    </w:p>
    <w:p w:rsidR="00D03CE7" w:rsidRPr="00D03CE7" w:rsidRDefault="00D03CE7" w:rsidP="00DF015F">
      <w:r>
        <w:rPr>
          <w:b/>
        </w:rPr>
        <w:t xml:space="preserve">Guests: </w:t>
      </w:r>
      <w:r>
        <w:t xml:space="preserve"> </w:t>
      </w:r>
      <w:r w:rsidR="00C873FB">
        <w:t xml:space="preserve">Richard Williams, MHCLG; </w:t>
      </w:r>
      <w:r w:rsidR="00905C95">
        <w:t>Sara Pennington, HMP El</w:t>
      </w:r>
      <w:r w:rsidR="00DC208F">
        <w:t>mley; Maria Love</w:t>
      </w:r>
      <w:r w:rsidR="00DC1938">
        <w:t>, Tom Berrisford</w:t>
      </w:r>
      <w:bookmarkStart w:id="0" w:name="_GoBack"/>
      <w:bookmarkEnd w:id="0"/>
      <w:r w:rsidR="00DC208F">
        <w:t xml:space="preserve"> &amp; Claire Wills </w:t>
      </w:r>
      <w:r w:rsidR="00905C95">
        <w:t>(NACRO)</w:t>
      </w:r>
    </w:p>
    <w:tbl>
      <w:tblPr>
        <w:tblStyle w:val="TableGrid"/>
        <w:tblW w:w="15339" w:type="dxa"/>
        <w:tblInd w:w="-743" w:type="dxa"/>
        <w:tblLook w:val="04A0" w:firstRow="1" w:lastRow="0" w:firstColumn="1" w:lastColumn="0" w:noHBand="0" w:noVBand="1"/>
      </w:tblPr>
      <w:tblGrid>
        <w:gridCol w:w="1587"/>
        <w:gridCol w:w="9284"/>
        <w:gridCol w:w="1122"/>
        <w:gridCol w:w="1289"/>
        <w:gridCol w:w="2057"/>
      </w:tblGrid>
      <w:tr w:rsidR="00432F07" w:rsidRPr="00745BAC" w:rsidTr="004A6165">
        <w:tc>
          <w:tcPr>
            <w:tcW w:w="1588" w:type="dxa"/>
            <w:shd w:val="clear" w:color="auto" w:fill="DBE5F1" w:themeFill="accent1" w:themeFillTint="33"/>
          </w:tcPr>
          <w:p w:rsidR="00432F07" w:rsidRPr="00745BAC" w:rsidRDefault="00432F07" w:rsidP="002B184E">
            <w:pPr>
              <w:jc w:val="center"/>
              <w:rPr>
                <w:b/>
              </w:rPr>
            </w:pPr>
            <w:r w:rsidRPr="00745BAC">
              <w:rPr>
                <w:b/>
              </w:rPr>
              <w:t>Reference</w:t>
            </w:r>
          </w:p>
        </w:tc>
        <w:tc>
          <w:tcPr>
            <w:tcW w:w="9498"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896" w:type="dxa"/>
            <w:shd w:val="clear" w:color="auto" w:fill="DBE5F1" w:themeFill="accent1" w:themeFillTint="33"/>
          </w:tcPr>
          <w:p w:rsidR="00432F07" w:rsidRPr="00745BAC" w:rsidRDefault="00432F07" w:rsidP="002B184E">
            <w:pPr>
              <w:jc w:val="center"/>
              <w:rPr>
                <w:b/>
              </w:rPr>
            </w:pPr>
            <w:r w:rsidRPr="00745BAC">
              <w:rPr>
                <w:b/>
              </w:rPr>
              <w:t>Timescale</w:t>
            </w:r>
          </w:p>
        </w:tc>
        <w:tc>
          <w:tcPr>
            <w:tcW w:w="1289" w:type="dxa"/>
            <w:shd w:val="clear" w:color="auto" w:fill="DBE5F1" w:themeFill="accent1" w:themeFillTint="33"/>
          </w:tcPr>
          <w:p w:rsidR="00432F07" w:rsidRPr="00745BAC" w:rsidRDefault="00432F07" w:rsidP="002B184E">
            <w:pPr>
              <w:jc w:val="center"/>
              <w:rPr>
                <w:b/>
              </w:rPr>
            </w:pPr>
            <w:r w:rsidRPr="00745BAC">
              <w:rPr>
                <w:b/>
              </w:rPr>
              <w:t>Lead person</w:t>
            </w:r>
          </w:p>
        </w:tc>
        <w:tc>
          <w:tcPr>
            <w:tcW w:w="2068" w:type="dxa"/>
            <w:shd w:val="clear" w:color="auto" w:fill="DBE5F1" w:themeFill="accent1" w:themeFillTint="33"/>
          </w:tcPr>
          <w:p w:rsidR="00432F07" w:rsidRPr="00745BAC" w:rsidRDefault="00164913" w:rsidP="002B184E">
            <w:pPr>
              <w:jc w:val="center"/>
              <w:rPr>
                <w:b/>
              </w:rPr>
            </w:pPr>
            <w:r w:rsidRPr="00745BAC">
              <w:rPr>
                <w:b/>
              </w:rPr>
              <w:t>Action/Decision</w:t>
            </w:r>
          </w:p>
        </w:tc>
      </w:tr>
      <w:tr w:rsidR="00527061" w:rsidRPr="00745BAC" w:rsidTr="004A6165">
        <w:tc>
          <w:tcPr>
            <w:tcW w:w="1588" w:type="dxa"/>
          </w:tcPr>
          <w:p w:rsidR="00527061" w:rsidRDefault="00527061" w:rsidP="00754D2D">
            <w:pPr>
              <w:rPr>
                <w:b/>
              </w:rPr>
            </w:pPr>
            <w:r>
              <w:rPr>
                <w:b/>
              </w:rPr>
              <w:t xml:space="preserve">Action log from Meeting </w:t>
            </w:r>
          </w:p>
          <w:p w:rsidR="00527061" w:rsidRPr="00DD4308" w:rsidRDefault="00DC208F" w:rsidP="0080322B">
            <w:pPr>
              <w:rPr>
                <w:b/>
              </w:rPr>
            </w:pPr>
            <w:r>
              <w:rPr>
                <w:b/>
              </w:rPr>
              <w:t>21</w:t>
            </w:r>
            <w:r w:rsidR="0080322B">
              <w:rPr>
                <w:b/>
              </w:rPr>
              <w:t xml:space="preserve"> June</w:t>
            </w:r>
            <w:r w:rsidR="00427D3E">
              <w:rPr>
                <w:b/>
              </w:rPr>
              <w:t xml:space="preserve"> 2018</w:t>
            </w:r>
          </w:p>
        </w:tc>
        <w:tc>
          <w:tcPr>
            <w:tcW w:w="9498" w:type="dxa"/>
            <w:shd w:val="clear" w:color="auto" w:fill="auto"/>
          </w:tcPr>
          <w:p w:rsidR="00905C95" w:rsidRDefault="00905C95" w:rsidP="00427D3E">
            <w:r w:rsidRPr="00734D65">
              <w:rPr>
                <w:b/>
              </w:rPr>
              <w:t>Reconnection Policy</w:t>
            </w:r>
            <w:r>
              <w:t xml:space="preserve"> –unaware of outcome of commissioning, will discuss once known MA.</w:t>
            </w:r>
          </w:p>
          <w:p w:rsidR="00905C95" w:rsidRDefault="00905C95" w:rsidP="00427D3E"/>
          <w:p w:rsidR="00905C95" w:rsidRDefault="00905C95" w:rsidP="00427D3E">
            <w:r w:rsidRPr="00734D65">
              <w:rPr>
                <w:b/>
              </w:rPr>
              <w:t>Reciprocal Policies</w:t>
            </w:r>
            <w:r>
              <w:t xml:space="preserve"> –to be passed to Vice Chair to be picked up for action</w:t>
            </w:r>
          </w:p>
          <w:p w:rsidR="00905C95" w:rsidRDefault="00905C95" w:rsidP="00427D3E"/>
          <w:p w:rsidR="00905C95" w:rsidRDefault="00905C95" w:rsidP="00427D3E">
            <w:r w:rsidRPr="00734D65">
              <w:rPr>
                <w:b/>
              </w:rPr>
              <w:t>Protocols</w:t>
            </w:r>
            <w:r>
              <w:t xml:space="preserve"> to remain on the agenda as a standing item.</w:t>
            </w:r>
          </w:p>
          <w:p w:rsidR="00905C95" w:rsidRDefault="00905C95" w:rsidP="00427D3E"/>
          <w:p w:rsidR="00905C95" w:rsidRDefault="00905C95" w:rsidP="00427D3E">
            <w:r w:rsidRPr="00734D65">
              <w:rPr>
                <w:b/>
              </w:rPr>
              <w:t>Homelessness Prevention Tool</w:t>
            </w:r>
            <w:r>
              <w:t xml:space="preserve"> – being used by some colleagues, a decision on purchasing to be made soon, would be £1k approximately per authority.  </w:t>
            </w:r>
            <w:r w:rsidR="00734D65">
              <w:t>Feedback is that is simple to use, one element due for implementation soon (finding affordable properties), DDC are using regularly.  The visual tool regarding expenditure is very useful.  Need to establish if the cost is per annum or one off cost.</w:t>
            </w:r>
          </w:p>
          <w:p w:rsidR="00734D65" w:rsidRDefault="00734D65" w:rsidP="00427D3E"/>
          <w:p w:rsidR="00734D65" w:rsidRDefault="00734D65" w:rsidP="00427D3E">
            <w:r w:rsidRPr="00734D65">
              <w:rPr>
                <w:b/>
              </w:rPr>
              <w:t>Out of London Placements</w:t>
            </w:r>
            <w:r>
              <w:t xml:space="preserve"> – too costly for local authorities, it was agreed to contact KCC and London Councils to see if they would share the costing.</w:t>
            </w:r>
          </w:p>
          <w:p w:rsidR="00734D65" w:rsidRDefault="00734D65" w:rsidP="00427D3E"/>
          <w:p w:rsidR="00734D65" w:rsidRDefault="00734D65" w:rsidP="00427D3E">
            <w:r w:rsidRPr="00734D65">
              <w:rPr>
                <w:b/>
              </w:rPr>
              <w:t>Terms of Reference</w:t>
            </w:r>
            <w:r>
              <w:t xml:space="preserve"> – updated and shared with KHOG.  </w:t>
            </w:r>
          </w:p>
          <w:p w:rsidR="004A6165" w:rsidRDefault="004A6165" w:rsidP="00427D3E">
            <w:pPr>
              <w:rPr>
                <w:b/>
              </w:rPr>
            </w:pPr>
          </w:p>
          <w:p w:rsidR="00734D65" w:rsidRDefault="00734D65" w:rsidP="00427D3E">
            <w:r w:rsidRPr="00734D65">
              <w:rPr>
                <w:b/>
              </w:rPr>
              <w:lastRenderedPageBreak/>
              <w:t>Protocols</w:t>
            </w:r>
            <w:r>
              <w:t xml:space="preserve"> – to be monitored as they are required and KHOG to liaise with KHG EXB about resources to get protocols developed, the Intentionally Homelessness Protocol needs re writing.</w:t>
            </w:r>
            <w:r w:rsidR="007965F9">
              <w:t xml:space="preserve">  The protocol could look to identify high risk families, RW to share examples of existing policies.</w:t>
            </w:r>
          </w:p>
          <w:p w:rsidR="00734D65" w:rsidRDefault="00734D65" w:rsidP="00427D3E">
            <w:r w:rsidRPr="00734D65">
              <w:rPr>
                <w:b/>
              </w:rPr>
              <w:t>Case Law</w:t>
            </w:r>
            <w:r>
              <w:t xml:space="preserve"> –</w:t>
            </w:r>
            <w:r w:rsidR="007965F9">
              <w:t xml:space="preserve"> this current accounts case law has been delayed until February 2019.</w:t>
            </w:r>
          </w:p>
          <w:p w:rsidR="00734D65" w:rsidRDefault="00734D65" w:rsidP="00427D3E"/>
          <w:p w:rsidR="007965F9" w:rsidRPr="006556BA" w:rsidRDefault="007965F9" w:rsidP="00427D3E">
            <w:pPr>
              <w:rPr>
                <w:b/>
              </w:rPr>
            </w:pPr>
            <w:r>
              <w:rPr>
                <w:b/>
              </w:rPr>
              <w:t xml:space="preserve">Training </w:t>
            </w:r>
            <w:r w:rsidRPr="007965F9">
              <w:t>– any spaces on forth coming sessions to be offered out to colleagues.</w:t>
            </w:r>
          </w:p>
        </w:tc>
        <w:tc>
          <w:tcPr>
            <w:tcW w:w="896" w:type="dxa"/>
            <w:shd w:val="clear" w:color="auto" w:fill="auto"/>
          </w:tcPr>
          <w:p w:rsidR="00BD14A6" w:rsidRDefault="00BD14A6" w:rsidP="008669A9"/>
          <w:p w:rsidR="00734D65" w:rsidRDefault="00734D65" w:rsidP="008669A9"/>
          <w:p w:rsidR="00734D65" w:rsidRDefault="00734D65" w:rsidP="008669A9"/>
          <w:p w:rsidR="00734D65" w:rsidRDefault="00734D65" w:rsidP="008669A9"/>
          <w:p w:rsidR="00734D65" w:rsidRDefault="00734D65" w:rsidP="008669A9"/>
          <w:p w:rsidR="00734D65" w:rsidRDefault="00734D65" w:rsidP="008669A9"/>
          <w:p w:rsidR="00734D65" w:rsidRDefault="00734D65" w:rsidP="008669A9"/>
          <w:p w:rsidR="00734D65" w:rsidRDefault="00734D65" w:rsidP="008669A9"/>
          <w:p w:rsidR="00734D65" w:rsidRDefault="00734D65" w:rsidP="008669A9"/>
          <w:p w:rsidR="00734D65" w:rsidRDefault="00734D65" w:rsidP="008669A9"/>
          <w:p w:rsidR="00734D65" w:rsidRDefault="00734D65" w:rsidP="008669A9"/>
          <w:p w:rsidR="00734D65" w:rsidRDefault="00734D65" w:rsidP="008669A9"/>
          <w:p w:rsidR="00734D65" w:rsidRDefault="00734D65" w:rsidP="008669A9"/>
          <w:p w:rsidR="00734D65" w:rsidRDefault="00734D65" w:rsidP="008669A9"/>
          <w:p w:rsidR="00734D65" w:rsidRDefault="00734D65" w:rsidP="008669A9"/>
          <w:p w:rsidR="00734D65" w:rsidRDefault="00734D65" w:rsidP="008669A9"/>
          <w:p w:rsidR="00734D65" w:rsidRDefault="00734D65" w:rsidP="008669A9"/>
          <w:p w:rsidR="00734D65" w:rsidRDefault="00734D65" w:rsidP="008669A9"/>
          <w:p w:rsidR="00734D65" w:rsidRDefault="00734D65" w:rsidP="008669A9"/>
          <w:p w:rsidR="00734D65" w:rsidRPr="00745BAC" w:rsidRDefault="00734D65" w:rsidP="008669A9"/>
        </w:tc>
        <w:tc>
          <w:tcPr>
            <w:tcW w:w="1289" w:type="dxa"/>
            <w:shd w:val="clear" w:color="auto" w:fill="auto"/>
          </w:tcPr>
          <w:p w:rsidR="00734D65" w:rsidRDefault="00734D65" w:rsidP="008669A9">
            <w:pPr>
              <w:jc w:val="both"/>
              <w:rPr>
                <w:b/>
              </w:rPr>
            </w:pPr>
            <w:r>
              <w:rPr>
                <w:b/>
              </w:rPr>
              <w:lastRenderedPageBreak/>
              <w:t>MA</w:t>
            </w:r>
          </w:p>
          <w:p w:rsidR="00734D65" w:rsidRDefault="00734D65" w:rsidP="008669A9">
            <w:pPr>
              <w:jc w:val="both"/>
              <w:rPr>
                <w:b/>
              </w:rPr>
            </w:pPr>
          </w:p>
          <w:p w:rsidR="00734D65" w:rsidRDefault="00734D65" w:rsidP="008669A9">
            <w:pPr>
              <w:jc w:val="both"/>
              <w:rPr>
                <w:b/>
              </w:rPr>
            </w:pPr>
            <w:r>
              <w:rPr>
                <w:b/>
              </w:rPr>
              <w:t>MG</w:t>
            </w:r>
          </w:p>
          <w:p w:rsidR="00734D65" w:rsidRDefault="00734D65" w:rsidP="008669A9">
            <w:pPr>
              <w:jc w:val="both"/>
              <w:rPr>
                <w:b/>
              </w:rPr>
            </w:pPr>
          </w:p>
          <w:p w:rsidR="00734D65" w:rsidRDefault="00734D65" w:rsidP="008669A9">
            <w:pPr>
              <w:jc w:val="both"/>
              <w:rPr>
                <w:b/>
              </w:rPr>
            </w:pPr>
            <w:r>
              <w:rPr>
                <w:b/>
              </w:rPr>
              <w:t>RS</w:t>
            </w:r>
          </w:p>
          <w:p w:rsidR="00734D65" w:rsidRDefault="00734D65" w:rsidP="008669A9">
            <w:pPr>
              <w:jc w:val="both"/>
              <w:rPr>
                <w:b/>
              </w:rPr>
            </w:pPr>
          </w:p>
          <w:p w:rsidR="00734D65" w:rsidRDefault="00734D65" w:rsidP="008669A9">
            <w:pPr>
              <w:jc w:val="both"/>
              <w:rPr>
                <w:b/>
              </w:rPr>
            </w:pPr>
          </w:p>
          <w:p w:rsidR="00734D65" w:rsidRDefault="00734D65" w:rsidP="008669A9">
            <w:pPr>
              <w:jc w:val="both"/>
              <w:rPr>
                <w:b/>
              </w:rPr>
            </w:pPr>
            <w:r>
              <w:rPr>
                <w:b/>
              </w:rPr>
              <w:t>MG/ALL</w:t>
            </w:r>
          </w:p>
          <w:p w:rsidR="00734D65" w:rsidRDefault="00734D65" w:rsidP="008669A9">
            <w:pPr>
              <w:jc w:val="both"/>
              <w:rPr>
                <w:b/>
              </w:rPr>
            </w:pPr>
          </w:p>
          <w:p w:rsidR="00734D65" w:rsidRDefault="00734D65" w:rsidP="008669A9">
            <w:pPr>
              <w:jc w:val="both"/>
              <w:rPr>
                <w:b/>
              </w:rPr>
            </w:pPr>
          </w:p>
          <w:p w:rsidR="00734D65" w:rsidRDefault="00734D65" w:rsidP="008669A9">
            <w:pPr>
              <w:jc w:val="both"/>
              <w:rPr>
                <w:b/>
              </w:rPr>
            </w:pPr>
          </w:p>
          <w:p w:rsidR="00734D65" w:rsidRDefault="00734D65" w:rsidP="008669A9">
            <w:pPr>
              <w:jc w:val="both"/>
              <w:rPr>
                <w:b/>
              </w:rPr>
            </w:pPr>
          </w:p>
          <w:p w:rsidR="00734D65" w:rsidRDefault="00734D65" w:rsidP="008669A9">
            <w:pPr>
              <w:jc w:val="both"/>
              <w:rPr>
                <w:b/>
              </w:rPr>
            </w:pPr>
            <w:r>
              <w:rPr>
                <w:b/>
              </w:rPr>
              <w:t>MG</w:t>
            </w:r>
          </w:p>
          <w:p w:rsidR="00734D65" w:rsidRDefault="00734D65" w:rsidP="008669A9">
            <w:pPr>
              <w:jc w:val="both"/>
              <w:rPr>
                <w:b/>
              </w:rPr>
            </w:pPr>
          </w:p>
          <w:p w:rsidR="00734D65" w:rsidRDefault="00734D65" w:rsidP="008669A9">
            <w:pPr>
              <w:jc w:val="both"/>
              <w:rPr>
                <w:b/>
              </w:rPr>
            </w:pPr>
          </w:p>
          <w:p w:rsidR="00734D65" w:rsidRDefault="00734D65" w:rsidP="008669A9">
            <w:pPr>
              <w:jc w:val="both"/>
              <w:rPr>
                <w:b/>
              </w:rPr>
            </w:pPr>
            <w:r>
              <w:rPr>
                <w:b/>
              </w:rPr>
              <w:t>RS</w:t>
            </w:r>
          </w:p>
          <w:p w:rsidR="00734D65" w:rsidRDefault="00734D65" w:rsidP="008669A9">
            <w:pPr>
              <w:jc w:val="both"/>
              <w:rPr>
                <w:b/>
              </w:rPr>
            </w:pPr>
          </w:p>
          <w:p w:rsidR="00734D65" w:rsidRDefault="00734D65" w:rsidP="008669A9">
            <w:pPr>
              <w:jc w:val="both"/>
              <w:rPr>
                <w:b/>
              </w:rPr>
            </w:pPr>
          </w:p>
          <w:p w:rsidR="004A6165" w:rsidRDefault="004A6165" w:rsidP="008669A9">
            <w:pPr>
              <w:jc w:val="both"/>
              <w:rPr>
                <w:b/>
              </w:rPr>
            </w:pPr>
          </w:p>
          <w:p w:rsidR="00734D65" w:rsidRDefault="00734D65" w:rsidP="008669A9">
            <w:pPr>
              <w:jc w:val="both"/>
              <w:rPr>
                <w:b/>
              </w:rPr>
            </w:pPr>
            <w:r>
              <w:rPr>
                <w:b/>
              </w:rPr>
              <w:lastRenderedPageBreak/>
              <w:t>MG/RS</w:t>
            </w:r>
            <w:r w:rsidR="007965F9">
              <w:rPr>
                <w:b/>
              </w:rPr>
              <w:t>/RW</w:t>
            </w:r>
          </w:p>
          <w:p w:rsidR="004A6165" w:rsidRDefault="004A6165" w:rsidP="008669A9">
            <w:pPr>
              <w:jc w:val="both"/>
              <w:rPr>
                <w:b/>
              </w:rPr>
            </w:pPr>
          </w:p>
          <w:p w:rsidR="004A6165" w:rsidRDefault="004A6165" w:rsidP="008669A9">
            <w:pPr>
              <w:jc w:val="both"/>
              <w:rPr>
                <w:b/>
              </w:rPr>
            </w:pPr>
          </w:p>
          <w:p w:rsidR="004A6165" w:rsidRDefault="004A6165" w:rsidP="008669A9">
            <w:pPr>
              <w:jc w:val="both"/>
              <w:rPr>
                <w:b/>
              </w:rPr>
            </w:pPr>
          </w:p>
          <w:p w:rsidR="004A6165" w:rsidRDefault="004A6165" w:rsidP="008669A9">
            <w:pPr>
              <w:jc w:val="both"/>
              <w:rPr>
                <w:b/>
              </w:rPr>
            </w:pPr>
          </w:p>
          <w:p w:rsidR="007965F9" w:rsidRPr="00BA3231" w:rsidRDefault="007965F9" w:rsidP="008669A9">
            <w:pPr>
              <w:jc w:val="both"/>
              <w:rPr>
                <w:b/>
              </w:rPr>
            </w:pPr>
            <w:r>
              <w:rPr>
                <w:b/>
              </w:rPr>
              <w:t>ALL</w:t>
            </w:r>
          </w:p>
        </w:tc>
        <w:tc>
          <w:tcPr>
            <w:tcW w:w="2068" w:type="dxa"/>
            <w:shd w:val="clear" w:color="auto" w:fill="auto"/>
          </w:tcPr>
          <w:p w:rsidR="00734D65" w:rsidRPr="006556BA" w:rsidRDefault="00734D65" w:rsidP="00311C62">
            <w:pPr>
              <w:rPr>
                <w:color w:val="FF0000"/>
              </w:rPr>
            </w:pPr>
            <w:r w:rsidRPr="006556BA">
              <w:rPr>
                <w:color w:val="FF0000"/>
              </w:rPr>
              <w:lastRenderedPageBreak/>
              <w:t>MA to feedback</w:t>
            </w:r>
          </w:p>
          <w:p w:rsidR="00734D65" w:rsidRPr="006556BA" w:rsidRDefault="00734D65" w:rsidP="00311C62">
            <w:pPr>
              <w:rPr>
                <w:color w:val="FF0000"/>
              </w:rPr>
            </w:pPr>
          </w:p>
          <w:p w:rsidR="00734D65" w:rsidRPr="006556BA" w:rsidRDefault="00734D65" w:rsidP="00311C62">
            <w:pPr>
              <w:rPr>
                <w:color w:val="FF0000"/>
              </w:rPr>
            </w:pPr>
            <w:r w:rsidRPr="006556BA">
              <w:rPr>
                <w:color w:val="FF0000"/>
              </w:rPr>
              <w:t>MG to</w:t>
            </w:r>
            <w:r w:rsidR="00DC208F">
              <w:rPr>
                <w:color w:val="FF0000"/>
              </w:rPr>
              <w:t xml:space="preserve"> take forward</w:t>
            </w:r>
            <w:r w:rsidRPr="006556BA">
              <w:rPr>
                <w:color w:val="FF0000"/>
              </w:rPr>
              <w:t xml:space="preserve"> </w:t>
            </w:r>
          </w:p>
          <w:p w:rsidR="00734D65" w:rsidRPr="006556BA" w:rsidRDefault="00734D65" w:rsidP="00311C62">
            <w:pPr>
              <w:rPr>
                <w:color w:val="FF0000"/>
              </w:rPr>
            </w:pPr>
          </w:p>
          <w:p w:rsidR="00734D65" w:rsidRPr="006556BA" w:rsidRDefault="00DC208F" w:rsidP="00311C62">
            <w:pPr>
              <w:rPr>
                <w:color w:val="FF0000"/>
              </w:rPr>
            </w:pPr>
            <w:r>
              <w:rPr>
                <w:color w:val="FF0000"/>
              </w:rPr>
              <w:t>To note for future agenda</w:t>
            </w:r>
          </w:p>
          <w:p w:rsidR="00734D65" w:rsidRPr="006556BA" w:rsidRDefault="00734D65" w:rsidP="00311C62">
            <w:pPr>
              <w:rPr>
                <w:color w:val="FF0000"/>
              </w:rPr>
            </w:pPr>
          </w:p>
          <w:p w:rsidR="00734D65" w:rsidRPr="006556BA" w:rsidRDefault="00734D65" w:rsidP="00311C62">
            <w:pPr>
              <w:rPr>
                <w:color w:val="FF0000"/>
              </w:rPr>
            </w:pPr>
            <w:r w:rsidRPr="006556BA">
              <w:rPr>
                <w:color w:val="FF0000"/>
              </w:rPr>
              <w:t>Establish costing &amp; any feedback about use of the tool.</w:t>
            </w:r>
          </w:p>
          <w:p w:rsidR="00734D65" w:rsidRPr="006556BA" w:rsidRDefault="00734D65" w:rsidP="00311C62">
            <w:pPr>
              <w:rPr>
                <w:color w:val="FF0000"/>
              </w:rPr>
            </w:pPr>
          </w:p>
          <w:p w:rsidR="00734D65" w:rsidRPr="006556BA" w:rsidRDefault="00734D65" w:rsidP="00311C62">
            <w:pPr>
              <w:rPr>
                <w:color w:val="FF0000"/>
              </w:rPr>
            </w:pPr>
          </w:p>
          <w:p w:rsidR="00734D65" w:rsidRPr="006556BA" w:rsidRDefault="00734D65" w:rsidP="00311C62">
            <w:pPr>
              <w:rPr>
                <w:color w:val="FF0000"/>
              </w:rPr>
            </w:pPr>
            <w:r w:rsidRPr="006556BA">
              <w:rPr>
                <w:color w:val="FF0000"/>
              </w:rPr>
              <w:t>Contact KCC about sharing cost with London Councils</w:t>
            </w:r>
          </w:p>
          <w:p w:rsidR="00734D65" w:rsidRPr="006556BA" w:rsidRDefault="00734D65" w:rsidP="00311C62">
            <w:pPr>
              <w:rPr>
                <w:color w:val="FF0000"/>
              </w:rPr>
            </w:pPr>
          </w:p>
          <w:p w:rsidR="00734D65" w:rsidRPr="006556BA" w:rsidRDefault="00734D65" w:rsidP="00311C62">
            <w:pPr>
              <w:rPr>
                <w:color w:val="FF0000"/>
              </w:rPr>
            </w:pPr>
            <w:r w:rsidRPr="006556BA">
              <w:rPr>
                <w:color w:val="FF0000"/>
              </w:rPr>
              <w:t>Share ToR with action log</w:t>
            </w:r>
          </w:p>
          <w:p w:rsidR="00734D65" w:rsidRPr="006556BA" w:rsidRDefault="00734D65" w:rsidP="00311C62">
            <w:pPr>
              <w:rPr>
                <w:color w:val="FF0000"/>
              </w:rPr>
            </w:pPr>
          </w:p>
          <w:p w:rsidR="00734D65" w:rsidRPr="006556BA" w:rsidRDefault="00734D65" w:rsidP="00311C62">
            <w:pPr>
              <w:rPr>
                <w:color w:val="FF0000"/>
              </w:rPr>
            </w:pPr>
            <w:r w:rsidRPr="006556BA">
              <w:rPr>
                <w:color w:val="FF0000"/>
              </w:rPr>
              <w:lastRenderedPageBreak/>
              <w:t>Meet &amp; scope actions to re write</w:t>
            </w:r>
          </w:p>
          <w:p w:rsidR="007965F9" w:rsidRDefault="007965F9" w:rsidP="00311C62"/>
          <w:p w:rsidR="007965F9" w:rsidRDefault="007965F9" w:rsidP="00311C62"/>
          <w:p w:rsidR="006556BA" w:rsidRDefault="006556BA" w:rsidP="00311C62"/>
          <w:p w:rsidR="00DC208F" w:rsidRPr="00DC208F" w:rsidRDefault="00DC208F" w:rsidP="00311C62">
            <w:pPr>
              <w:rPr>
                <w:color w:val="FF0000"/>
              </w:rPr>
            </w:pPr>
            <w:r w:rsidRPr="00DC208F">
              <w:rPr>
                <w:color w:val="FF0000"/>
              </w:rPr>
              <w:t>As required</w:t>
            </w:r>
          </w:p>
          <w:p w:rsidR="007965F9" w:rsidRPr="00745BAC" w:rsidRDefault="007965F9" w:rsidP="00311C62"/>
        </w:tc>
      </w:tr>
      <w:tr w:rsidR="00527061" w:rsidRPr="00745BAC" w:rsidTr="004A6165">
        <w:tc>
          <w:tcPr>
            <w:tcW w:w="1588" w:type="dxa"/>
          </w:tcPr>
          <w:p w:rsidR="00527061" w:rsidRPr="00DD4308" w:rsidRDefault="0080322B" w:rsidP="009E49FB">
            <w:pPr>
              <w:rPr>
                <w:b/>
              </w:rPr>
            </w:pPr>
            <w:r>
              <w:rPr>
                <w:b/>
              </w:rPr>
              <w:lastRenderedPageBreak/>
              <w:t>HRA &amp; Impact on Offenders leaving prison</w:t>
            </w:r>
          </w:p>
        </w:tc>
        <w:tc>
          <w:tcPr>
            <w:tcW w:w="9498" w:type="dxa"/>
            <w:shd w:val="clear" w:color="auto" w:fill="auto"/>
          </w:tcPr>
          <w:p w:rsidR="00E462BB" w:rsidRDefault="00E462BB" w:rsidP="00800E06">
            <w:r>
              <w:t>Context se</w:t>
            </w:r>
            <w:r w:rsidR="00A87C6C">
              <w:t>t by Governor of Elmley Prison</w:t>
            </w:r>
            <w:r>
              <w:t xml:space="preserve"> </w:t>
            </w:r>
            <w:r w:rsidR="00A87C6C">
              <w:t xml:space="preserve">(Elmley is a remand prison). </w:t>
            </w:r>
            <w:r>
              <w:t xml:space="preserve">Want to make the most of the new duty and housing offenders when they are released.  Huge through put, 200 – 220 released every month and 75% referred to NACRO and half will be NFA.   Average sentence length is 14-16 weeks, spike in 14 and 28 day recalls, changing population of prisoners with elderly prisoners and sex offenders.  There are other prisons in Kent with similar issues, both men and women’s prisons.  </w:t>
            </w:r>
            <w:r w:rsidRPr="006556BA">
              <w:rPr>
                <w:b/>
              </w:rPr>
              <w:t>Constraints faced by prisons</w:t>
            </w:r>
            <w:r>
              <w:t xml:space="preserve"> - Limited internet access in the prison for staff, and virtually none for prisoner, space limited, scanners are being introduced to assist.  Short core day when men are unlocked and available to interview, lock downs etc.  Breaking the cycle with access to housing is critical.</w:t>
            </w:r>
          </w:p>
          <w:p w:rsidR="00E462BB" w:rsidRDefault="00E462BB" w:rsidP="00800E06"/>
          <w:p w:rsidR="00E462BB" w:rsidRDefault="00E462BB" w:rsidP="00800E06">
            <w:r w:rsidRPr="006556BA">
              <w:rPr>
                <w:b/>
              </w:rPr>
              <w:t>NACRO</w:t>
            </w:r>
            <w:r>
              <w:t xml:space="preserve"> – based in prisons and funded by the KSS CRC and look after those who are NFA.  Really struggling with housing for offenders leaving custody.  Referrals through to NACRO 12 weeks prior to release, often they are at 5 days or two weeks.  In this time they are met, assessed, referred to local authority housing teams or other housing options.  A lack of response from housing options can delay the process.  Telephone assessments are difficult in the prison setting.  </w:t>
            </w:r>
            <w:r w:rsidR="0098697A">
              <w:t xml:space="preserve">Referrals are being emailed with posting of signed copies via recorded delivery.  Limited feedback from housing options, have received some PHP.  </w:t>
            </w:r>
            <w:r w:rsidR="00A87C6C">
              <w:t>What do housing options need from NACRO and can help the process?  Case studies shared.</w:t>
            </w:r>
            <w:r w:rsidR="0094414E">
              <w:t xml:space="preserve">  All prisoners are vulnerable, the HRA doesn’t specify that all prisoners are eligible for assistance under the HRA.</w:t>
            </w:r>
          </w:p>
          <w:p w:rsidR="00A87C6C" w:rsidRDefault="00A87C6C" w:rsidP="00800E06"/>
          <w:p w:rsidR="00A87C6C" w:rsidRDefault="00A87C6C" w:rsidP="00800E06">
            <w:r w:rsidRPr="006556BA">
              <w:rPr>
                <w:b/>
              </w:rPr>
              <w:t>Discussion</w:t>
            </w:r>
            <w:r>
              <w:t xml:space="preserve"> </w:t>
            </w:r>
            <w:r w:rsidR="0094414E">
              <w:t>–</w:t>
            </w:r>
            <w:r>
              <w:t xml:space="preserve"> </w:t>
            </w:r>
            <w:r w:rsidR="0094414E">
              <w:t>Difficult to be reactive in the short timescales for assistance.  The HRA is considering why an applicant is homeless and the history of the person.  In the NACRO assessment questions about homelessness are asked.</w:t>
            </w:r>
          </w:p>
          <w:p w:rsidR="00DC208F" w:rsidRDefault="00DC208F" w:rsidP="00800E06"/>
          <w:p w:rsidR="0094414E" w:rsidRDefault="0094414E" w:rsidP="00800E06">
            <w:r>
              <w:lastRenderedPageBreak/>
              <w:t xml:space="preserve">FM advised that Medway have been opening cases as prevention and will use PRS and then work with them in the relief stage and the 56 days.  If you start relief stage in prison this means loss of days in this period.  </w:t>
            </w:r>
          </w:p>
          <w:p w:rsidR="00471DD9" w:rsidRDefault="00471DD9" w:rsidP="00800E06"/>
          <w:p w:rsidR="00471DD9" w:rsidRDefault="00471DD9" w:rsidP="00800E06">
            <w:r>
              <w:t xml:space="preserve">The local authorities experience the same barriers to secure accommodation as the prison service.  </w:t>
            </w:r>
          </w:p>
          <w:p w:rsidR="00471DD9" w:rsidRDefault="00471DD9" w:rsidP="00800E06"/>
          <w:p w:rsidR="00471DD9" w:rsidRDefault="00471DD9" w:rsidP="00800E06">
            <w:r w:rsidRPr="006556BA">
              <w:rPr>
                <w:b/>
              </w:rPr>
              <w:t>The referral form</w:t>
            </w:r>
            <w:r>
              <w:t xml:space="preserve"> – there is a Kent Referral Form, but this is on line and the prison service cant access websites due to security.  Prison teams are based in prison and have to use prison services computers.  Is there potential to have a paper version of the referral form with agreed set of questions to assist with the process, for example have they been rough sleeping before their prison term? Are there any licence restrictions, what medication is the offender being prescribed?</w:t>
            </w:r>
          </w:p>
          <w:p w:rsidR="00471DD9" w:rsidRDefault="00471DD9" w:rsidP="00800E06"/>
          <w:p w:rsidR="00FF2ECD" w:rsidRDefault="00FF2ECD" w:rsidP="00800E06">
            <w:r>
              <w:t>RW – lots of case law about priority need – significantly more vulnerable than the ordinary person if made homeless, due to their medical condition or suite of issues for them personally.   People can be in priority need but intentionally homeless.  More and more complex cases results in the benchmark changing.  Offenders on short term sentence are generally unlikely to be institutionalised, but each case is determined on its own merits.  Government are setting up an editable pdf referral form and every council will have a duty to refer email to receive this information.  Government recognise the strict security issues and how this is a barrier to a referral.  This shouldn’t override or replace any local arrangements that are working well.</w:t>
            </w:r>
          </w:p>
          <w:p w:rsidR="00FF2ECD" w:rsidRDefault="00FF2ECD" w:rsidP="00800E06"/>
          <w:p w:rsidR="00A87C6C" w:rsidRDefault="00FF2ECD" w:rsidP="00800E06">
            <w:r>
              <w:t xml:space="preserve">Open prisons allow more opportunities to work together, arranging interviews, attending external appointments and access to the internet.   The issue is the follow on services for DA for prisoners who access this whilst in custody.  Duty to Refer is a statutory duty on both sides.  </w:t>
            </w:r>
            <w:r w:rsidR="006556BA">
              <w:t>There is no reference to age in the current code of guidance for the HRA.  Statistics about the impact of the HRA will take at least 12 months to allow for new reporting methods and consistency of data shared.  This will include indicators of repeat applications, which could be revolving door offenders.</w:t>
            </w:r>
          </w:p>
          <w:p w:rsidR="006556BA" w:rsidRDefault="006556BA" w:rsidP="00800E06"/>
          <w:p w:rsidR="00091CE3" w:rsidRDefault="00091CE3" w:rsidP="00800E06">
            <w:r>
              <w:t>A good point is how to retain accommodation that an offender may have before they are in custody.  This is picked up</w:t>
            </w:r>
            <w:r w:rsidR="00DA1D4D">
              <w:t xml:space="preserve"> by NACRO as part of the work.</w:t>
            </w:r>
          </w:p>
          <w:p w:rsidR="00DA1D4D" w:rsidRPr="007965F9" w:rsidRDefault="00DA1D4D" w:rsidP="00800E06"/>
        </w:tc>
        <w:tc>
          <w:tcPr>
            <w:tcW w:w="896" w:type="dxa"/>
            <w:shd w:val="clear" w:color="auto" w:fill="auto"/>
          </w:tcPr>
          <w:p w:rsidR="000B54B8" w:rsidRPr="006556BA" w:rsidRDefault="006556BA" w:rsidP="008669A9">
            <w:pPr>
              <w:rPr>
                <w:b/>
              </w:rPr>
            </w:pPr>
            <w:r w:rsidRPr="006556BA">
              <w:rPr>
                <w:b/>
              </w:rPr>
              <w:lastRenderedPageBreak/>
              <w:t>ASAP</w:t>
            </w:r>
          </w:p>
        </w:tc>
        <w:tc>
          <w:tcPr>
            <w:tcW w:w="1289" w:type="dxa"/>
            <w:shd w:val="clear" w:color="auto" w:fill="auto"/>
          </w:tcPr>
          <w:p w:rsidR="00800E06" w:rsidRPr="000B54B8" w:rsidRDefault="006556BA" w:rsidP="008669A9">
            <w:pPr>
              <w:jc w:val="both"/>
              <w:rPr>
                <w:b/>
              </w:rPr>
            </w:pPr>
            <w:r>
              <w:rPr>
                <w:b/>
              </w:rPr>
              <w:t>ALL</w:t>
            </w:r>
          </w:p>
        </w:tc>
        <w:tc>
          <w:tcPr>
            <w:tcW w:w="2068" w:type="dxa"/>
            <w:shd w:val="clear" w:color="auto" w:fill="auto"/>
          </w:tcPr>
          <w:p w:rsidR="00800E06" w:rsidRPr="00AA6FEA" w:rsidRDefault="006556BA" w:rsidP="00311C62">
            <w:pPr>
              <w:rPr>
                <w:color w:val="FF0000"/>
              </w:rPr>
            </w:pPr>
            <w:r>
              <w:rPr>
                <w:color w:val="FF0000"/>
              </w:rPr>
              <w:t xml:space="preserve">Colleagues to provide a point of contact via RS </w:t>
            </w:r>
          </w:p>
        </w:tc>
      </w:tr>
      <w:tr w:rsidR="00527061" w:rsidRPr="00745BAC" w:rsidTr="004A6165">
        <w:tc>
          <w:tcPr>
            <w:tcW w:w="1588" w:type="dxa"/>
          </w:tcPr>
          <w:p w:rsidR="00527061" w:rsidRDefault="0080322B" w:rsidP="009E49FB">
            <w:pPr>
              <w:rPr>
                <w:b/>
              </w:rPr>
            </w:pPr>
            <w:r>
              <w:rPr>
                <w:b/>
              </w:rPr>
              <w:lastRenderedPageBreak/>
              <w:t>MHCLG Update</w:t>
            </w:r>
          </w:p>
        </w:tc>
        <w:tc>
          <w:tcPr>
            <w:tcW w:w="9498" w:type="dxa"/>
            <w:shd w:val="clear" w:color="auto" w:fill="auto"/>
          </w:tcPr>
          <w:p w:rsidR="00A96EDB" w:rsidRDefault="00401453" w:rsidP="00800E06">
            <w:r>
              <w:t>RW updated – will be visiting local autho</w:t>
            </w:r>
            <w:r w:rsidR="009179A4">
              <w:t xml:space="preserve">rities he is responsible for, to see the impact of the HRA there are two new advisors joining the team of advisors. </w:t>
            </w:r>
            <w:r>
              <w:t>The London Training Academy, set up to recognise the fact about new starters that are not housing options staff and top up training to existing staff.  If you have an invite you are encouraged to attend or send staff. This is free.</w:t>
            </w:r>
          </w:p>
          <w:p w:rsidR="00401453" w:rsidRDefault="00401453" w:rsidP="00800E06"/>
          <w:p w:rsidR="00401453" w:rsidRDefault="00401453" w:rsidP="00401453">
            <w:r>
              <w:t xml:space="preserve">James Jolly joined the Rough Sleeping Team, he has been made aware of potential changes to the commissioning of homelessness services via KCC and this includes funding for specific offender supported housing units.  There has been a </w:t>
            </w:r>
            <w:r w:rsidR="00F40C2A">
              <w:t xml:space="preserve">homelessness commissioning </w:t>
            </w:r>
            <w:r>
              <w:t>consultation but not any outcome to date.  DW advised that within the tenders there will be a number of supported accommodation units, there is an issue about young people who are vulnerable but not care leavers, nothing specific about offenders.  This is a tender by negotiation.  Lead providers will be appointed on the 1</w:t>
            </w:r>
            <w:r w:rsidRPr="00401453">
              <w:rPr>
                <w:vertAlign w:val="superscript"/>
              </w:rPr>
              <w:t>st</w:t>
            </w:r>
            <w:r>
              <w:t xml:space="preserve"> October, existing providers will work through existing contracts for the 6 month transition.   </w:t>
            </w:r>
          </w:p>
          <w:p w:rsidR="00401453" w:rsidRDefault="00401453" w:rsidP="00401453"/>
          <w:p w:rsidR="00F40C2A" w:rsidRDefault="00F40C2A" w:rsidP="00401453">
            <w:r>
              <w:t xml:space="preserve">UC will continue to roll out and consider how UC will work for vulnerable people, including those in temporary accommodation going forward.  </w:t>
            </w:r>
          </w:p>
          <w:p w:rsidR="00F40C2A" w:rsidRDefault="00F40C2A" w:rsidP="00401453"/>
          <w:p w:rsidR="00F40C2A" w:rsidRDefault="00F40C2A" w:rsidP="00F40C2A">
            <w:r w:rsidRPr="008F2A5E">
              <w:rPr>
                <w:b/>
              </w:rPr>
              <w:t>Tenants Fee’s Bill</w:t>
            </w:r>
            <w:r>
              <w:t xml:space="preserve"> –purpose is to protect tenants from unscrupulous agents, the Tenant’s Fee Bill as it stands now and once it is enacted would make it illegal for a local authority to incentivise an agent to accept a tenant</w:t>
            </w:r>
            <w:r w:rsidR="008F2A5E">
              <w:t xml:space="preserve"> through payment (not rent deposit or rent in advance)</w:t>
            </w:r>
            <w:r>
              <w:t>.  MHCLG are working on this and considering an exemption within</w:t>
            </w:r>
            <w:r w:rsidR="008F2A5E">
              <w:t xml:space="preserve"> the Bill for local authorities. This is a Government backed Bill and not a Private Members Bill.</w:t>
            </w:r>
          </w:p>
          <w:p w:rsidR="008F2A5E" w:rsidRDefault="008F2A5E" w:rsidP="00F40C2A"/>
          <w:p w:rsidR="008F2A5E" w:rsidRDefault="008F2A5E" w:rsidP="00F40C2A">
            <w:r w:rsidRPr="008F2A5E">
              <w:rPr>
                <w:b/>
              </w:rPr>
              <w:t>Case law</w:t>
            </w:r>
            <w:r>
              <w:t xml:space="preserve"> – 31</w:t>
            </w:r>
            <w:r w:rsidRPr="008F2A5E">
              <w:rPr>
                <w:vertAlign w:val="superscript"/>
              </w:rPr>
              <w:t>st</w:t>
            </w:r>
            <w:r>
              <w:t xml:space="preserve"> January 2019, Supreme Court, highest appeal, Samuels’s v Birmingham.  Court of appeal judgement that said a tenant should use some of their other benefits to assist with housing costs.  This is a big case for local authorities.  Birmingham are defending this case.</w:t>
            </w:r>
          </w:p>
          <w:p w:rsidR="00F40C2A" w:rsidRDefault="00F40C2A" w:rsidP="00F40C2A"/>
          <w:p w:rsidR="009179A4" w:rsidRDefault="008F2A5E" w:rsidP="00F40C2A">
            <w:r>
              <w:t>H-Click –there is step by step guide available, which RW can share if required.  RW to take feedback from KHOG to the stats team.  Is it lawful to share personal data via H-Click?</w:t>
            </w:r>
            <w:r w:rsidR="009F2480">
              <w:t xml:space="preserve">  MHCLG would have gone through the HCO to check whether it is lawful to share the required data via H-Click.</w:t>
            </w:r>
          </w:p>
          <w:p w:rsidR="008F2A5E" w:rsidRPr="00745BAC" w:rsidRDefault="008F2A5E" w:rsidP="00F40C2A"/>
        </w:tc>
        <w:tc>
          <w:tcPr>
            <w:tcW w:w="896" w:type="dxa"/>
            <w:shd w:val="clear" w:color="auto" w:fill="auto"/>
          </w:tcPr>
          <w:p w:rsidR="007F161E" w:rsidRPr="009179A4" w:rsidRDefault="00401453" w:rsidP="00454E00">
            <w:pPr>
              <w:rPr>
                <w:b/>
              </w:rPr>
            </w:pPr>
            <w:r w:rsidRPr="009179A4">
              <w:rPr>
                <w:b/>
              </w:rPr>
              <w:t>ASAP</w:t>
            </w:r>
          </w:p>
        </w:tc>
        <w:tc>
          <w:tcPr>
            <w:tcW w:w="1289" w:type="dxa"/>
            <w:shd w:val="clear" w:color="auto" w:fill="auto"/>
          </w:tcPr>
          <w:p w:rsidR="007F161E" w:rsidRPr="007F161E" w:rsidRDefault="00401453" w:rsidP="00454E00">
            <w:pPr>
              <w:rPr>
                <w:b/>
              </w:rPr>
            </w:pPr>
            <w:r>
              <w:rPr>
                <w:b/>
              </w:rPr>
              <w:t>RW/ALL</w:t>
            </w:r>
          </w:p>
        </w:tc>
        <w:tc>
          <w:tcPr>
            <w:tcW w:w="2068" w:type="dxa"/>
            <w:shd w:val="clear" w:color="auto" w:fill="auto"/>
          </w:tcPr>
          <w:p w:rsidR="007F161E" w:rsidRPr="00AA6FEA" w:rsidRDefault="00401453" w:rsidP="00DC208F">
            <w:pPr>
              <w:rPr>
                <w:color w:val="FF0000"/>
              </w:rPr>
            </w:pPr>
            <w:r>
              <w:rPr>
                <w:color w:val="FF0000"/>
              </w:rPr>
              <w:t>Contact RW for more information about training</w:t>
            </w:r>
          </w:p>
        </w:tc>
      </w:tr>
      <w:tr w:rsidR="00C873FB" w:rsidRPr="00745BAC" w:rsidTr="004A6165">
        <w:tc>
          <w:tcPr>
            <w:tcW w:w="1588" w:type="dxa"/>
          </w:tcPr>
          <w:p w:rsidR="00C873FB" w:rsidRPr="00DF5A67" w:rsidRDefault="0080322B" w:rsidP="009E49FB">
            <w:pPr>
              <w:rPr>
                <w:rFonts w:ascii="Verdana" w:hAnsi="Verdana"/>
                <w:b/>
                <w:sz w:val="18"/>
                <w:szCs w:val="18"/>
              </w:rPr>
            </w:pPr>
            <w:r w:rsidRPr="00DF5A67">
              <w:rPr>
                <w:rFonts w:ascii="Verdana" w:hAnsi="Verdana"/>
                <w:b/>
                <w:sz w:val="18"/>
                <w:szCs w:val="18"/>
              </w:rPr>
              <w:t>HRA Workshop</w:t>
            </w:r>
          </w:p>
        </w:tc>
        <w:tc>
          <w:tcPr>
            <w:tcW w:w="9498" w:type="dxa"/>
            <w:shd w:val="clear" w:color="auto" w:fill="auto"/>
          </w:tcPr>
          <w:p w:rsidR="00A96EDB" w:rsidRDefault="008F2A5E" w:rsidP="00A96EDB">
            <w:r>
              <w:t>HRA and D2R Workshop set for 28</w:t>
            </w:r>
            <w:r w:rsidRPr="008F2A5E">
              <w:rPr>
                <w:vertAlign w:val="superscript"/>
              </w:rPr>
              <w:t>th</w:t>
            </w:r>
            <w:r>
              <w:t xml:space="preserve"> September, 1.30pm in Maidstone. MHCLG will attend and provide an update/overview. MA invited to talk about the Homelessness Commissioning and the HRA.  MG to feedback on the Hub Pilot model in Dartford and VH about the national perspective.  All </w:t>
            </w:r>
            <w:r>
              <w:lastRenderedPageBreak/>
              <w:t xml:space="preserve">local authorities, the RP’s who are members of KHG, including those with supported housing arm, KCC and NACRO/CRC.  </w:t>
            </w:r>
          </w:p>
          <w:p w:rsidR="009179A4" w:rsidRDefault="009179A4" w:rsidP="00A96EDB"/>
          <w:p w:rsidR="00592AC2" w:rsidRDefault="00592AC2" w:rsidP="00A96EDB">
            <w:r>
              <w:t>KCC have developed their own referral form, Amanda</w:t>
            </w:r>
            <w:r w:rsidR="00C42CFA">
              <w:t xml:space="preserve"> Hornsby, KCC</w:t>
            </w:r>
            <w:r>
              <w:t xml:space="preserve"> to be invited to demo the form.  At the moment this form used by KCC will go to the duty to refer email that each local authority will have.  </w:t>
            </w:r>
          </w:p>
          <w:p w:rsidR="00C42CFA" w:rsidRDefault="00C42CFA" w:rsidP="00A96EDB"/>
          <w:p w:rsidR="00592AC2" w:rsidRDefault="00C42CFA" w:rsidP="00A96EDB">
            <w:r>
              <w:t>Opportunity for the housing associations to understand what their role could be to assist with this new legislation and duty and to make them aware of what the impacts are going to be.  MG to make reference back to the work she did with HA’s back in January as part of the hub presentation.</w:t>
            </w:r>
            <w:r w:rsidR="001E4B9E">
              <w:t xml:space="preserve">  DW to share link from the NHF on this.</w:t>
            </w:r>
          </w:p>
          <w:p w:rsidR="00592AC2" w:rsidRDefault="00592AC2" w:rsidP="00A96EDB"/>
        </w:tc>
        <w:tc>
          <w:tcPr>
            <w:tcW w:w="896" w:type="dxa"/>
            <w:shd w:val="clear" w:color="auto" w:fill="auto"/>
          </w:tcPr>
          <w:p w:rsidR="00C873FB" w:rsidRPr="00C42CFA" w:rsidRDefault="00C42CFA" w:rsidP="00454E00">
            <w:pPr>
              <w:rPr>
                <w:b/>
              </w:rPr>
            </w:pPr>
            <w:r w:rsidRPr="00C42CFA">
              <w:rPr>
                <w:b/>
              </w:rPr>
              <w:lastRenderedPageBreak/>
              <w:t>ASAP</w:t>
            </w:r>
          </w:p>
          <w:p w:rsidR="00C42CFA" w:rsidRPr="00C42CFA" w:rsidRDefault="00C42CFA" w:rsidP="00454E00">
            <w:pPr>
              <w:rPr>
                <w:b/>
              </w:rPr>
            </w:pPr>
          </w:p>
          <w:p w:rsidR="00C42CFA" w:rsidRPr="00C42CFA" w:rsidRDefault="00C42CFA" w:rsidP="00454E00">
            <w:pPr>
              <w:rPr>
                <w:b/>
              </w:rPr>
            </w:pPr>
          </w:p>
          <w:p w:rsidR="00C42CFA" w:rsidRPr="00C42CFA" w:rsidRDefault="00C42CFA" w:rsidP="00454E00">
            <w:pPr>
              <w:rPr>
                <w:b/>
              </w:rPr>
            </w:pPr>
          </w:p>
          <w:p w:rsidR="00C42CFA" w:rsidRPr="00C42CFA" w:rsidRDefault="00C42CFA" w:rsidP="00454E00">
            <w:pPr>
              <w:rPr>
                <w:b/>
              </w:rPr>
            </w:pPr>
          </w:p>
          <w:p w:rsidR="00C42CFA" w:rsidRPr="00C42CFA" w:rsidRDefault="00C42CFA" w:rsidP="00454E00">
            <w:pPr>
              <w:rPr>
                <w:b/>
              </w:rPr>
            </w:pPr>
          </w:p>
          <w:p w:rsidR="00C42CFA" w:rsidRPr="00C42CFA" w:rsidRDefault="00C42CFA" w:rsidP="00454E00">
            <w:pPr>
              <w:rPr>
                <w:b/>
              </w:rPr>
            </w:pPr>
          </w:p>
          <w:p w:rsidR="00C42CFA" w:rsidRPr="00C42CFA" w:rsidRDefault="00C42CFA" w:rsidP="00454E00">
            <w:pPr>
              <w:rPr>
                <w:b/>
              </w:rPr>
            </w:pPr>
            <w:r w:rsidRPr="00C42CFA">
              <w:rPr>
                <w:b/>
              </w:rPr>
              <w:t>ASAP</w:t>
            </w:r>
          </w:p>
          <w:p w:rsidR="00C42CFA" w:rsidRPr="00C42CFA" w:rsidRDefault="00C42CFA" w:rsidP="00454E00">
            <w:pPr>
              <w:rPr>
                <w:b/>
              </w:rPr>
            </w:pPr>
          </w:p>
          <w:p w:rsidR="00C42CFA" w:rsidRPr="00C42CFA" w:rsidRDefault="00C42CFA" w:rsidP="00454E00">
            <w:pPr>
              <w:rPr>
                <w:b/>
              </w:rPr>
            </w:pPr>
          </w:p>
          <w:p w:rsidR="00C42CFA" w:rsidRPr="00C42CFA" w:rsidRDefault="00C42CFA" w:rsidP="00454E00">
            <w:pPr>
              <w:rPr>
                <w:b/>
              </w:rPr>
            </w:pPr>
          </w:p>
          <w:p w:rsidR="00C42CFA" w:rsidRPr="00C42CFA" w:rsidRDefault="00C42CFA" w:rsidP="00454E00">
            <w:pPr>
              <w:rPr>
                <w:b/>
              </w:rPr>
            </w:pPr>
            <w:r w:rsidRPr="00C42CFA">
              <w:rPr>
                <w:b/>
              </w:rPr>
              <w:t>For 28/9</w:t>
            </w:r>
          </w:p>
        </w:tc>
        <w:tc>
          <w:tcPr>
            <w:tcW w:w="1289" w:type="dxa"/>
            <w:shd w:val="clear" w:color="auto" w:fill="auto"/>
          </w:tcPr>
          <w:p w:rsidR="00A96EDB" w:rsidRDefault="00C42CFA" w:rsidP="00454E00">
            <w:pPr>
              <w:rPr>
                <w:b/>
              </w:rPr>
            </w:pPr>
            <w:r>
              <w:rPr>
                <w:b/>
              </w:rPr>
              <w:lastRenderedPageBreak/>
              <w:t>RS</w:t>
            </w:r>
          </w:p>
          <w:p w:rsidR="00C42CFA" w:rsidRDefault="00C42CFA" w:rsidP="00454E00">
            <w:pPr>
              <w:rPr>
                <w:b/>
              </w:rPr>
            </w:pPr>
          </w:p>
          <w:p w:rsidR="00C42CFA" w:rsidRDefault="00C42CFA" w:rsidP="00454E00">
            <w:pPr>
              <w:rPr>
                <w:b/>
              </w:rPr>
            </w:pPr>
          </w:p>
          <w:p w:rsidR="00C42CFA" w:rsidRDefault="00C42CFA" w:rsidP="00454E00">
            <w:pPr>
              <w:rPr>
                <w:b/>
              </w:rPr>
            </w:pPr>
          </w:p>
          <w:p w:rsidR="00C42CFA" w:rsidRDefault="00C42CFA" w:rsidP="00454E00">
            <w:pPr>
              <w:rPr>
                <w:b/>
              </w:rPr>
            </w:pPr>
          </w:p>
          <w:p w:rsidR="00C42CFA" w:rsidRDefault="00C42CFA" w:rsidP="00454E00">
            <w:pPr>
              <w:rPr>
                <w:b/>
              </w:rPr>
            </w:pPr>
          </w:p>
          <w:p w:rsidR="00C42CFA" w:rsidRDefault="00C42CFA" w:rsidP="00454E00">
            <w:pPr>
              <w:rPr>
                <w:b/>
              </w:rPr>
            </w:pPr>
          </w:p>
          <w:p w:rsidR="00C42CFA" w:rsidRDefault="00C42CFA" w:rsidP="00454E00">
            <w:pPr>
              <w:rPr>
                <w:b/>
              </w:rPr>
            </w:pPr>
            <w:r>
              <w:rPr>
                <w:b/>
              </w:rPr>
              <w:t>RS</w:t>
            </w:r>
          </w:p>
          <w:p w:rsidR="00C42CFA" w:rsidRDefault="00C42CFA" w:rsidP="00454E00">
            <w:pPr>
              <w:rPr>
                <w:b/>
              </w:rPr>
            </w:pPr>
          </w:p>
          <w:p w:rsidR="00C42CFA" w:rsidRDefault="00C42CFA" w:rsidP="00454E00">
            <w:pPr>
              <w:rPr>
                <w:b/>
              </w:rPr>
            </w:pPr>
          </w:p>
          <w:p w:rsidR="00C42CFA" w:rsidRDefault="00C42CFA" w:rsidP="00454E00">
            <w:pPr>
              <w:rPr>
                <w:b/>
              </w:rPr>
            </w:pPr>
          </w:p>
          <w:p w:rsidR="00C42CFA" w:rsidRPr="007F161E" w:rsidRDefault="00C42CFA" w:rsidP="00454E00">
            <w:pPr>
              <w:rPr>
                <w:b/>
              </w:rPr>
            </w:pPr>
            <w:r>
              <w:rPr>
                <w:b/>
              </w:rPr>
              <w:t>MG</w:t>
            </w:r>
          </w:p>
        </w:tc>
        <w:tc>
          <w:tcPr>
            <w:tcW w:w="2068" w:type="dxa"/>
            <w:shd w:val="clear" w:color="auto" w:fill="auto"/>
          </w:tcPr>
          <w:p w:rsidR="00A96EDB" w:rsidRDefault="00C42CFA" w:rsidP="00A96EDB">
            <w:pPr>
              <w:rPr>
                <w:color w:val="FF0000"/>
              </w:rPr>
            </w:pPr>
            <w:r>
              <w:rPr>
                <w:color w:val="FF0000"/>
              </w:rPr>
              <w:lastRenderedPageBreak/>
              <w:t>RS to share agenda as available</w:t>
            </w:r>
          </w:p>
          <w:p w:rsidR="00C42CFA" w:rsidRDefault="00C42CFA" w:rsidP="00A96EDB">
            <w:pPr>
              <w:rPr>
                <w:color w:val="FF0000"/>
              </w:rPr>
            </w:pPr>
          </w:p>
          <w:p w:rsidR="00C42CFA" w:rsidRDefault="00C42CFA" w:rsidP="00A96EDB">
            <w:pPr>
              <w:rPr>
                <w:color w:val="FF0000"/>
              </w:rPr>
            </w:pPr>
          </w:p>
          <w:p w:rsidR="00C42CFA" w:rsidRDefault="00C42CFA" w:rsidP="00A96EDB">
            <w:pPr>
              <w:rPr>
                <w:color w:val="FF0000"/>
              </w:rPr>
            </w:pPr>
          </w:p>
          <w:p w:rsidR="00C42CFA" w:rsidRDefault="00C42CFA" w:rsidP="00A96EDB">
            <w:pPr>
              <w:rPr>
                <w:color w:val="FF0000"/>
              </w:rPr>
            </w:pPr>
          </w:p>
          <w:p w:rsidR="00C42CFA" w:rsidRDefault="00C42CFA" w:rsidP="00A96EDB">
            <w:pPr>
              <w:rPr>
                <w:color w:val="FF0000"/>
              </w:rPr>
            </w:pPr>
          </w:p>
          <w:p w:rsidR="00C42CFA" w:rsidRDefault="00C42CFA" w:rsidP="00A96EDB">
            <w:pPr>
              <w:rPr>
                <w:color w:val="FF0000"/>
              </w:rPr>
            </w:pPr>
            <w:r>
              <w:rPr>
                <w:color w:val="FF0000"/>
              </w:rPr>
              <w:t xml:space="preserve">RS to liaise with Amanda Hornsby </w:t>
            </w:r>
          </w:p>
          <w:p w:rsidR="00C42CFA" w:rsidRDefault="00C42CFA" w:rsidP="00A96EDB">
            <w:pPr>
              <w:rPr>
                <w:color w:val="FF0000"/>
              </w:rPr>
            </w:pPr>
          </w:p>
          <w:p w:rsidR="00C42CFA" w:rsidRDefault="00C42CFA" w:rsidP="00A96EDB">
            <w:pPr>
              <w:rPr>
                <w:color w:val="FF0000"/>
              </w:rPr>
            </w:pPr>
          </w:p>
          <w:p w:rsidR="00C42CFA" w:rsidRPr="00AA6FEA" w:rsidRDefault="00C42CFA" w:rsidP="00A96EDB">
            <w:pPr>
              <w:rPr>
                <w:color w:val="FF0000"/>
              </w:rPr>
            </w:pPr>
            <w:r>
              <w:rPr>
                <w:color w:val="FF0000"/>
              </w:rPr>
              <w:t>MG to note for the session</w:t>
            </w:r>
          </w:p>
        </w:tc>
      </w:tr>
      <w:tr w:rsidR="00D03CE7" w:rsidRPr="00745BAC" w:rsidTr="004A6165">
        <w:tc>
          <w:tcPr>
            <w:tcW w:w="1588" w:type="dxa"/>
          </w:tcPr>
          <w:p w:rsidR="00D03CE7" w:rsidRDefault="0080322B" w:rsidP="009E49FB">
            <w:pPr>
              <w:rPr>
                <w:b/>
              </w:rPr>
            </w:pPr>
            <w:r>
              <w:rPr>
                <w:b/>
              </w:rPr>
              <w:lastRenderedPageBreak/>
              <w:t>Behavioural Insights Team Letter</w:t>
            </w:r>
          </w:p>
        </w:tc>
        <w:tc>
          <w:tcPr>
            <w:tcW w:w="9498" w:type="dxa"/>
            <w:shd w:val="clear" w:color="auto" w:fill="auto"/>
          </w:tcPr>
          <w:p w:rsidR="00A96EDB" w:rsidRDefault="009179A4" w:rsidP="00576705">
            <w:r>
              <w:t xml:space="preserve">JS shared the Behavioural Insights Team letter in advance of the meeting.  This is about managing </w:t>
            </w:r>
            <w:r w:rsidR="00DC208F">
              <w:t>expectations;</w:t>
            </w:r>
            <w:r>
              <w:t xml:space="preserve"> the letter shared is the final version.  The timescales will work differently for each local authority.  Could all local authorities use this letter, LGA are keen to learn from Kent, to roll out nationally and put on the LGA website.  </w:t>
            </w:r>
          </w:p>
          <w:p w:rsidR="009179A4" w:rsidRDefault="009179A4" w:rsidP="00576705"/>
        </w:tc>
        <w:tc>
          <w:tcPr>
            <w:tcW w:w="896" w:type="dxa"/>
            <w:shd w:val="clear" w:color="auto" w:fill="auto"/>
          </w:tcPr>
          <w:p w:rsidR="00A96EDB" w:rsidRPr="009179A4" w:rsidRDefault="009179A4" w:rsidP="00454E00">
            <w:pPr>
              <w:rPr>
                <w:b/>
              </w:rPr>
            </w:pPr>
            <w:r w:rsidRPr="009179A4">
              <w:rPr>
                <w:b/>
              </w:rPr>
              <w:t>As required</w:t>
            </w:r>
          </w:p>
        </w:tc>
        <w:tc>
          <w:tcPr>
            <w:tcW w:w="1289" w:type="dxa"/>
            <w:shd w:val="clear" w:color="auto" w:fill="auto"/>
          </w:tcPr>
          <w:p w:rsidR="00F87203" w:rsidRPr="007F161E" w:rsidRDefault="009179A4" w:rsidP="00454E00">
            <w:pPr>
              <w:rPr>
                <w:b/>
              </w:rPr>
            </w:pPr>
            <w:r>
              <w:rPr>
                <w:b/>
              </w:rPr>
              <w:t>ALL/RS</w:t>
            </w:r>
          </w:p>
        </w:tc>
        <w:tc>
          <w:tcPr>
            <w:tcW w:w="2068" w:type="dxa"/>
            <w:shd w:val="clear" w:color="auto" w:fill="auto"/>
          </w:tcPr>
          <w:p w:rsidR="00F87203" w:rsidRPr="00AA6FEA" w:rsidRDefault="009179A4" w:rsidP="009179A4">
            <w:pPr>
              <w:rPr>
                <w:color w:val="FF0000"/>
              </w:rPr>
            </w:pPr>
            <w:r>
              <w:rPr>
                <w:color w:val="FF0000"/>
              </w:rPr>
              <w:t>All colleagues encouraged to use the letter shared.  RS to share with action log</w:t>
            </w:r>
          </w:p>
        </w:tc>
      </w:tr>
      <w:tr w:rsidR="00D03CE7" w:rsidRPr="00745BAC" w:rsidTr="004A6165">
        <w:tc>
          <w:tcPr>
            <w:tcW w:w="1588" w:type="dxa"/>
          </w:tcPr>
          <w:p w:rsidR="00D03CE7" w:rsidRDefault="0080322B" w:rsidP="00D03CE7">
            <w:pPr>
              <w:rPr>
                <w:b/>
              </w:rPr>
            </w:pPr>
            <w:r>
              <w:rPr>
                <w:b/>
              </w:rPr>
              <w:t>Rough Sleeper Count</w:t>
            </w:r>
          </w:p>
        </w:tc>
        <w:tc>
          <w:tcPr>
            <w:tcW w:w="9498" w:type="dxa"/>
            <w:shd w:val="clear" w:color="auto" w:fill="auto"/>
          </w:tcPr>
          <w:p w:rsidR="00160B13" w:rsidRDefault="00160B13" w:rsidP="00576705">
            <w:r>
              <w:t xml:space="preserve">The Rough Sleeper Initiative, one element is a bi monthly </w:t>
            </w:r>
            <w:r w:rsidR="00DC208F">
              <w:t>count;</w:t>
            </w:r>
            <w:r>
              <w:t xml:space="preserve"> a count was undertaken last night.  The night of the 22</w:t>
            </w:r>
            <w:r w:rsidRPr="00160B13">
              <w:rPr>
                <w:vertAlign w:val="superscript"/>
              </w:rPr>
              <w:t>nd</w:t>
            </w:r>
            <w:r>
              <w:t xml:space="preserve"> November is the agreed rough count/estimate.</w:t>
            </w:r>
          </w:p>
          <w:p w:rsidR="00160B13" w:rsidRDefault="00160B13" w:rsidP="00576705"/>
          <w:p w:rsidR="00160B13" w:rsidRDefault="00160B13" w:rsidP="00576705">
            <w:r>
              <w:t xml:space="preserve">Top 82 local authorities invited to bid.  MBC, Canterbury, Thanet, TWBC and Medway all have funding in Kent.  There is potentially a further £11m funding available nationally but more news will come forward on this in due course. </w:t>
            </w:r>
          </w:p>
          <w:p w:rsidR="00160B13" w:rsidRDefault="00160B13" w:rsidP="00576705"/>
        </w:tc>
        <w:tc>
          <w:tcPr>
            <w:tcW w:w="896" w:type="dxa"/>
            <w:shd w:val="clear" w:color="auto" w:fill="auto"/>
          </w:tcPr>
          <w:p w:rsidR="00D03CE7" w:rsidRPr="00745BAC" w:rsidRDefault="00D03CE7" w:rsidP="00454E00"/>
        </w:tc>
        <w:tc>
          <w:tcPr>
            <w:tcW w:w="1289" w:type="dxa"/>
            <w:shd w:val="clear" w:color="auto" w:fill="auto"/>
          </w:tcPr>
          <w:p w:rsidR="00D03CE7" w:rsidRPr="007F161E" w:rsidRDefault="00D03CE7" w:rsidP="00454E00">
            <w:pPr>
              <w:rPr>
                <w:b/>
              </w:rPr>
            </w:pPr>
          </w:p>
        </w:tc>
        <w:tc>
          <w:tcPr>
            <w:tcW w:w="2068" w:type="dxa"/>
            <w:shd w:val="clear" w:color="auto" w:fill="auto"/>
          </w:tcPr>
          <w:p w:rsidR="00D03CE7" w:rsidRPr="00AA6FEA" w:rsidRDefault="00D03CE7" w:rsidP="00AC2608">
            <w:pPr>
              <w:jc w:val="both"/>
              <w:rPr>
                <w:color w:val="FF0000"/>
              </w:rPr>
            </w:pPr>
          </w:p>
        </w:tc>
      </w:tr>
      <w:tr w:rsidR="000C31B1" w:rsidRPr="00745BAC" w:rsidTr="004A6165">
        <w:tc>
          <w:tcPr>
            <w:tcW w:w="1588" w:type="dxa"/>
          </w:tcPr>
          <w:p w:rsidR="000C31B1" w:rsidRDefault="0080322B" w:rsidP="000C31B1">
            <w:pPr>
              <w:rPr>
                <w:b/>
              </w:rPr>
            </w:pPr>
            <w:r>
              <w:rPr>
                <w:b/>
              </w:rPr>
              <w:t xml:space="preserve">Protocols </w:t>
            </w:r>
          </w:p>
        </w:tc>
        <w:tc>
          <w:tcPr>
            <w:tcW w:w="9498" w:type="dxa"/>
            <w:shd w:val="clear" w:color="auto" w:fill="auto"/>
          </w:tcPr>
          <w:p w:rsidR="00A96EDB" w:rsidRDefault="009179A4" w:rsidP="0080322B">
            <w:pPr>
              <w:pStyle w:val="gmail-msonormal"/>
              <w:rPr>
                <w:rFonts w:asciiTheme="minorHAnsi" w:hAnsiTheme="minorHAnsi" w:cs="Arial"/>
                <w:sz w:val="22"/>
                <w:szCs w:val="22"/>
              </w:rPr>
            </w:pPr>
            <w:r>
              <w:rPr>
                <w:rFonts w:asciiTheme="minorHAnsi" w:hAnsiTheme="minorHAnsi" w:cs="Arial"/>
                <w:sz w:val="22"/>
                <w:szCs w:val="22"/>
              </w:rPr>
              <w:t>Intentionally Homeless Protocol to be looked at as agreed earlier in the meeting.</w:t>
            </w:r>
          </w:p>
          <w:p w:rsidR="00E66FC1" w:rsidRDefault="00160B13" w:rsidP="00160B13">
            <w:pPr>
              <w:pStyle w:val="gmail-msonormal"/>
              <w:rPr>
                <w:rFonts w:asciiTheme="minorHAnsi" w:hAnsiTheme="minorHAnsi" w:cs="Arial"/>
                <w:sz w:val="22"/>
                <w:szCs w:val="22"/>
              </w:rPr>
            </w:pPr>
            <w:r>
              <w:rPr>
                <w:rFonts w:asciiTheme="minorHAnsi" w:hAnsiTheme="minorHAnsi" w:cs="Arial"/>
                <w:sz w:val="22"/>
                <w:szCs w:val="22"/>
              </w:rPr>
              <w:t xml:space="preserve">SC asked is there a need for an Intentionally Homelessness Vulnerable Adults Protocol?  It was agreed that this could be an annex to the former mentioned protocol.  </w:t>
            </w:r>
            <w:r w:rsidR="00E66FC1">
              <w:rPr>
                <w:rFonts w:asciiTheme="minorHAnsi" w:hAnsiTheme="minorHAnsi" w:cs="Arial"/>
                <w:sz w:val="22"/>
                <w:szCs w:val="22"/>
              </w:rPr>
              <w:t>Will need to engage with Adult Social Care.</w:t>
            </w:r>
          </w:p>
          <w:p w:rsidR="00E66FC1" w:rsidRPr="00BD3127" w:rsidRDefault="00E66FC1" w:rsidP="00160B13">
            <w:pPr>
              <w:pStyle w:val="gmail-msonormal"/>
              <w:rPr>
                <w:rFonts w:asciiTheme="minorHAnsi" w:hAnsiTheme="minorHAnsi" w:cs="Arial"/>
                <w:sz w:val="22"/>
                <w:szCs w:val="22"/>
              </w:rPr>
            </w:pPr>
            <w:r>
              <w:rPr>
                <w:rFonts w:asciiTheme="minorHAnsi" w:hAnsiTheme="minorHAnsi" w:cs="Arial"/>
                <w:sz w:val="22"/>
                <w:szCs w:val="22"/>
              </w:rPr>
              <w:t xml:space="preserve">VM received letter from NPS who want to do third party sharing agreement.  There is an offender protocol that was updated before JPPB disbanded, it </w:t>
            </w:r>
            <w:r w:rsidR="001E4B9E">
              <w:rPr>
                <w:rFonts w:asciiTheme="minorHAnsi" w:hAnsiTheme="minorHAnsi" w:cs="Arial"/>
                <w:sz w:val="22"/>
                <w:szCs w:val="22"/>
              </w:rPr>
              <w:t>does not</w:t>
            </w:r>
            <w:r>
              <w:rPr>
                <w:rFonts w:asciiTheme="minorHAnsi" w:hAnsiTheme="minorHAnsi" w:cs="Arial"/>
                <w:sz w:val="22"/>
                <w:szCs w:val="22"/>
              </w:rPr>
              <w:t xml:space="preserve"> include early intervention and does the HRA and Duty to Refer supersede the protocol? This protocol also needs consideration of review.</w:t>
            </w:r>
          </w:p>
        </w:tc>
        <w:tc>
          <w:tcPr>
            <w:tcW w:w="896" w:type="dxa"/>
            <w:shd w:val="clear" w:color="auto" w:fill="auto"/>
          </w:tcPr>
          <w:p w:rsidR="000C31B1" w:rsidRPr="00745BAC" w:rsidRDefault="000C31B1" w:rsidP="000C31B1"/>
        </w:tc>
        <w:tc>
          <w:tcPr>
            <w:tcW w:w="1289" w:type="dxa"/>
            <w:shd w:val="clear" w:color="auto" w:fill="auto"/>
          </w:tcPr>
          <w:p w:rsidR="000C31B1" w:rsidRDefault="009179A4" w:rsidP="000C31B1">
            <w:r>
              <w:t>MG/RS</w:t>
            </w:r>
          </w:p>
          <w:p w:rsidR="00160B13" w:rsidRDefault="00160B13" w:rsidP="000C31B1"/>
          <w:p w:rsidR="00160B13" w:rsidRPr="000C31B1" w:rsidRDefault="00160B13" w:rsidP="000C31B1">
            <w:r>
              <w:t>MG/SC/RS</w:t>
            </w:r>
          </w:p>
        </w:tc>
        <w:tc>
          <w:tcPr>
            <w:tcW w:w="2068" w:type="dxa"/>
            <w:shd w:val="clear" w:color="auto" w:fill="auto"/>
          </w:tcPr>
          <w:p w:rsidR="000C31B1" w:rsidRPr="00AA6FEA" w:rsidRDefault="00160B13" w:rsidP="000C31B1">
            <w:pPr>
              <w:rPr>
                <w:color w:val="FF0000"/>
              </w:rPr>
            </w:pPr>
            <w:r>
              <w:rPr>
                <w:color w:val="FF0000"/>
              </w:rPr>
              <w:t>MG, SC and RS to start work on this protocol and annex</w:t>
            </w:r>
          </w:p>
        </w:tc>
      </w:tr>
      <w:tr w:rsidR="000C31B1" w:rsidRPr="00745BAC" w:rsidTr="004A6165">
        <w:tc>
          <w:tcPr>
            <w:tcW w:w="1588" w:type="dxa"/>
          </w:tcPr>
          <w:p w:rsidR="000C31B1" w:rsidRPr="00D03CE7" w:rsidRDefault="00427D3E" w:rsidP="000C31B1">
            <w:pPr>
              <w:rPr>
                <w:b/>
              </w:rPr>
            </w:pPr>
            <w:r>
              <w:rPr>
                <w:b/>
              </w:rPr>
              <w:lastRenderedPageBreak/>
              <w:t>Recent Case Law</w:t>
            </w:r>
          </w:p>
        </w:tc>
        <w:tc>
          <w:tcPr>
            <w:tcW w:w="9498" w:type="dxa"/>
            <w:shd w:val="clear" w:color="auto" w:fill="auto"/>
          </w:tcPr>
          <w:p w:rsidR="000C31B1" w:rsidRPr="00181F41" w:rsidRDefault="00CF620D" w:rsidP="00CF620D">
            <w:pPr>
              <w:pStyle w:val="gmail-msonormal"/>
              <w:rPr>
                <w:rFonts w:asciiTheme="minorHAnsi" w:hAnsiTheme="minorHAnsi"/>
                <w:sz w:val="22"/>
                <w:szCs w:val="22"/>
              </w:rPr>
            </w:pPr>
            <w:r>
              <w:rPr>
                <w:rFonts w:asciiTheme="minorHAnsi" w:hAnsiTheme="minorHAnsi"/>
                <w:sz w:val="22"/>
                <w:szCs w:val="22"/>
              </w:rPr>
              <w:t>Colleagues updated on current cases, including Maidstone and Thanet DC.</w:t>
            </w:r>
          </w:p>
        </w:tc>
        <w:tc>
          <w:tcPr>
            <w:tcW w:w="896" w:type="dxa"/>
            <w:shd w:val="clear" w:color="auto" w:fill="auto"/>
          </w:tcPr>
          <w:p w:rsidR="000C31B1" w:rsidRPr="00745BAC" w:rsidRDefault="000C31B1" w:rsidP="000C31B1"/>
        </w:tc>
        <w:tc>
          <w:tcPr>
            <w:tcW w:w="1289" w:type="dxa"/>
            <w:shd w:val="clear" w:color="auto" w:fill="auto"/>
          </w:tcPr>
          <w:p w:rsidR="000C31B1" w:rsidRPr="000C31B1" w:rsidRDefault="000C31B1" w:rsidP="000C31B1"/>
        </w:tc>
        <w:tc>
          <w:tcPr>
            <w:tcW w:w="2068" w:type="dxa"/>
            <w:shd w:val="clear" w:color="auto" w:fill="auto"/>
          </w:tcPr>
          <w:p w:rsidR="000C31B1" w:rsidRPr="00AA6FEA" w:rsidRDefault="000C31B1" w:rsidP="000C31B1">
            <w:pPr>
              <w:rPr>
                <w:color w:val="FF0000"/>
              </w:rPr>
            </w:pPr>
          </w:p>
        </w:tc>
      </w:tr>
      <w:tr w:rsidR="0080322B" w:rsidRPr="00745BAC" w:rsidTr="004A6165">
        <w:tc>
          <w:tcPr>
            <w:tcW w:w="1588" w:type="dxa"/>
          </w:tcPr>
          <w:p w:rsidR="0080322B" w:rsidRDefault="0080322B" w:rsidP="000C31B1">
            <w:pPr>
              <w:rPr>
                <w:b/>
              </w:rPr>
            </w:pPr>
            <w:r>
              <w:rPr>
                <w:b/>
              </w:rPr>
              <w:t>National Policy</w:t>
            </w:r>
          </w:p>
        </w:tc>
        <w:tc>
          <w:tcPr>
            <w:tcW w:w="9498" w:type="dxa"/>
            <w:shd w:val="clear" w:color="auto" w:fill="auto"/>
          </w:tcPr>
          <w:p w:rsidR="0080322B" w:rsidRDefault="00CF620D" w:rsidP="00427D3E">
            <w:pPr>
              <w:pStyle w:val="gmail-msonormal"/>
              <w:rPr>
                <w:rFonts w:asciiTheme="minorHAnsi" w:hAnsiTheme="minorHAnsi"/>
                <w:sz w:val="22"/>
                <w:szCs w:val="22"/>
              </w:rPr>
            </w:pPr>
            <w:r>
              <w:rPr>
                <w:rFonts w:asciiTheme="minorHAnsi" w:hAnsiTheme="minorHAnsi"/>
                <w:sz w:val="22"/>
                <w:szCs w:val="22"/>
              </w:rPr>
              <w:t>To be removed from the agenda going forward.</w:t>
            </w:r>
          </w:p>
        </w:tc>
        <w:tc>
          <w:tcPr>
            <w:tcW w:w="896" w:type="dxa"/>
            <w:shd w:val="clear" w:color="auto" w:fill="auto"/>
          </w:tcPr>
          <w:p w:rsidR="0080322B" w:rsidRPr="00745BAC" w:rsidRDefault="001E4B9E" w:rsidP="000C31B1">
            <w:r>
              <w:t>For next meeting</w:t>
            </w:r>
          </w:p>
        </w:tc>
        <w:tc>
          <w:tcPr>
            <w:tcW w:w="1289" w:type="dxa"/>
            <w:shd w:val="clear" w:color="auto" w:fill="auto"/>
          </w:tcPr>
          <w:p w:rsidR="0080322B" w:rsidRPr="000C31B1" w:rsidRDefault="001E4B9E" w:rsidP="000C31B1">
            <w:r>
              <w:t>RS</w:t>
            </w:r>
          </w:p>
        </w:tc>
        <w:tc>
          <w:tcPr>
            <w:tcW w:w="2068" w:type="dxa"/>
            <w:shd w:val="clear" w:color="auto" w:fill="auto"/>
          </w:tcPr>
          <w:p w:rsidR="0080322B" w:rsidRDefault="001E4B9E" w:rsidP="000C31B1">
            <w:pPr>
              <w:rPr>
                <w:color w:val="FF0000"/>
              </w:rPr>
            </w:pPr>
            <w:r>
              <w:rPr>
                <w:color w:val="FF0000"/>
              </w:rPr>
              <w:t>To remove from agenda</w:t>
            </w:r>
          </w:p>
          <w:p w:rsidR="001E4B9E" w:rsidRPr="00AA6FEA" w:rsidRDefault="001E4B9E" w:rsidP="000C31B1">
            <w:pPr>
              <w:rPr>
                <w:color w:val="FF0000"/>
              </w:rPr>
            </w:pPr>
          </w:p>
        </w:tc>
      </w:tr>
      <w:tr w:rsidR="000C31B1" w:rsidRPr="00745BAC" w:rsidTr="004A6165">
        <w:tc>
          <w:tcPr>
            <w:tcW w:w="1588" w:type="dxa"/>
          </w:tcPr>
          <w:p w:rsidR="000C31B1" w:rsidRPr="00D03CE7" w:rsidRDefault="000C31B1" w:rsidP="000C31B1">
            <w:pPr>
              <w:rPr>
                <w:b/>
              </w:rPr>
            </w:pPr>
            <w:r w:rsidRPr="00D03CE7">
              <w:rPr>
                <w:b/>
              </w:rPr>
              <w:t>Standing Items</w:t>
            </w:r>
            <w:r w:rsidR="00052289">
              <w:rPr>
                <w:b/>
              </w:rPr>
              <w:t>:</w:t>
            </w:r>
            <w:r w:rsidR="009179A4">
              <w:rPr>
                <w:b/>
              </w:rPr>
              <w:t xml:space="preserve"> </w:t>
            </w:r>
            <w:r w:rsidRPr="00D03CE7">
              <w:rPr>
                <w:b/>
              </w:rPr>
              <w:t>Training Opportunities, including local training</w:t>
            </w:r>
          </w:p>
          <w:p w:rsidR="000C31B1" w:rsidRPr="00DD4308" w:rsidRDefault="000C31B1" w:rsidP="000C31B1">
            <w:pPr>
              <w:rPr>
                <w:b/>
              </w:rPr>
            </w:pPr>
          </w:p>
        </w:tc>
        <w:tc>
          <w:tcPr>
            <w:tcW w:w="9498" w:type="dxa"/>
            <w:shd w:val="clear" w:color="auto" w:fill="auto"/>
          </w:tcPr>
          <w:p w:rsidR="001E1A44" w:rsidRDefault="00CF620D" w:rsidP="00CF620D">
            <w:r>
              <w:t>Maidstone BC have shared details of training coming forward (2 day part 7 HRA and letter writing courses).</w:t>
            </w:r>
          </w:p>
          <w:p w:rsidR="00CF620D" w:rsidRDefault="00CF620D" w:rsidP="00CF620D"/>
          <w:p w:rsidR="00CF620D" w:rsidRPr="00745BAC" w:rsidRDefault="00CF620D" w:rsidP="00CF620D"/>
        </w:tc>
        <w:tc>
          <w:tcPr>
            <w:tcW w:w="896" w:type="dxa"/>
            <w:shd w:val="clear" w:color="auto" w:fill="auto"/>
          </w:tcPr>
          <w:p w:rsidR="000C31B1" w:rsidRPr="00745BAC" w:rsidRDefault="00CF620D" w:rsidP="000C31B1">
            <w:pPr>
              <w:jc w:val="both"/>
            </w:pPr>
            <w:r>
              <w:t xml:space="preserve">As </w:t>
            </w:r>
            <w:proofErr w:type="spellStart"/>
            <w:r>
              <w:t>req’d</w:t>
            </w:r>
            <w:proofErr w:type="spellEnd"/>
          </w:p>
        </w:tc>
        <w:tc>
          <w:tcPr>
            <w:tcW w:w="1289" w:type="dxa"/>
            <w:shd w:val="clear" w:color="auto" w:fill="auto"/>
          </w:tcPr>
          <w:p w:rsidR="000C31B1" w:rsidRPr="00D96F1E" w:rsidRDefault="00CF620D" w:rsidP="000C31B1">
            <w:pPr>
              <w:rPr>
                <w:b/>
              </w:rPr>
            </w:pPr>
            <w:r>
              <w:rPr>
                <w:b/>
              </w:rPr>
              <w:t>ALL</w:t>
            </w:r>
          </w:p>
        </w:tc>
        <w:tc>
          <w:tcPr>
            <w:tcW w:w="2068" w:type="dxa"/>
            <w:shd w:val="clear" w:color="auto" w:fill="auto"/>
          </w:tcPr>
          <w:p w:rsidR="000C31B1" w:rsidRPr="00AA6FEA" w:rsidRDefault="00CF620D" w:rsidP="000C31B1">
            <w:pPr>
              <w:rPr>
                <w:color w:val="FF0000"/>
              </w:rPr>
            </w:pPr>
            <w:r>
              <w:rPr>
                <w:color w:val="FF0000"/>
              </w:rPr>
              <w:t>ALL to share as details come forward</w:t>
            </w:r>
          </w:p>
        </w:tc>
      </w:tr>
      <w:tr w:rsidR="000C31B1" w:rsidRPr="00745BAC" w:rsidTr="004A6165">
        <w:tc>
          <w:tcPr>
            <w:tcW w:w="1588" w:type="dxa"/>
          </w:tcPr>
          <w:p w:rsidR="000C31B1" w:rsidRPr="00DD4308" w:rsidRDefault="000C31B1" w:rsidP="000C31B1">
            <w:pPr>
              <w:rPr>
                <w:b/>
              </w:rPr>
            </w:pPr>
            <w:r>
              <w:rPr>
                <w:b/>
              </w:rPr>
              <w:t>AOB</w:t>
            </w:r>
          </w:p>
        </w:tc>
        <w:tc>
          <w:tcPr>
            <w:tcW w:w="9498" w:type="dxa"/>
            <w:shd w:val="clear" w:color="auto" w:fill="auto"/>
          </w:tcPr>
          <w:p w:rsidR="00C35551" w:rsidRDefault="00C35551" w:rsidP="00C35551">
            <w:r>
              <w:t>MG - Conference in December 2018, Northampton.  Review of Allocations Policy to include HRA taken to Cabinet.</w:t>
            </w:r>
          </w:p>
          <w:p w:rsidR="00C35551" w:rsidRDefault="00C35551" w:rsidP="00C35551"/>
          <w:p w:rsidR="00C35551" w:rsidRDefault="00C35551" w:rsidP="00C35551">
            <w:r>
              <w:t>It was agreed that RS will email the group about the role of Chair, if no one comes forward it will go to MG and a new Vice Chair will be elected.</w:t>
            </w:r>
          </w:p>
          <w:p w:rsidR="00C35551" w:rsidRDefault="00C35551" w:rsidP="00C35551"/>
          <w:p w:rsidR="00AA6FEA" w:rsidRDefault="00C35551" w:rsidP="00C35551">
            <w:r>
              <w:t xml:space="preserve">FM – on </w:t>
            </w:r>
            <w:r w:rsidR="006A3F16">
              <w:t>L</w:t>
            </w:r>
            <w:r>
              <w:t xml:space="preserve">ocata, when a case is closed to view a PH you need to publish it and view it in the letters section.  You can use publish even if you don’t intend to </w:t>
            </w:r>
            <w:r w:rsidR="006A3F16">
              <w:t>publish it.</w:t>
            </w:r>
          </w:p>
          <w:p w:rsidR="006A3F16" w:rsidRDefault="006A3F16" w:rsidP="00C35551"/>
          <w:p w:rsidR="006A3F16" w:rsidRDefault="006A3F16" w:rsidP="00C35551">
            <w:r>
              <w:t>EM – GDPR and correspondence from external organisations such as banks, should this be responded to?  How do you hold/store information to not breach GDPR?</w:t>
            </w:r>
          </w:p>
          <w:p w:rsidR="006A3F16" w:rsidRDefault="006A3F16" w:rsidP="00C35551"/>
          <w:p w:rsidR="006A3F16" w:rsidRDefault="006A3F16" w:rsidP="00C35551">
            <w:r>
              <w:t>Discharge of duty date and then the date when the letter is written, which can be different, which is the discharge date?  It was agreed that the errors via H-Click were date matching, the case is only formally closed once the letter is sent so agreed to use the date on the letter as discharge date.</w:t>
            </w:r>
          </w:p>
          <w:p w:rsidR="006A3F16" w:rsidRDefault="006A3F16" w:rsidP="00C35551"/>
          <w:p w:rsidR="006A3F16" w:rsidRDefault="006A3F16" w:rsidP="00C35551">
            <w:r>
              <w:t>PM – trainer v’s champion for Locata, VH advised that this a trainer role has been advertised for a two day role, advertised nationally.</w:t>
            </w:r>
          </w:p>
          <w:p w:rsidR="00B56A5B" w:rsidRDefault="00B56A5B" w:rsidP="00C35551"/>
          <w:p w:rsidR="00B56A5B" w:rsidRDefault="00B56A5B" w:rsidP="00C35551">
            <w:r>
              <w:t>MD – DHP, colleagues to share information about what their authorities are doing regarding HB and UC.</w:t>
            </w:r>
          </w:p>
          <w:p w:rsidR="006A3F16" w:rsidRDefault="006A3F16" w:rsidP="00C35551"/>
          <w:p w:rsidR="00B56A5B" w:rsidRDefault="00B56A5B" w:rsidP="00C35551">
            <w:r>
              <w:lastRenderedPageBreak/>
              <w:t>RS to share dates for 2019 with group (full and LA)</w:t>
            </w:r>
          </w:p>
          <w:p w:rsidR="001E4B9E" w:rsidRDefault="001E4B9E" w:rsidP="00C35551"/>
          <w:p w:rsidR="001E4B9E" w:rsidRDefault="001E4B9E" w:rsidP="00C35551"/>
          <w:p w:rsidR="00B56A5B" w:rsidRDefault="00B56A5B" w:rsidP="00C35551">
            <w:r>
              <w:t>SC suggested inviti</w:t>
            </w:r>
            <w:r w:rsidR="00252846">
              <w:t>ng KSAS to a meeting of KHOG to establish who qualifies for what assistance they provide.  RS to invite KSAS to November meeting, SC to share contact details with RS.</w:t>
            </w:r>
          </w:p>
          <w:p w:rsidR="00252846" w:rsidRDefault="00252846" w:rsidP="00C35551"/>
          <w:p w:rsidR="006A3F16" w:rsidRDefault="00B56A5B" w:rsidP="00C35551">
            <w:r>
              <w:t xml:space="preserve">The group noted thanks to Jane for her work with the group </w:t>
            </w:r>
            <w:r w:rsidR="00252846">
              <w:t xml:space="preserve">and wished her good luck for the future. </w:t>
            </w:r>
            <w:r w:rsidR="001E4B9E">
              <w:t>Jane’s</w:t>
            </w:r>
            <w:r w:rsidR="00252846">
              <w:t xml:space="preserve"> replacement will commence in early November.</w:t>
            </w:r>
          </w:p>
          <w:p w:rsidR="00252846" w:rsidRPr="001C48C5" w:rsidRDefault="00252846" w:rsidP="00C35551"/>
        </w:tc>
        <w:tc>
          <w:tcPr>
            <w:tcW w:w="896" w:type="dxa"/>
            <w:shd w:val="clear" w:color="auto" w:fill="auto"/>
          </w:tcPr>
          <w:p w:rsidR="00AA6FEA" w:rsidRDefault="00AA6FEA" w:rsidP="000C31B1"/>
          <w:p w:rsidR="00B56A5B" w:rsidRDefault="00B56A5B" w:rsidP="000C31B1"/>
          <w:p w:rsidR="001E4B9E" w:rsidRDefault="001E4B9E" w:rsidP="000C31B1"/>
          <w:p w:rsidR="001E4B9E" w:rsidRDefault="001E4B9E" w:rsidP="000C31B1">
            <w:r>
              <w:t>By 17/09</w:t>
            </w:r>
          </w:p>
          <w:p w:rsidR="00B56A5B" w:rsidRDefault="00B56A5B" w:rsidP="000C31B1"/>
          <w:p w:rsidR="00B56A5B" w:rsidRDefault="00B56A5B" w:rsidP="000C31B1"/>
          <w:p w:rsidR="00B56A5B" w:rsidRDefault="00B56A5B" w:rsidP="000C31B1"/>
          <w:p w:rsidR="00B56A5B" w:rsidRDefault="00B56A5B" w:rsidP="000C31B1"/>
          <w:p w:rsidR="00B56A5B" w:rsidRDefault="00B56A5B" w:rsidP="000C31B1"/>
          <w:p w:rsidR="00B56A5B" w:rsidRDefault="00B56A5B" w:rsidP="000C31B1"/>
          <w:p w:rsidR="00B56A5B" w:rsidRDefault="00B56A5B" w:rsidP="000C31B1"/>
          <w:p w:rsidR="00B56A5B" w:rsidRDefault="00B56A5B" w:rsidP="000C31B1"/>
          <w:p w:rsidR="00B56A5B" w:rsidRDefault="00B56A5B" w:rsidP="000C31B1"/>
          <w:p w:rsidR="00B56A5B" w:rsidRDefault="00B56A5B" w:rsidP="000C31B1"/>
          <w:p w:rsidR="00B56A5B" w:rsidRDefault="00B56A5B" w:rsidP="000C31B1"/>
          <w:p w:rsidR="00B56A5B" w:rsidRDefault="00B56A5B" w:rsidP="000C31B1"/>
          <w:p w:rsidR="00B56A5B" w:rsidRDefault="00B56A5B" w:rsidP="000C31B1"/>
          <w:p w:rsidR="00B56A5B" w:rsidRDefault="00B56A5B" w:rsidP="000C31B1"/>
          <w:p w:rsidR="00B56A5B" w:rsidRDefault="00B56A5B" w:rsidP="000C31B1"/>
          <w:p w:rsidR="00B56A5B" w:rsidRDefault="00B56A5B" w:rsidP="000C31B1">
            <w:r>
              <w:t>ASAP</w:t>
            </w:r>
          </w:p>
          <w:p w:rsidR="001E4B9E" w:rsidRDefault="001E4B9E" w:rsidP="000C31B1"/>
          <w:p w:rsidR="001E4B9E" w:rsidRDefault="001E4B9E" w:rsidP="000C31B1"/>
          <w:p w:rsidR="001E4B9E" w:rsidRDefault="001E4B9E" w:rsidP="000C31B1">
            <w:r>
              <w:lastRenderedPageBreak/>
              <w:t>By 1/11</w:t>
            </w:r>
          </w:p>
          <w:p w:rsidR="001E4B9E" w:rsidRDefault="001E4B9E" w:rsidP="000C31B1"/>
          <w:p w:rsidR="001E4B9E" w:rsidRDefault="001E4B9E" w:rsidP="000C31B1"/>
          <w:p w:rsidR="001E4B9E" w:rsidRPr="00745BAC" w:rsidRDefault="001E4B9E" w:rsidP="000C31B1">
            <w:r>
              <w:t>By 13/9</w:t>
            </w:r>
          </w:p>
        </w:tc>
        <w:tc>
          <w:tcPr>
            <w:tcW w:w="1289" w:type="dxa"/>
            <w:shd w:val="clear" w:color="auto" w:fill="auto"/>
          </w:tcPr>
          <w:p w:rsidR="00161B9E" w:rsidRDefault="00161B9E" w:rsidP="000C31B1">
            <w:pPr>
              <w:rPr>
                <w:b/>
              </w:rPr>
            </w:pPr>
          </w:p>
          <w:p w:rsidR="00B56A5B" w:rsidRDefault="00B56A5B" w:rsidP="000C31B1">
            <w:pPr>
              <w:rPr>
                <w:b/>
              </w:rPr>
            </w:pPr>
          </w:p>
          <w:p w:rsidR="001E4B9E" w:rsidRDefault="001E4B9E" w:rsidP="000C31B1">
            <w:pPr>
              <w:rPr>
                <w:b/>
              </w:rPr>
            </w:pPr>
          </w:p>
          <w:p w:rsidR="001E4B9E" w:rsidRDefault="001E4B9E" w:rsidP="000C31B1">
            <w:pPr>
              <w:rPr>
                <w:b/>
              </w:rPr>
            </w:pPr>
            <w:r>
              <w:rPr>
                <w:b/>
              </w:rPr>
              <w:t>RS</w:t>
            </w:r>
          </w:p>
          <w:p w:rsidR="00B56A5B" w:rsidRDefault="00B56A5B" w:rsidP="000C31B1">
            <w:pPr>
              <w:rPr>
                <w:b/>
              </w:rPr>
            </w:pPr>
          </w:p>
          <w:p w:rsidR="00B56A5B" w:rsidRDefault="00B56A5B" w:rsidP="000C31B1">
            <w:pPr>
              <w:rPr>
                <w:b/>
              </w:rPr>
            </w:pPr>
          </w:p>
          <w:p w:rsidR="00B56A5B" w:rsidRDefault="00B56A5B" w:rsidP="000C31B1">
            <w:pPr>
              <w:rPr>
                <w:b/>
              </w:rPr>
            </w:pPr>
          </w:p>
          <w:p w:rsidR="00B56A5B" w:rsidRDefault="00B56A5B" w:rsidP="000C31B1">
            <w:pPr>
              <w:rPr>
                <w:b/>
              </w:rPr>
            </w:pPr>
          </w:p>
          <w:p w:rsidR="00B56A5B" w:rsidRDefault="00B56A5B" w:rsidP="000C31B1">
            <w:pPr>
              <w:rPr>
                <w:b/>
              </w:rPr>
            </w:pPr>
          </w:p>
          <w:p w:rsidR="00B56A5B" w:rsidRDefault="00B56A5B" w:rsidP="000C31B1">
            <w:pPr>
              <w:rPr>
                <w:b/>
              </w:rPr>
            </w:pPr>
          </w:p>
          <w:p w:rsidR="00B56A5B" w:rsidRDefault="00B56A5B" w:rsidP="000C31B1">
            <w:pPr>
              <w:rPr>
                <w:b/>
              </w:rPr>
            </w:pPr>
          </w:p>
          <w:p w:rsidR="00B56A5B" w:rsidRDefault="00B56A5B" w:rsidP="000C31B1">
            <w:pPr>
              <w:rPr>
                <w:b/>
              </w:rPr>
            </w:pPr>
          </w:p>
          <w:p w:rsidR="00B56A5B" w:rsidRDefault="00B56A5B" w:rsidP="000C31B1">
            <w:pPr>
              <w:rPr>
                <w:b/>
              </w:rPr>
            </w:pPr>
          </w:p>
          <w:p w:rsidR="00B56A5B" w:rsidRDefault="00B56A5B" w:rsidP="000C31B1">
            <w:pPr>
              <w:rPr>
                <w:b/>
              </w:rPr>
            </w:pPr>
          </w:p>
          <w:p w:rsidR="00B56A5B" w:rsidRDefault="00B56A5B" w:rsidP="000C31B1">
            <w:pPr>
              <w:rPr>
                <w:b/>
              </w:rPr>
            </w:pPr>
          </w:p>
          <w:p w:rsidR="00B56A5B" w:rsidRDefault="00B56A5B" w:rsidP="000C31B1">
            <w:pPr>
              <w:rPr>
                <w:b/>
              </w:rPr>
            </w:pPr>
          </w:p>
          <w:p w:rsidR="00B56A5B" w:rsidRDefault="00B56A5B" w:rsidP="000C31B1">
            <w:pPr>
              <w:rPr>
                <w:b/>
              </w:rPr>
            </w:pPr>
          </w:p>
          <w:p w:rsidR="00B56A5B" w:rsidRDefault="00B56A5B" w:rsidP="000C31B1">
            <w:pPr>
              <w:rPr>
                <w:b/>
              </w:rPr>
            </w:pPr>
          </w:p>
          <w:p w:rsidR="00B56A5B" w:rsidRDefault="00B56A5B" w:rsidP="000C31B1">
            <w:pPr>
              <w:rPr>
                <w:b/>
              </w:rPr>
            </w:pPr>
          </w:p>
          <w:p w:rsidR="00B56A5B" w:rsidRDefault="00B56A5B" w:rsidP="000C31B1">
            <w:pPr>
              <w:rPr>
                <w:b/>
              </w:rPr>
            </w:pPr>
            <w:r>
              <w:rPr>
                <w:b/>
              </w:rPr>
              <w:t>ALL</w:t>
            </w:r>
          </w:p>
          <w:p w:rsidR="001E4B9E" w:rsidRDefault="001E4B9E" w:rsidP="000C31B1">
            <w:pPr>
              <w:rPr>
                <w:b/>
              </w:rPr>
            </w:pPr>
          </w:p>
          <w:p w:rsidR="001E4B9E" w:rsidRDefault="001E4B9E" w:rsidP="000C31B1">
            <w:pPr>
              <w:rPr>
                <w:b/>
              </w:rPr>
            </w:pPr>
          </w:p>
          <w:p w:rsidR="001E4B9E" w:rsidRDefault="001E4B9E" w:rsidP="000C31B1">
            <w:pPr>
              <w:rPr>
                <w:b/>
              </w:rPr>
            </w:pPr>
            <w:r>
              <w:rPr>
                <w:b/>
              </w:rPr>
              <w:lastRenderedPageBreak/>
              <w:t>RS</w:t>
            </w:r>
          </w:p>
          <w:p w:rsidR="001E4B9E" w:rsidRDefault="001E4B9E" w:rsidP="000C31B1">
            <w:pPr>
              <w:rPr>
                <w:b/>
              </w:rPr>
            </w:pPr>
          </w:p>
          <w:p w:rsidR="001E4B9E" w:rsidRDefault="001E4B9E" w:rsidP="000C31B1">
            <w:pPr>
              <w:rPr>
                <w:b/>
              </w:rPr>
            </w:pPr>
          </w:p>
          <w:p w:rsidR="001E4B9E" w:rsidRDefault="001E4B9E" w:rsidP="000C31B1">
            <w:pPr>
              <w:rPr>
                <w:b/>
              </w:rPr>
            </w:pPr>
            <w:r>
              <w:rPr>
                <w:b/>
              </w:rPr>
              <w:t>RS</w:t>
            </w:r>
          </w:p>
          <w:p w:rsidR="001E4B9E" w:rsidRPr="00D96F1E" w:rsidRDefault="001E4B9E" w:rsidP="000C31B1">
            <w:pPr>
              <w:rPr>
                <w:b/>
              </w:rPr>
            </w:pPr>
          </w:p>
        </w:tc>
        <w:tc>
          <w:tcPr>
            <w:tcW w:w="2068" w:type="dxa"/>
            <w:shd w:val="clear" w:color="auto" w:fill="auto"/>
          </w:tcPr>
          <w:p w:rsidR="00161B9E" w:rsidRDefault="00161B9E" w:rsidP="000C31B1">
            <w:pPr>
              <w:rPr>
                <w:color w:val="FF0000"/>
              </w:rPr>
            </w:pPr>
          </w:p>
          <w:p w:rsidR="00B56A5B" w:rsidRDefault="00B56A5B" w:rsidP="000C31B1">
            <w:pPr>
              <w:rPr>
                <w:color w:val="FF0000"/>
              </w:rPr>
            </w:pPr>
          </w:p>
          <w:p w:rsidR="001E4B9E" w:rsidRDefault="001E4B9E" w:rsidP="000C31B1">
            <w:pPr>
              <w:rPr>
                <w:color w:val="FF0000"/>
              </w:rPr>
            </w:pPr>
          </w:p>
          <w:p w:rsidR="001E4B9E" w:rsidRDefault="001E4B9E" w:rsidP="000C31B1">
            <w:pPr>
              <w:rPr>
                <w:color w:val="FF0000"/>
              </w:rPr>
            </w:pPr>
            <w:r>
              <w:rPr>
                <w:color w:val="FF0000"/>
              </w:rPr>
              <w:t>ALL to respond to email</w:t>
            </w:r>
          </w:p>
          <w:p w:rsidR="001E4B9E" w:rsidRDefault="001E4B9E" w:rsidP="000C31B1">
            <w:pPr>
              <w:rPr>
                <w:color w:val="FF0000"/>
              </w:rPr>
            </w:pPr>
          </w:p>
          <w:p w:rsidR="001E4B9E" w:rsidRDefault="001E4B9E" w:rsidP="000C31B1">
            <w:pPr>
              <w:rPr>
                <w:color w:val="FF0000"/>
              </w:rPr>
            </w:pPr>
          </w:p>
          <w:p w:rsidR="001E4B9E" w:rsidRDefault="001E4B9E" w:rsidP="000C31B1">
            <w:pPr>
              <w:rPr>
                <w:color w:val="FF0000"/>
              </w:rPr>
            </w:pPr>
          </w:p>
          <w:p w:rsidR="001E4B9E" w:rsidRDefault="001E4B9E" w:rsidP="000C31B1">
            <w:pPr>
              <w:rPr>
                <w:color w:val="FF0000"/>
              </w:rPr>
            </w:pPr>
          </w:p>
          <w:p w:rsidR="001E4B9E" w:rsidRDefault="001E4B9E" w:rsidP="000C31B1">
            <w:pPr>
              <w:rPr>
                <w:color w:val="FF0000"/>
              </w:rPr>
            </w:pPr>
          </w:p>
          <w:p w:rsidR="001E4B9E" w:rsidRDefault="001E4B9E" w:rsidP="000C31B1">
            <w:pPr>
              <w:rPr>
                <w:color w:val="FF0000"/>
              </w:rPr>
            </w:pPr>
          </w:p>
          <w:p w:rsidR="001E4B9E" w:rsidRDefault="001E4B9E" w:rsidP="000C31B1">
            <w:pPr>
              <w:rPr>
                <w:color w:val="FF0000"/>
              </w:rPr>
            </w:pPr>
          </w:p>
          <w:p w:rsidR="001E4B9E" w:rsidRDefault="001E4B9E" w:rsidP="000C31B1">
            <w:pPr>
              <w:rPr>
                <w:color w:val="FF0000"/>
              </w:rPr>
            </w:pPr>
          </w:p>
          <w:p w:rsidR="001E4B9E" w:rsidRDefault="001E4B9E" w:rsidP="000C31B1">
            <w:pPr>
              <w:rPr>
                <w:color w:val="FF0000"/>
              </w:rPr>
            </w:pPr>
          </w:p>
          <w:p w:rsidR="001E4B9E" w:rsidRDefault="001E4B9E" w:rsidP="000C31B1">
            <w:pPr>
              <w:rPr>
                <w:color w:val="FF0000"/>
              </w:rPr>
            </w:pPr>
          </w:p>
          <w:p w:rsidR="001E4B9E" w:rsidRDefault="001E4B9E" w:rsidP="000C31B1">
            <w:pPr>
              <w:rPr>
                <w:color w:val="FF0000"/>
              </w:rPr>
            </w:pPr>
          </w:p>
          <w:p w:rsidR="001E4B9E" w:rsidRDefault="001E4B9E" w:rsidP="000C31B1">
            <w:pPr>
              <w:rPr>
                <w:color w:val="FF0000"/>
              </w:rPr>
            </w:pPr>
          </w:p>
          <w:p w:rsidR="001E4B9E" w:rsidRDefault="001E4B9E" w:rsidP="000C31B1">
            <w:pPr>
              <w:rPr>
                <w:color w:val="FF0000"/>
              </w:rPr>
            </w:pPr>
          </w:p>
          <w:p w:rsidR="001E4B9E" w:rsidRDefault="001E4B9E" w:rsidP="000C31B1">
            <w:pPr>
              <w:rPr>
                <w:color w:val="FF0000"/>
              </w:rPr>
            </w:pPr>
          </w:p>
          <w:p w:rsidR="001E4B9E" w:rsidRDefault="001E4B9E" w:rsidP="000C31B1">
            <w:pPr>
              <w:rPr>
                <w:color w:val="FF0000"/>
              </w:rPr>
            </w:pPr>
            <w:r>
              <w:rPr>
                <w:color w:val="FF0000"/>
              </w:rPr>
              <w:t>Examples to be shared with MD</w:t>
            </w:r>
          </w:p>
          <w:p w:rsidR="001E4B9E" w:rsidRDefault="001E4B9E" w:rsidP="000C31B1">
            <w:pPr>
              <w:rPr>
                <w:color w:val="FF0000"/>
              </w:rPr>
            </w:pPr>
          </w:p>
          <w:p w:rsidR="001E4B9E" w:rsidRDefault="001E4B9E" w:rsidP="000C31B1">
            <w:pPr>
              <w:rPr>
                <w:color w:val="FF0000"/>
              </w:rPr>
            </w:pPr>
            <w:r>
              <w:rPr>
                <w:color w:val="FF0000"/>
              </w:rPr>
              <w:lastRenderedPageBreak/>
              <w:t>RS to share dates and confirm venue</w:t>
            </w:r>
          </w:p>
          <w:p w:rsidR="001E4B9E" w:rsidRDefault="001E4B9E" w:rsidP="000C31B1">
            <w:pPr>
              <w:rPr>
                <w:color w:val="FF0000"/>
              </w:rPr>
            </w:pPr>
          </w:p>
          <w:p w:rsidR="001E4B9E" w:rsidRDefault="001E4B9E" w:rsidP="000C31B1">
            <w:pPr>
              <w:rPr>
                <w:color w:val="FF0000"/>
              </w:rPr>
            </w:pPr>
            <w:r>
              <w:rPr>
                <w:color w:val="FF0000"/>
              </w:rPr>
              <w:t>RS to invite to next meeting</w:t>
            </w:r>
          </w:p>
          <w:p w:rsidR="00B56A5B" w:rsidRDefault="00B56A5B" w:rsidP="000C31B1">
            <w:pPr>
              <w:rPr>
                <w:color w:val="FF0000"/>
              </w:rPr>
            </w:pPr>
          </w:p>
          <w:p w:rsidR="00B56A5B" w:rsidRDefault="00B56A5B" w:rsidP="000C31B1">
            <w:pPr>
              <w:rPr>
                <w:color w:val="FF0000"/>
              </w:rPr>
            </w:pPr>
          </w:p>
          <w:p w:rsidR="00B56A5B" w:rsidRDefault="00B56A5B" w:rsidP="000C31B1">
            <w:pPr>
              <w:rPr>
                <w:color w:val="FF0000"/>
              </w:rPr>
            </w:pPr>
          </w:p>
          <w:p w:rsidR="00B56A5B" w:rsidRPr="00AA6FEA" w:rsidRDefault="00B56A5B" w:rsidP="000C31B1">
            <w:pPr>
              <w:rPr>
                <w:color w:val="FF0000"/>
              </w:rPr>
            </w:pPr>
          </w:p>
        </w:tc>
      </w:tr>
      <w:tr w:rsidR="000C31B1" w:rsidRPr="00745BAC" w:rsidTr="004A6165">
        <w:tc>
          <w:tcPr>
            <w:tcW w:w="1588" w:type="dxa"/>
          </w:tcPr>
          <w:p w:rsidR="000C31B1" w:rsidRDefault="000C31B1" w:rsidP="000C31B1">
            <w:pPr>
              <w:rPr>
                <w:b/>
              </w:rPr>
            </w:pPr>
            <w:r>
              <w:rPr>
                <w:b/>
              </w:rPr>
              <w:lastRenderedPageBreak/>
              <w:t>Next Meeting</w:t>
            </w:r>
          </w:p>
        </w:tc>
        <w:tc>
          <w:tcPr>
            <w:tcW w:w="9498" w:type="dxa"/>
            <w:shd w:val="clear" w:color="auto" w:fill="auto"/>
          </w:tcPr>
          <w:p w:rsidR="000C31B1" w:rsidRDefault="0080322B" w:rsidP="00427D3E">
            <w:r>
              <w:t>1</w:t>
            </w:r>
            <w:r w:rsidRPr="0080322B">
              <w:rPr>
                <w:vertAlign w:val="superscript"/>
              </w:rPr>
              <w:t>st</w:t>
            </w:r>
            <w:r>
              <w:t xml:space="preserve"> November (full meeting) – Maidstone Borough Council Offices</w:t>
            </w:r>
          </w:p>
          <w:p w:rsidR="00252846" w:rsidRDefault="00252846" w:rsidP="00427D3E"/>
          <w:p w:rsidR="00252846" w:rsidRPr="00C166F9" w:rsidRDefault="00252846" w:rsidP="00427D3E">
            <w:r>
              <w:t>13</w:t>
            </w:r>
            <w:r w:rsidRPr="00252846">
              <w:rPr>
                <w:vertAlign w:val="superscript"/>
              </w:rPr>
              <w:t>th</w:t>
            </w:r>
            <w:r>
              <w:t xml:space="preserve"> December (LA only) - Maidstone</w:t>
            </w:r>
          </w:p>
        </w:tc>
        <w:tc>
          <w:tcPr>
            <w:tcW w:w="896" w:type="dxa"/>
            <w:shd w:val="clear" w:color="auto" w:fill="auto"/>
          </w:tcPr>
          <w:p w:rsidR="000C31B1" w:rsidRPr="00745BAC" w:rsidRDefault="000C31B1" w:rsidP="000C31B1"/>
        </w:tc>
        <w:tc>
          <w:tcPr>
            <w:tcW w:w="1289" w:type="dxa"/>
            <w:shd w:val="clear" w:color="auto" w:fill="auto"/>
          </w:tcPr>
          <w:p w:rsidR="000C31B1" w:rsidRPr="00745BAC" w:rsidRDefault="001E4B9E" w:rsidP="000C31B1">
            <w:r>
              <w:t>ALL</w:t>
            </w:r>
          </w:p>
        </w:tc>
        <w:tc>
          <w:tcPr>
            <w:tcW w:w="2068" w:type="dxa"/>
            <w:shd w:val="clear" w:color="auto" w:fill="auto"/>
          </w:tcPr>
          <w:p w:rsidR="000C31B1" w:rsidRPr="00745BAC" w:rsidRDefault="001E4B9E" w:rsidP="000C31B1">
            <w:r>
              <w:t>To note and share apologies if necessary</w:t>
            </w:r>
          </w:p>
        </w:tc>
      </w:tr>
    </w:tbl>
    <w:p w:rsidR="00443F82" w:rsidRPr="00DF015F" w:rsidRDefault="00443F82" w:rsidP="004B0BAA">
      <w:pPr>
        <w:rPr>
          <w:b/>
        </w:rPr>
      </w:pPr>
    </w:p>
    <w:sectPr w:rsidR="00443F82" w:rsidRPr="00DF015F" w:rsidSect="00CC5D2C">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08F" w:rsidRDefault="00DC208F" w:rsidP="001D0582">
      <w:pPr>
        <w:spacing w:after="0" w:line="240" w:lineRule="auto"/>
      </w:pPr>
      <w:r>
        <w:separator/>
      </w:r>
    </w:p>
  </w:endnote>
  <w:endnote w:type="continuationSeparator" w:id="0">
    <w:p w:rsidR="00DC208F" w:rsidRDefault="00DC208F"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08F" w:rsidRDefault="00DC2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rsidR="00DC208F" w:rsidRDefault="00DC208F">
        <w:pPr>
          <w:pStyle w:val="Footer"/>
          <w:jc w:val="center"/>
        </w:pPr>
        <w:r>
          <w:fldChar w:fldCharType="begin"/>
        </w:r>
        <w:r>
          <w:instrText xml:space="preserve"> PAGE   \* MERGEFORMAT </w:instrText>
        </w:r>
        <w:r>
          <w:fldChar w:fldCharType="separate"/>
        </w:r>
        <w:r w:rsidR="00DC1938">
          <w:rPr>
            <w:noProof/>
          </w:rPr>
          <w:t>1</w:t>
        </w:r>
        <w:r>
          <w:rPr>
            <w:noProof/>
          </w:rPr>
          <w:fldChar w:fldCharType="end"/>
        </w:r>
      </w:p>
    </w:sdtContent>
  </w:sdt>
  <w:p w:rsidR="00DC208F" w:rsidRDefault="00DC20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08F" w:rsidRDefault="00DC2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08F" w:rsidRDefault="00DC208F" w:rsidP="001D0582">
      <w:pPr>
        <w:spacing w:after="0" w:line="240" w:lineRule="auto"/>
      </w:pPr>
      <w:r>
        <w:separator/>
      </w:r>
    </w:p>
  </w:footnote>
  <w:footnote w:type="continuationSeparator" w:id="0">
    <w:p w:rsidR="00DC208F" w:rsidRDefault="00DC208F"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08F" w:rsidRDefault="00DC2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979432"/>
      <w:docPartObj>
        <w:docPartGallery w:val="Watermarks"/>
        <w:docPartUnique/>
      </w:docPartObj>
    </w:sdtPr>
    <w:sdtEndPr/>
    <w:sdtContent>
      <w:p w:rsidR="00DC208F" w:rsidRDefault="00DC1938">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08F" w:rsidRDefault="00DC2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20283"/>
    <w:rsid w:val="00020716"/>
    <w:rsid w:val="000279B1"/>
    <w:rsid w:val="00031DE3"/>
    <w:rsid w:val="00031DE6"/>
    <w:rsid w:val="00052289"/>
    <w:rsid w:val="00061235"/>
    <w:rsid w:val="000624FA"/>
    <w:rsid w:val="00062F79"/>
    <w:rsid w:val="00064A20"/>
    <w:rsid w:val="000778DD"/>
    <w:rsid w:val="00080CC5"/>
    <w:rsid w:val="0008129C"/>
    <w:rsid w:val="000871E7"/>
    <w:rsid w:val="00091CE3"/>
    <w:rsid w:val="00094D7E"/>
    <w:rsid w:val="0009691C"/>
    <w:rsid w:val="000A7E2C"/>
    <w:rsid w:val="000B4C89"/>
    <w:rsid w:val="000B54B8"/>
    <w:rsid w:val="000C31B1"/>
    <w:rsid w:val="000D2F8E"/>
    <w:rsid w:val="000E1ABA"/>
    <w:rsid w:val="000E6197"/>
    <w:rsid w:val="000F4EEA"/>
    <w:rsid w:val="0010119D"/>
    <w:rsid w:val="00103E4A"/>
    <w:rsid w:val="00104544"/>
    <w:rsid w:val="00105208"/>
    <w:rsid w:val="00106D8C"/>
    <w:rsid w:val="0011025C"/>
    <w:rsid w:val="00110C77"/>
    <w:rsid w:val="00111B2B"/>
    <w:rsid w:val="00112C6A"/>
    <w:rsid w:val="00115F2B"/>
    <w:rsid w:val="00124F1C"/>
    <w:rsid w:val="001262F3"/>
    <w:rsid w:val="00130227"/>
    <w:rsid w:val="00130B92"/>
    <w:rsid w:val="001325F9"/>
    <w:rsid w:val="00136005"/>
    <w:rsid w:val="00141109"/>
    <w:rsid w:val="00146945"/>
    <w:rsid w:val="00150D2E"/>
    <w:rsid w:val="0015139D"/>
    <w:rsid w:val="00156EA5"/>
    <w:rsid w:val="00160B13"/>
    <w:rsid w:val="00161B9E"/>
    <w:rsid w:val="00164913"/>
    <w:rsid w:val="00165673"/>
    <w:rsid w:val="00176801"/>
    <w:rsid w:val="00181F41"/>
    <w:rsid w:val="00182CF3"/>
    <w:rsid w:val="00187F84"/>
    <w:rsid w:val="00197BCD"/>
    <w:rsid w:val="001A0526"/>
    <w:rsid w:val="001A1975"/>
    <w:rsid w:val="001B142B"/>
    <w:rsid w:val="001B4C9F"/>
    <w:rsid w:val="001B74E2"/>
    <w:rsid w:val="001B7F2E"/>
    <w:rsid w:val="001C0F9A"/>
    <w:rsid w:val="001C1D02"/>
    <w:rsid w:val="001C48C5"/>
    <w:rsid w:val="001D0582"/>
    <w:rsid w:val="001D78C0"/>
    <w:rsid w:val="001E1A44"/>
    <w:rsid w:val="001E4B9E"/>
    <w:rsid w:val="001E7873"/>
    <w:rsid w:val="001F00E7"/>
    <w:rsid w:val="001F399C"/>
    <w:rsid w:val="001F687A"/>
    <w:rsid w:val="00200B68"/>
    <w:rsid w:val="002036A2"/>
    <w:rsid w:val="002147E0"/>
    <w:rsid w:val="00231434"/>
    <w:rsid w:val="00252846"/>
    <w:rsid w:val="00252D55"/>
    <w:rsid w:val="002550E8"/>
    <w:rsid w:val="002615C8"/>
    <w:rsid w:val="00261D00"/>
    <w:rsid w:val="00261DD6"/>
    <w:rsid w:val="0027373A"/>
    <w:rsid w:val="002742D2"/>
    <w:rsid w:val="0027468E"/>
    <w:rsid w:val="00274D16"/>
    <w:rsid w:val="00276FDC"/>
    <w:rsid w:val="00282AB7"/>
    <w:rsid w:val="00284C0C"/>
    <w:rsid w:val="00285E0B"/>
    <w:rsid w:val="00293C7B"/>
    <w:rsid w:val="0029660B"/>
    <w:rsid w:val="002A366D"/>
    <w:rsid w:val="002B04EC"/>
    <w:rsid w:val="002B0598"/>
    <w:rsid w:val="002B184E"/>
    <w:rsid w:val="002C4971"/>
    <w:rsid w:val="002D03A5"/>
    <w:rsid w:val="002D0D5E"/>
    <w:rsid w:val="002D7698"/>
    <w:rsid w:val="00311C62"/>
    <w:rsid w:val="00313019"/>
    <w:rsid w:val="003144E8"/>
    <w:rsid w:val="00315121"/>
    <w:rsid w:val="003205E8"/>
    <w:rsid w:val="00323A19"/>
    <w:rsid w:val="003251FA"/>
    <w:rsid w:val="0033294D"/>
    <w:rsid w:val="003354F5"/>
    <w:rsid w:val="00343371"/>
    <w:rsid w:val="0034724C"/>
    <w:rsid w:val="00347D3D"/>
    <w:rsid w:val="00347FF5"/>
    <w:rsid w:val="003502C4"/>
    <w:rsid w:val="003561E6"/>
    <w:rsid w:val="003651B3"/>
    <w:rsid w:val="003767FE"/>
    <w:rsid w:val="003805C2"/>
    <w:rsid w:val="00387E78"/>
    <w:rsid w:val="003900EE"/>
    <w:rsid w:val="00391561"/>
    <w:rsid w:val="00393BA4"/>
    <w:rsid w:val="0039592E"/>
    <w:rsid w:val="00395DB1"/>
    <w:rsid w:val="003A12E5"/>
    <w:rsid w:val="003A72C3"/>
    <w:rsid w:val="003B0473"/>
    <w:rsid w:val="003C2892"/>
    <w:rsid w:val="003C4E1E"/>
    <w:rsid w:val="003C5FDA"/>
    <w:rsid w:val="003D7D3A"/>
    <w:rsid w:val="003F5CB0"/>
    <w:rsid w:val="004000CA"/>
    <w:rsid w:val="00401453"/>
    <w:rsid w:val="00417A80"/>
    <w:rsid w:val="004241B5"/>
    <w:rsid w:val="0042628B"/>
    <w:rsid w:val="00427AC7"/>
    <w:rsid w:val="00427CA9"/>
    <w:rsid w:val="00427D3E"/>
    <w:rsid w:val="0043172B"/>
    <w:rsid w:val="00432F07"/>
    <w:rsid w:val="00433611"/>
    <w:rsid w:val="00443C16"/>
    <w:rsid w:val="00443F82"/>
    <w:rsid w:val="00445779"/>
    <w:rsid w:val="00445815"/>
    <w:rsid w:val="004467BA"/>
    <w:rsid w:val="00451A7A"/>
    <w:rsid w:val="00452987"/>
    <w:rsid w:val="00453E3F"/>
    <w:rsid w:val="00454E00"/>
    <w:rsid w:val="004558CD"/>
    <w:rsid w:val="00471DD9"/>
    <w:rsid w:val="00477AFD"/>
    <w:rsid w:val="00486834"/>
    <w:rsid w:val="00487A05"/>
    <w:rsid w:val="0049191F"/>
    <w:rsid w:val="00492A6C"/>
    <w:rsid w:val="00493100"/>
    <w:rsid w:val="004A19A8"/>
    <w:rsid w:val="004A6165"/>
    <w:rsid w:val="004B0937"/>
    <w:rsid w:val="004B0BAA"/>
    <w:rsid w:val="004B7489"/>
    <w:rsid w:val="004C0DFB"/>
    <w:rsid w:val="004C57A0"/>
    <w:rsid w:val="004C5AF0"/>
    <w:rsid w:val="004C7313"/>
    <w:rsid w:val="004D0171"/>
    <w:rsid w:val="004D1D2D"/>
    <w:rsid w:val="004D577A"/>
    <w:rsid w:val="00511E5E"/>
    <w:rsid w:val="00514165"/>
    <w:rsid w:val="00521852"/>
    <w:rsid w:val="0052288E"/>
    <w:rsid w:val="005233B2"/>
    <w:rsid w:val="00527061"/>
    <w:rsid w:val="0053334D"/>
    <w:rsid w:val="005427B0"/>
    <w:rsid w:val="005462D1"/>
    <w:rsid w:val="00552F8D"/>
    <w:rsid w:val="00565E65"/>
    <w:rsid w:val="005755F2"/>
    <w:rsid w:val="00576705"/>
    <w:rsid w:val="00576D19"/>
    <w:rsid w:val="00582AE3"/>
    <w:rsid w:val="005866D1"/>
    <w:rsid w:val="00592AC2"/>
    <w:rsid w:val="00596291"/>
    <w:rsid w:val="005A7FF7"/>
    <w:rsid w:val="005B0792"/>
    <w:rsid w:val="005B0F8F"/>
    <w:rsid w:val="005B7F31"/>
    <w:rsid w:val="005C7995"/>
    <w:rsid w:val="005D1AB8"/>
    <w:rsid w:val="005D1DB6"/>
    <w:rsid w:val="005D68EF"/>
    <w:rsid w:val="005F3904"/>
    <w:rsid w:val="005F4F00"/>
    <w:rsid w:val="0060494E"/>
    <w:rsid w:val="006059D2"/>
    <w:rsid w:val="0061242E"/>
    <w:rsid w:val="00614883"/>
    <w:rsid w:val="0061520B"/>
    <w:rsid w:val="006167D1"/>
    <w:rsid w:val="006202F2"/>
    <w:rsid w:val="00632AE4"/>
    <w:rsid w:val="00633F20"/>
    <w:rsid w:val="00641215"/>
    <w:rsid w:val="00641D7C"/>
    <w:rsid w:val="00644EA6"/>
    <w:rsid w:val="0064548E"/>
    <w:rsid w:val="00647CA0"/>
    <w:rsid w:val="006556BA"/>
    <w:rsid w:val="006573EE"/>
    <w:rsid w:val="00663CCF"/>
    <w:rsid w:val="00665893"/>
    <w:rsid w:val="006668AE"/>
    <w:rsid w:val="0067090E"/>
    <w:rsid w:val="0067369A"/>
    <w:rsid w:val="006775AA"/>
    <w:rsid w:val="0068214F"/>
    <w:rsid w:val="00692887"/>
    <w:rsid w:val="00695733"/>
    <w:rsid w:val="0069608E"/>
    <w:rsid w:val="00696E2D"/>
    <w:rsid w:val="006A0F46"/>
    <w:rsid w:val="006A3F16"/>
    <w:rsid w:val="006C2E89"/>
    <w:rsid w:val="006C2EBB"/>
    <w:rsid w:val="006C34AE"/>
    <w:rsid w:val="006C635E"/>
    <w:rsid w:val="006D52CE"/>
    <w:rsid w:val="006D5504"/>
    <w:rsid w:val="006D6D36"/>
    <w:rsid w:val="006E2643"/>
    <w:rsid w:val="006E7F9D"/>
    <w:rsid w:val="006F190F"/>
    <w:rsid w:val="006F33CE"/>
    <w:rsid w:val="006F7B7C"/>
    <w:rsid w:val="007029C8"/>
    <w:rsid w:val="00707E57"/>
    <w:rsid w:val="00710536"/>
    <w:rsid w:val="007156DF"/>
    <w:rsid w:val="0071764F"/>
    <w:rsid w:val="007330A4"/>
    <w:rsid w:val="00734603"/>
    <w:rsid w:val="00734D65"/>
    <w:rsid w:val="00735129"/>
    <w:rsid w:val="00736BBC"/>
    <w:rsid w:val="00737FBB"/>
    <w:rsid w:val="00745BAC"/>
    <w:rsid w:val="007466C4"/>
    <w:rsid w:val="00750F98"/>
    <w:rsid w:val="007541FB"/>
    <w:rsid w:val="00754D2D"/>
    <w:rsid w:val="00755D98"/>
    <w:rsid w:val="0075752D"/>
    <w:rsid w:val="007634E0"/>
    <w:rsid w:val="007652BA"/>
    <w:rsid w:val="007679D1"/>
    <w:rsid w:val="0077139C"/>
    <w:rsid w:val="0077311A"/>
    <w:rsid w:val="00773CE1"/>
    <w:rsid w:val="00780F39"/>
    <w:rsid w:val="00780F97"/>
    <w:rsid w:val="007849CE"/>
    <w:rsid w:val="00786C96"/>
    <w:rsid w:val="00791545"/>
    <w:rsid w:val="007925A7"/>
    <w:rsid w:val="00794ADB"/>
    <w:rsid w:val="007965F9"/>
    <w:rsid w:val="00796AB2"/>
    <w:rsid w:val="00797CC0"/>
    <w:rsid w:val="007A2E9A"/>
    <w:rsid w:val="007A5545"/>
    <w:rsid w:val="007A6841"/>
    <w:rsid w:val="007A7E26"/>
    <w:rsid w:val="007B1A6D"/>
    <w:rsid w:val="007B2603"/>
    <w:rsid w:val="007B323F"/>
    <w:rsid w:val="007C2A71"/>
    <w:rsid w:val="007C47C8"/>
    <w:rsid w:val="007D12F2"/>
    <w:rsid w:val="007D3984"/>
    <w:rsid w:val="007D68B3"/>
    <w:rsid w:val="007F0D66"/>
    <w:rsid w:val="007F161E"/>
    <w:rsid w:val="007F6D5D"/>
    <w:rsid w:val="00800E06"/>
    <w:rsid w:val="0080322B"/>
    <w:rsid w:val="008032AC"/>
    <w:rsid w:val="00803549"/>
    <w:rsid w:val="00821D19"/>
    <w:rsid w:val="008319F8"/>
    <w:rsid w:val="00831B42"/>
    <w:rsid w:val="008320FE"/>
    <w:rsid w:val="008328DA"/>
    <w:rsid w:val="0083542E"/>
    <w:rsid w:val="00836724"/>
    <w:rsid w:val="00840B44"/>
    <w:rsid w:val="00842D44"/>
    <w:rsid w:val="00843F80"/>
    <w:rsid w:val="0086276E"/>
    <w:rsid w:val="00862B63"/>
    <w:rsid w:val="00863010"/>
    <w:rsid w:val="008669A9"/>
    <w:rsid w:val="0087181E"/>
    <w:rsid w:val="00871A17"/>
    <w:rsid w:val="008741B9"/>
    <w:rsid w:val="0088213F"/>
    <w:rsid w:val="00883DB8"/>
    <w:rsid w:val="00884433"/>
    <w:rsid w:val="00887E4E"/>
    <w:rsid w:val="0089332E"/>
    <w:rsid w:val="0089337E"/>
    <w:rsid w:val="00895424"/>
    <w:rsid w:val="008A4FAD"/>
    <w:rsid w:val="008B2794"/>
    <w:rsid w:val="008B438C"/>
    <w:rsid w:val="008C704F"/>
    <w:rsid w:val="008D2124"/>
    <w:rsid w:val="008D33AE"/>
    <w:rsid w:val="008D7427"/>
    <w:rsid w:val="008E7E63"/>
    <w:rsid w:val="008F2A5E"/>
    <w:rsid w:val="008F4007"/>
    <w:rsid w:val="008F621A"/>
    <w:rsid w:val="008F7807"/>
    <w:rsid w:val="008F7F4C"/>
    <w:rsid w:val="009010A3"/>
    <w:rsid w:val="00905C95"/>
    <w:rsid w:val="00911690"/>
    <w:rsid w:val="00915066"/>
    <w:rsid w:val="009179A4"/>
    <w:rsid w:val="009420AC"/>
    <w:rsid w:val="0094414E"/>
    <w:rsid w:val="00960571"/>
    <w:rsid w:val="00965254"/>
    <w:rsid w:val="00976E41"/>
    <w:rsid w:val="0098697A"/>
    <w:rsid w:val="00986BBC"/>
    <w:rsid w:val="00990F9A"/>
    <w:rsid w:val="00992028"/>
    <w:rsid w:val="00996975"/>
    <w:rsid w:val="009A08A6"/>
    <w:rsid w:val="009C548C"/>
    <w:rsid w:val="009C5ABD"/>
    <w:rsid w:val="009D22D0"/>
    <w:rsid w:val="009D3F0E"/>
    <w:rsid w:val="009D4A4C"/>
    <w:rsid w:val="009D4DD9"/>
    <w:rsid w:val="009D65BB"/>
    <w:rsid w:val="009E1DCB"/>
    <w:rsid w:val="009E49FB"/>
    <w:rsid w:val="009E732B"/>
    <w:rsid w:val="009F2480"/>
    <w:rsid w:val="00A01750"/>
    <w:rsid w:val="00A02477"/>
    <w:rsid w:val="00A041DA"/>
    <w:rsid w:val="00A05E24"/>
    <w:rsid w:val="00A2502B"/>
    <w:rsid w:val="00A3083F"/>
    <w:rsid w:val="00A31FFE"/>
    <w:rsid w:val="00A41B69"/>
    <w:rsid w:val="00A52DBB"/>
    <w:rsid w:val="00A5743A"/>
    <w:rsid w:val="00A67D6B"/>
    <w:rsid w:val="00A74FDB"/>
    <w:rsid w:val="00A75210"/>
    <w:rsid w:val="00A87C6C"/>
    <w:rsid w:val="00A91826"/>
    <w:rsid w:val="00A9440C"/>
    <w:rsid w:val="00A96EDB"/>
    <w:rsid w:val="00AA0992"/>
    <w:rsid w:val="00AA3F5E"/>
    <w:rsid w:val="00AA3FD7"/>
    <w:rsid w:val="00AA45A1"/>
    <w:rsid w:val="00AA49A4"/>
    <w:rsid w:val="00AA5681"/>
    <w:rsid w:val="00AA6047"/>
    <w:rsid w:val="00AA6FEA"/>
    <w:rsid w:val="00AB362D"/>
    <w:rsid w:val="00AB413A"/>
    <w:rsid w:val="00AB73A7"/>
    <w:rsid w:val="00AC2608"/>
    <w:rsid w:val="00AC328A"/>
    <w:rsid w:val="00AD494F"/>
    <w:rsid w:val="00AD719D"/>
    <w:rsid w:val="00AD71FE"/>
    <w:rsid w:val="00AE13BF"/>
    <w:rsid w:val="00AE5827"/>
    <w:rsid w:val="00AE7410"/>
    <w:rsid w:val="00B17CEA"/>
    <w:rsid w:val="00B21776"/>
    <w:rsid w:val="00B25E02"/>
    <w:rsid w:val="00B26D32"/>
    <w:rsid w:val="00B3068A"/>
    <w:rsid w:val="00B3345C"/>
    <w:rsid w:val="00B342EE"/>
    <w:rsid w:val="00B47710"/>
    <w:rsid w:val="00B51336"/>
    <w:rsid w:val="00B51AC8"/>
    <w:rsid w:val="00B55164"/>
    <w:rsid w:val="00B553B4"/>
    <w:rsid w:val="00B56A5B"/>
    <w:rsid w:val="00B71326"/>
    <w:rsid w:val="00B75B9A"/>
    <w:rsid w:val="00B77576"/>
    <w:rsid w:val="00B809BC"/>
    <w:rsid w:val="00B82FA9"/>
    <w:rsid w:val="00B83325"/>
    <w:rsid w:val="00B83A16"/>
    <w:rsid w:val="00B8529C"/>
    <w:rsid w:val="00B8788B"/>
    <w:rsid w:val="00B94C69"/>
    <w:rsid w:val="00BA3231"/>
    <w:rsid w:val="00BA3D16"/>
    <w:rsid w:val="00BA7C08"/>
    <w:rsid w:val="00BB652C"/>
    <w:rsid w:val="00BC7803"/>
    <w:rsid w:val="00BD14A6"/>
    <w:rsid w:val="00BD3127"/>
    <w:rsid w:val="00BD315C"/>
    <w:rsid w:val="00BE1A78"/>
    <w:rsid w:val="00BE5D7D"/>
    <w:rsid w:val="00BF07DA"/>
    <w:rsid w:val="00BF31E9"/>
    <w:rsid w:val="00BF546C"/>
    <w:rsid w:val="00C01161"/>
    <w:rsid w:val="00C039B7"/>
    <w:rsid w:val="00C166F9"/>
    <w:rsid w:val="00C22AE3"/>
    <w:rsid w:val="00C35551"/>
    <w:rsid w:val="00C42029"/>
    <w:rsid w:val="00C42CFA"/>
    <w:rsid w:val="00C4590A"/>
    <w:rsid w:val="00C51436"/>
    <w:rsid w:val="00C571A1"/>
    <w:rsid w:val="00C606DB"/>
    <w:rsid w:val="00C66676"/>
    <w:rsid w:val="00C70A53"/>
    <w:rsid w:val="00C70D27"/>
    <w:rsid w:val="00C775CC"/>
    <w:rsid w:val="00C778CC"/>
    <w:rsid w:val="00C86BD6"/>
    <w:rsid w:val="00C873FB"/>
    <w:rsid w:val="00C90A7B"/>
    <w:rsid w:val="00C94895"/>
    <w:rsid w:val="00C97E4B"/>
    <w:rsid w:val="00CA27E0"/>
    <w:rsid w:val="00CA3430"/>
    <w:rsid w:val="00CA5390"/>
    <w:rsid w:val="00CA5CA8"/>
    <w:rsid w:val="00CA6FA0"/>
    <w:rsid w:val="00CB193D"/>
    <w:rsid w:val="00CC5D2C"/>
    <w:rsid w:val="00CD1EC5"/>
    <w:rsid w:val="00CD3142"/>
    <w:rsid w:val="00CD3996"/>
    <w:rsid w:val="00CD42B4"/>
    <w:rsid w:val="00CE335C"/>
    <w:rsid w:val="00CE394E"/>
    <w:rsid w:val="00CF071E"/>
    <w:rsid w:val="00CF109C"/>
    <w:rsid w:val="00CF1FBA"/>
    <w:rsid w:val="00CF49BF"/>
    <w:rsid w:val="00CF620D"/>
    <w:rsid w:val="00CF7190"/>
    <w:rsid w:val="00D03209"/>
    <w:rsid w:val="00D03CE7"/>
    <w:rsid w:val="00D06ACE"/>
    <w:rsid w:val="00D103B4"/>
    <w:rsid w:val="00D110D6"/>
    <w:rsid w:val="00D17D37"/>
    <w:rsid w:val="00D22FFF"/>
    <w:rsid w:val="00D31709"/>
    <w:rsid w:val="00D3313F"/>
    <w:rsid w:val="00D34035"/>
    <w:rsid w:val="00D34CC5"/>
    <w:rsid w:val="00D40934"/>
    <w:rsid w:val="00D43968"/>
    <w:rsid w:val="00D45F60"/>
    <w:rsid w:val="00D46BA6"/>
    <w:rsid w:val="00D4715B"/>
    <w:rsid w:val="00D51F63"/>
    <w:rsid w:val="00D546D5"/>
    <w:rsid w:val="00D5513D"/>
    <w:rsid w:val="00D55EE3"/>
    <w:rsid w:val="00D60CC5"/>
    <w:rsid w:val="00D630CF"/>
    <w:rsid w:val="00D67388"/>
    <w:rsid w:val="00D8069A"/>
    <w:rsid w:val="00D84120"/>
    <w:rsid w:val="00D871E0"/>
    <w:rsid w:val="00D87693"/>
    <w:rsid w:val="00D90E15"/>
    <w:rsid w:val="00D9188B"/>
    <w:rsid w:val="00D91A32"/>
    <w:rsid w:val="00D91E19"/>
    <w:rsid w:val="00D94421"/>
    <w:rsid w:val="00D96F1E"/>
    <w:rsid w:val="00DA1229"/>
    <w:rsid w:val="00DA1D4D"/>
    <w:rsid w:val="00DA51C5"/>
    <w:rsid w:val="00DB1DA3"/>
    <w:rsid w:val="00DC1938"/>
    <w:rsid w:val="00DC208F"/>
    <w:rsid w:val="00DC2DDD"/>
    <w:rsid w:val="00DC5278"/>
    <w:rsid w:val="00DC71AE"/>
    <w:rsid w:val="00DD3C36"/>
    <w:rsid w:val="00DD4308"/>
    <w:rsid w:val="00DD6361"/>
    <w:rsid w:val="00DD775D"/>
    <w:rsid w:val="00DD7F1C"/>
    <w:rsid w:val="00DE3126"/>
    <w:rsid w:val="00DF015F"/>
    <w:rsid w:val="00DF2FAC"/>
    <w:rsid w:val="00DF5A67"/>
    <w:rsid w:val="00E02FF5"/>
    <w:rsid w:val="00E128D7"/>
    <w:rsid w:val="00E143E8"/>
    <w:rsid w:val="00E412F2"/>
    <w:rsid w:val="00E45720"/>
    <w:rsid w:val="00E45FCF"/>
    <w:rsid w:val="00E462BB"/>
    <w:rsid w:val="00E46ACC"/>
    <w:rsid w:val="00E510EA"/>
    <w:rsid w:val="00E61F28"/>
    <w:rsid w:val="00E62BA2"/>
    <w:rsid w:val="00E66FC1"/>
    <w:rsid w:val="00E805A7"/>
    <w:rsid w:val="00E839CE"/>
    <w:rsid w:val="00E86720"/>
    <w:rsid w:val="00E9367E"/>
    <w:rsid w:val="00E93FA9"/>
    <w:rsid w:val="00E97F02"/>
    <w:rsid w:val="00EA1956"/>
    <w:rsid w:val="00EA6CDC"/>
    <w:rsid w:val="00EB1CF0"/>
    <w:rsid w:val="00ED12D0"/>
    <w:rsid w:val="00ED2FEC"/>
    <w:rsid w:val="00ED5C0C"/>
    <w:rsid w:val="00EF1965"/>
    <w:rsid w:val="00F04F04"/>
    <w:rsid w:val="00F106D2"/>
    <w:rsid w:val="00F10803"/>
    <w:rsid w:val="00F10EF9"/>
    <w:rsid w:val="00F13A74"/>
    <w:rsid w:val="00F27267"/>
    <w:rsid w:val="00F332C5"/>
    <w:rsid w:val="00F37E24"/>
    <w:rsid w:val="00F40C2A"/>
    <w:rsid w:val="00F4148D"/>
    <w:rsid w:val="00F4695A"/>
    <w:rsid w:val="00F513B0"/>
    <w:rsid w:val="00F557F7"/>
    <w:rsid w:val="00F6164E"/>
    <w:rsid w:val="00F6254F"/>
    <w:rsid w:val="00F7118B"/>
    <w:rsid w:val="00F76478"/>
    <w:rsid w:val="00F87203"/>
    <w:rsid w:val="00F87CBC"/>
    <w:rsid w:val="00F923D8"/>
    <w:rsid w:val="00FA2BF4"/>
    <w:rsid w:val="00FA3F4C"/>
    <w:rsid w:val="00FA5FAC"/>
    <w:rsid w:val="00FB113B"/>
    <w:rsid w:val="00FB3AB9"/>
    <w:rsid w:val="00FC77C1"/>
    <w:rsid w:val="00FD50AB"/>
    <w:rsid w:val="00FD7045"/>
    <w:rsid w:val="00FE082F"/>
    <w:rsid w:val="00FE4392"/>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1DC96E"/>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34A7C-1B72-428F-A3B1-18C285877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2B581886.dotm</Template>
  <TotalTime>21</TotalTime>
  <Pages>7</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cp:lastModifiedBy>
  <cp:revision>5</cp:revision>
  <dcterms:created xsi:type="dcterms:W3CDTF">2018-09-13T16:21:00Z</dcterms:created>
  <dcterms:modified xsi:type="dcterms:W3CDTF">2018-09-17T13:58:00Z</dcterms:modified>
</cp:coreProperties>
</file>