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D2C" w:rsidRDefault="00305A58" w:rsidP="00933209">
      <w:pPr>
        <w:tabs>
          <w:tab w:val="left" w:pos="3533"/>
          <w:tab w:val="center" w:pos="6979"/>
        </w:tabs>
        <w:rPr>
          <w:b/>
          <w:sz w:val="28"/>
          <w:szCs w:val="28"/>
          <w:u w:val="double" w:color="0070C0"/>
        </w:rPr>
      </w:pPr>
      <w:bookmarkStart w:id="0" w:name="_GoBack"/>
      <w:bookmarkEnd w:id="0"/>
      <w:r w:rsidRPr="00305A58">
        <w:rPr>
          <w:b/>
          <w:sz w:val="28"/>
          <w:szCs w:val="28"/>
          <w:highlight w:val="yellow"/>
          <w:u w:val="double" w:color="0070C0"/>
        </w:rPr>
        <w:t>DRAFT</w:t>
      </w:r>
      <w:r>
        <w:rPr>
          <w:b/>
          <w:sz w:val="28"/>
          <w:szCs w:val="28"/>
          <w:u w:val="double" w:color="0070C0"/>
        </w:rPr>
        <w:t xml:space="preserve"> - </w:t>
      </w:r>
      <w:r w:rsidR="00E95A57">
        <w:rPr>
          <w:b/>
          <w:sz w:val="28"/>
          <w:szCs w:val="28"/>
          <w:u w:val="double" w:color="0070C0"/>
        </w:rPr>
        <w:t>NMSG Action Log –</w:t>
      </w:r>
      <w:r w:rsidR="00D101F5">
        <w:rPr>
          <w:b/>
          <w:sz w:val="28"/>
          <w:szCs w:val="28"/>
          <w:u w:val="double" w:color="0070C0"/>
        </w:rPr>
        <w:t xml:space="preserve"> 17</w:t>
      </w:r>
      <w:r w:rsidR="00D101F5" w:rsidRPr="00D101F5">
        <w:rPr>
          <w:b/>
          <w:sz w:val="28"/>
          <w:szCs w:val="28"/>
          <w:u w:val="double" w:color="0070C0"/>
          <w:vertAlign w:val="superscript"/>
        </w:rPr>
        <w:t>th</w:t>
      </w:r>
      <w:r w:rsidR="00D101F5">
        <w:rPr>
          <w:b/>
          <w:sz w:val="28"/>
          <w:szCs w:val="28"/>
          <w:u w:val="double" w:color="0070C0"/>
        </w:rPr>
        <w:t xml:space="preserve"> October, Ashford Borough Council, Ashford Kent</w:t>
      </w:r>
    </w:p>
    <w:tbl>
      <w:tblPr>
        <w:tblStyle w:val="TableGrid"/>
        <w:tblW w:w="16019" w:type="dxa"/>
        <w:tblInd w:w="-856" w:type="dxa"/>
        <w:tblLayout w:type="fixed"/>
        <w:tblLook w:val="04A0" w:firstRow="1" w:lastRow="0" w:firstColumn="1" w:lastColumn="0" w:noHBand="0" w:noVBand="1"/>
      </w:tblPr>
      <w:tblGrid>
        <w:gridCol w:w="1702"/>
        <w:gridCol w:w="9497"/>
        <w:gridCol w:w="2977"/>
        <w:gridCol w:w="709"/>
        <w:gridCol w:w="1105"/>
        <w:gridCol w:w="29"/>
      </w:tblGrid>
      <w:tr w:rsidR="00B613D2" w:rsidRPr="00745BAC" w:rsidTr="002D569F">
        <w:trPr>
          <w:gridAfter w:val="1"/>
          <w:wAfter w:w="29" w:type="dxa"/>
        </w:trPr>
        <w:tc>
          <w:tcPr>
            <w:tcW w:w="15990" w:type="dxa"/>
            <w:gridSpan w:val="5"/>
            <w:shd w:val="clear" w:color="auto" w:fill="0070C0"/>
          </w:tcPr>
          <w:p w:rsidR="00B613D2" w:rsidRPr="00B53735" w:rsidRDefault="00B613D2" w:rsidP="00F6297A">
            <w:pPr>
              <w:rPr>
                <w:rFonts w:cstheme="minorHAnsi"/>
                <w:color w:val="FFFFFF" w:themeColor="background1"/>
              </w:rPr>
            </w:pPr>
            <w:r w:rsidRPr="00C127AE">
              <w:rPr>
                <w:rFonts w:cstheme="minorHAnsi"/>
                <w:b/>
                <w:color w:val="FFFFFF" w:themeColor="background1"/>
              </w:rPr>
              <w:t>Present</w:t>
            </w:r>
            <w:r w:rsidRPr="00745BAC">
              <w:rPr>
                <w:rFonts w:cstheme="minorHAnsi"/>
                <w:color w:val="FFFFFF" w:themeColor="background1"/>
              </w:rPr>
              <w:t xml:space="preserve">: </w:t>
            </w:r>
            <w:r w:rsidR="00E95A57">
              <w:rPr>
                <w:rFonts w:cstheme="minorHAnsi"/>
                <w:color w:val="FFFFFF" w:themeColor="background1"/>
              </w:rPr>
              <w:t xml:space="preserve"> </w:t>
            </w:r>
            <w:r w:rsidR="00234120">
              <w:rPr>
                <w:rFonts w:cstheme="minorHAnsi"/>
                <w:color w:val="FFFFFF" w:themeColor="background1"/>
              </w:rPr>
              <w:t xml:space="preserve">Matt Eddy, MHS Homes &amp; Chair; Genette Pinwell, WKHA &amp; Vice Chair; </w:t>
            </w:r>
            <w:r w:rsidR="00E0115C">
              <w:rPr>
                <w:rFonts w:cstheme="minorHAnsi"/>
                <w:color w:val="FFFFFF" w:themeColor="background1"/>
              </w:rPr>
              <w:t xml:space="preserve">Helen Charles, Clarion HG; </w:t>
            </w:r>
            <w:r w:rsidR="00E0115C" w:rsidRPr="004919F6">
              <w:rPr>
                <w:rFonts w:cstheme="minorHAnsi"/>
                <w:color w:val="FFFFFF" w:themeColor="background1"/>
              </w:rPr>
              <w:t>Felicity D</w:t>
            </w:r>
            <w:r w:rsidR="004919F6" w:rsidRPr="004919F6">
              <w:rPr>
                <w:rFonts w:cstheme="minorHAnsi"/>
                <w:color w:val="FFFFFF" w:themeColor="background1"/>
              </w:rPr>
              <w:t>unmall</w:t>
            </w:r>
            <w:r w:rsidR="00E0115C">
              <w:rPr>
                <w:rFonts w:cstheme="minorHAnsi"/>
                <w:color w:val="FFFFFF" w:themeColor="background1"/>
              </w:rPr>
              <w:t xml:space="preserve">; Gravesend Churches HA; Anthony Crossley, Ashford BC; Terry Spillard, Optivo; Lisa Smith, Golding Homes; Stefan Polom, TCHG; </w:t>
            </w:r>
            <w:r w:rsidR="00ED16B5">
              <w:rPr>
                <w:rFonts w:cstheme="minorHAnsi"/>
                <w:color w:val="FFFFFF" w:themeColor="background1"/>
              </w:rPr>
              <w:t>David Edie, Dartford BC;</w:t>
            </w:r>
            <w:r w:rsidR="004919F6">
              <w:rPr>
                <w:rFonts w:cstheme="minorHAnsi"/>
                <w:color w:val="FFFFFF" w:themeColor="background1"/>
              </w:rPr>
              <w:t xml:space="preserve"> </w:t>
            </w:r>
          </w:p>
          <w:p w:rsidR="00B613D2" w:rsidRPr="00B53735" w:rsidRDefault="00B613D2" w:rsidP="00F6297A">
            <w:pPr>
              <w:jc w:val="center"/>
              <w:rPr>
                <w:color w:val="FFFFFF" w:themeColor="background1"/>
              </w:rPr>
            </w:pPr>
          </w:p>
          <w:p w:rsidR="002F5ABE" w:rsidRDefault="00B613D2" w:rsidP="00F6297A">
            <w:pPr>
              <w:rPr>
                <w:rFonts w:cstheme="minorHAnsi"/>
                <w:color w:val="FFFFFF" w:themeColor="background1"/>
              </w:rPr>
            </w:pPr>
            <w:r w:rsidRPr="00B53735">
              <w:rPr>
                <w:rFonts w:cstheme="minorHAnsi"/>
                <w:b/>
                <w:color w:val="FFFFFF" w:themeColor="background1"/>
              </w:rPr>
              <w:t>Apologies</w:t>
            </w:r>
            <w:r w:rsidRPr="00B53735">
              <w:rPr>
                <w:rFonts w:cstheme="minorHAnsi"/>
                <w:color w:val="FFFFFF" w:themeColor="background1"/>
              </w:rPr>
              <w:t xml:space="preserve">: </w:t>
            </w:r>
            <w:r w:rsidR="00E95A57">
              <w:rPr>
                <w:rFonts w:cstheme="minorHAnsi"/>
                <w:color w:val="FFFFFF" w:themeColor="background1"/>
              </w:rPr>
              <w:t xml:space="preserve"> </w:t>
            </w:r>
            <w:r w:rsidR="00137E51">
              <w:rPr>
                <w:rFonts w:cstheme="minorHAnsi"/>
                <w:color w:val="FFFFFF" w:themeColor="background1"/>
              </w:rPr>
              <w:t xml:space="preserve">Helen Sudbury, Golding Homes; </w:t>
            </w:r>
            <w:r w:rsidR="00234120">
              <w:rPr>
                <w:rFonts w:cstheme="minorHAnsi"/>
                <w:color w:val="FFFFFF" w:themeColor="background1"/>
              </w:rPr>
              <w:t xml:space="preserve">Paul Gilbert, Gravesham BC; </w:t>
            </w:r>
            <w:r w:rsidR="00BD10F9">
              <w:rPr>
                <w:rFonts w:cstheme="minorHAnsi"/>
                <w:color w:val="FFFFFF" w:themeColor="background1"/>
              </w:rPr>
              <w:t xml:space="preserve">Matthew Robbins, Optivo; Tom Harding, Medway Council; Tina Dust, Sanctuary HG; </w:t>
            </w:r>
            <w:r w:rsidR="004D686A">
              <w:rPr>
                <w:rFonts w:cstheme="minorHAnsi"/>
                <w:color w:val="FFFFFF" w:themeColor="background1"/>
              </w:rPr>
              <w:t>Marc Blowers, Medway Council</w:t>
            </w:r>
            <w:r w:rsidR="00BF403B">
              <w:rPr>
                <w:rFonts w:cstheme="minorHAnsi"/>
                <w:color w:val="FFFFFF" w:themeColor="background1"/>
              </w:rPr>
              <w:t>; June Heslop, Southern Housing Group;</w:t>
            </w:r>
          </w:p>
          <w:p w:rsidR="00CC02A0" w:rsidRPr="00B53735" w:rsidRDefault="00CC02A0" w:rsidP="00F6297A">
            <w:pPr>
              <w:rPr>
                <w:rFonts w:cstheme="minorHAnsi"/>
                <w:color w:val="FFFFFF" w:themeColor="background1"/>
              </w:rPr>
            </w:pPr>
          </w:p>
          <w:p w:rsidR="00B613D2" w:rsidRPr="00745BAC" w:rsidRDefault="00B613D2" w:rsidP="00D101F5">
            <w:pPr>
              <w:rPr>
                <w:rFonts w:cstheme="minorHAnsi"/>
                <w:color w:val="FFFFFF" w:themeColor="background1"/>
              </w:rPr>
            </w:pPr>
            <w:r w:rsidRPr="00B53735">
              <w:rPr>
                <w:rFonts w:cstheme="minorHAnsi"/>
                <w:b/>
                <w:color w:val="FFFFFF" w:themeColor="background1"/>
              </w:rPr>
              <w:t>Visitors</w:t>
            </w:r>
            <w:r w:rsidRPr="00B53735">
              <w:rPr>
                <w:rFonts w:cstheme="minorHAnsi"/>
                <w:color w:val="FFFFFF" w:themeColor="background1"/>
              </w:rPr>
              <w:t xml:space="preserve">: </w:t>
            </w:r>
            <w:r w:rsidR="00D101F5">
              <w:rPr>
                <w:rFonts w:cstheme="minorHAnsi"/>
                <w:color w:val="FFFFFF" w:themeColor="background1"/>
              </w:rPr>
              <w:t>Marie Gerald, Dartford BC &amp; Chair of KHOG</w:t>
            </w:r>
          </w:p>
        </w:tc>
      </w:tr>
      <w:tr w:rsidR="00C86D65" w:rsidRPr="00745BAC" w:rsidTr="00715328">
        <w:tc>
          <w:tcPr>
            <w:tcW w:w="1702" w:type="dxa"/>
            <w:shd w:val="clear" w:color="auto" w:fill="DBE5F1" w:themeFill="accent1" w:themeFillTint="33"/>
          </w:tcPr>
          <w:p w:rsidR="00C86D65" w:rsidRPr="00745BAC" w:rsidRDefault="00C86D65" w:rsidP="008719B0">
            <w:pPr>
              <w:jc w:val="center"/>
              <w:rPr>
                <w:b/>
              </w:rPr>
            </w:pPr>
            <w:r w:rsidRPr="00745BAC">
              <w:rPr>
                <w:b/>
              </w:rPr>
              <w:t>Reference</w:t>
            </w:r>
          </w:p>
        </w:tc>
        <w:tc>
          <w:tcPr>
            <w:tcW w:w="9497" w:type="dxa"/>
            <w:shd w:val="clear" w:color="auto" w:fill="DBE5F1" w:themeFill="accent1" w:themeFillTint="33"/>
          </w:tcPr>
          <w:p w:rsidR="00C86D65" w:rsidRPr="00745BAC" w:rsidRDefault="00C86D65" w:rsidP="002B184E">
            <w:pPr>
              <w:jc w:val="center"/>
              <w:rPr>
                <w:b/>
              </w:rPr>
            </w:pPr>
            <w:r>
              <w:rPr>
                <w:b/>
              </w:rPr>
              <w:t>Notes</w:t>
            </w:r>
          </w:p>
        </w:tc>
        <w:tc>
          <w:tcPr>
            <w:tcW w:w="2977" w:type="dxa"/>
            <w:shd w:val="clear" w:color="auto" w:fill="DBE5F1" w:themeFill="accent1" w:themeFillTint="33"/>
          </w:tcPr>
          <w:p w:rsidR="00C86D65" w:rsidRPr="00745BAC" w:rsidRDefault="00C86D65" w:rsidP="008719B0">
            <w:pPr>
              <w:jc w:val="center"/>
              <w:rPr>
                <w:b/>
              </w:rPr>
            </w:pPr>
            <w:r w:rsidRPr="00745BAC">
              <w:rPr>
                <w:b/>
              </w:rPr>
              <w:t>Action/Decision</w:t>
            </w:r>
          </w:p>
        </w:tc>
        <w:tc>
          <w:tcPr>
            <w:tcW w:w="709" w:type="dxa"/>
            <w:shd w:val="clear" w:color="auto" w:fill="DBE5F1" w:themeFill="accent1" w:themeFillTint="33"/>
          </w:tcPr>
          <w:p w:rsidR="00C86D65" w:rsidRPr="00745BAC" w:rsidRDefault="00C86D65" w:rsidP="00E9001C">
            <w:pPr>
              <w:jc w:val="center"/>
              <w:rPr>
                <w:b/>
              </w:rPr>
            </w:pPr>
            <w:r>
              <w:rPr>
                <w:b/>
              </w:rPr>
              <w:t xml:space="preserve">Lead </w:t>
            </w:r>
          </w:p>
        </w:tc>
        <w:tc>
          <w:tcPr>
            <w:tcW w:w="1134" w:type="dxa"/>
            <w:gridSpan w:val="2"/>
            <w:shd w:val="clear" w:color="auto" w:fill="DBE5F1" w:themeFill="accent1" w:themeFillTint="33"/>
          </w:tcPr>
          <w:p w:rsidR="00C86D65" w:rsidRPr="00745BAC" w:rsidRDefault="00C86D65" w:rsidP="008719B0">
            <w:pPr>
              <w:jc w:val="center"/>
              <w:rPr>
                <w:b/>
              </w:rPr>
            </w:pPr>
            <w:r w:rsidRPr="00E9001C">
              <w:rPr>
                <w:b/>
                <w:sz w:val="20"/>
              </w:rPr>
              <w:t>Timescale</w:t>
            </w:r>
          </w:p>
        </w:tc>
      </w:tr>
      <w:tr w:rsidR="00C86D65" w:rsidRPr="00745BAC" w:rsidTr="00715328">
        <w:tc>
          <w:tcPr>
            <w:tcW w:w="1702" w:type="dxa"/>
            <w:shd w:val="clear" w:color="auto" w:fill="auto"/>
          </w:tcPr>
          <w:p w:rsidR="00C86D65" w:rsidRPr="00C86D65" w:rsidRDefault="00C86D65" w:rsidP="00E0115C">
            <w:pPr>
              <w:rPr>
                <w:b/>
              </w:rPr>
            </w:pPr>
            <w:r w:rsidRPr="00C86D65">
              <w:rPr>
                <w:b/>
              </w:rPr>
              <w:t>Minute</w:t>
            </w:r>
            <w:r w:rsidR="00E0115C">
              <w:rPr>
                <w:b/>
              </w:rPr>
              <w:t xml:space="preserve">s &amp; Matters Arising </w:t>
            </w:r>
            <w:r w:rsidR="00E95A57">
              <w:rPr>
                <w:b/>
              </w:rPr>
              <w:t xml:space="preserve"> </w:t>
            </w:r>
            <w:r w:rsidR="00E0115C">
              <w:rPr>
                <w:b/>
              </w:rPr>
              <w:t xml:space="preserve">July </w:t>
            </w:r>
            <w:r w:rsidR="00E95A57">
              <w:rPr>
                <w:b/>
              </w:rPr>
              <w:t>201</w:t>
            </w:r>
            <w:r w:rsidR="00CC02A0">
              <w:rPr>
                <w:b/>
              </w:rPr>
              <w:t>8</w:t>
            </w:r>
          </w:p>
        </w:tc>
        <w:tc>
          <w:tcPr>
            <w:tcW w:w="9497" w:type="dxa"/>
            <w:shd w:val="clear" w:color="auto" w:fill="auto"/>
          </w:tcPr>
          <w:p w:rsidR="006A44D8" w:rsidRPr="00745BAC" w:rsidRDefault="00B338EE" w:rsidP="00673B7F">
            <w:pPr>
              <w:jc w:val="both"/>
            </w:pPr>
            <w:r>
              <w:t>Minutes agreed as accura</w:t>
            </w:r>
            <w:r w:rsidR="00673B7F">
              <w:t>te. There were no matters arising.</w:t>
            </w:r>
          </w:p>
        </w:tc>
        <w:tc>
          <w:tcPr>
            <w:tcW w:w="2977" w:type="dxa"/>
            <w:shd w:val="clear" w:color="auto" w:fill="auto"/>
          </w:tcPr>
          <w:p w:rsidR="00C86D65" w:rsidRPr="00745BAC" w:rsidRDefault="00C86D65" w:rsidP="008719B0">
            <w:pPr>
              <w:jc w:val="both"/>
            </w:pPr>
          </w:p>
        </w:tc>
        <w:tc>
          <w:tcPr>
            <w:tcW w:w="709" w:type="dxa"/>
            <w:shd w:val="clear" w:color="auto" w:fill="auto"/>
          </w:tcPr>
          <w:p w:rsidR="00C86D65" w:rsidRPr="0044468F" w:rsidRDefault="00C86D65" w:rsidP="008719B0">
            <w:pPr>
              <w:jc w:val="both"/>
              <w:rPr>
                <w:b/>
              </w:rPr>
            </w:pPr>
          </w:p>
        </w:tc>
        <w:tc>
          <w:tcPr>
            <w:tcW w:w="1134" w:type="dxa"/>
            <w:gridSpan w:val="2"/>
            <w:shd w:val="clear" w:color="auto" w:fill="auto"/>
          </w:tcPr>
          <w:p w:rsidR="00C86D65" w:rsidRPr="0044468F" w:rsidRDefault="00C86D65" w:rsidP="008719B0">
            <w:pPr>
              <w:jc w:val="both"/>
              <w:rPr>
                <w:b/>
                <w:color w:val="FF0000"/>
              </w:rPr>
            </w:pPr>
          </w:p>
        </w:tc>
      </w:tr>
      <w:tr w:rsidR="00C86D65" w:rsidRPr="00745BAC" w:rsidTr="00715328">
        <w:tc>
          <w:tcPr>
            <w:tcW w:w="1702" w:type="dxa"/>
            <w:shd w:val="clear" w:color="auto" w:fill="auto"/>
          </w:tcPr>
          <w:p w:rsidR="00C86D65" w:rsidRPr="00C86D65" w:rsidRDefault="00BD7917" w:rsidP="008719B0">
            <w:pPr>
              <w:rPr>
                <w:b/>
              </w:rPr>
            </w:pPr>
            <w:r>
              <w:rPr>
                <w:b/>
              </w:rPr>
              <w:t>HRA Overview</w:t>
            </w:r>
          </w:p>
        </w:tc>
        <w:tc>
          <w:tcPr>
            <w:tcW w:w="9497" w:type="dxa"/>
            <w:shd w:val="clear" w:color="auto" w:fill="auto"/>
          </w:tcPr>
          <w:p w:rsidR="00E0115C" w:rsidRDefault="00E0115C" w:rsidP="00E32E40">
            <w:pPr>
              <w:jc w:val="both"/>
            </w:pPr>
            <w:r>
              <w:t>HRA from a private members bill and had cross party support, amended legislation in place, in 40 years the housing landscape has changed.  The old legislation was crisis point intervention, there is now a focus on prevention with a statutory duty on both the local authority and the homeless applicant/household.</w:t>
            </w:r>
          </w:p>
          <w:p w:rsidR="00E0115C" w:rsidRDefault="00E0115C" w:rsidP="00E32E40">
            <w:pPr>
              <w:jc w:val="both"/>
            </w:pPr>
          </w:p>
          <w:p w:rsidR="00ED16B5" w:rsidRDefault="00ED16B5" w:rsidP="00E32E40">
            <w:pPr>
              <w:jc w:val="both"/>
            </w:pPr>
            <w:r>
              <w:t>Key changes is a change to the number of days homeless from 28 to 56 days.   If a section 21 notice is produced this will trigger a homeless duty.  There is also a new relief duty, which kicks in after the 56 day period, this is another 56 day period, and working with clients for approximately 4 months before a decision is undertaken.  Legislation is now blind to priority need.</w:t>
            </w:r>
            <w:r w:rsidR="0025298F">
              <w:t xml:space="preserve">  Also looking at support now, why do they need support, every person gets a ‘personal housing plan’, intentions to tackle homelessness and the causes.  </w:t>
            </w:r>
          </w:p>
          <w:p w:rsidR="0025298F" w:rsidRDefault="0025298F" w:rsidP="00E32E40">
            <w:pPr>
              <w:jc w:val="both"/>
            </w:pPr>
          </w:p>
          <w:p w:rsidR="0025298F" w:rsidRDefault="0025298F" w:rsidP="00E32E40">
            <w:pPr>
              <w:jc w:val="both"/>
            </w:pPr>
            <w:r>
              <w:t xml:space="preserve">If a person doesn’t cooperate there is through the legislation a position to discharge a duty, deliberate and unreasonable refusal to cooperate.  </w:t>
            </w:r>
            <w:r w:rsidR="00382671">
              <w:t>Prevention duty – the first duty is blind to local connection.   There are new rights to review, there are now 13 rights to review throughout the whole process, each review is approximately £250.  Care Leavers a specific new duty related to choice and local connection, a significant change in the legislation.</w:t>
            </w:r>
          </w:p>
          <w:p w:rsidR="00382671" w:rsidRDefault="00382671" w:rsidP="00E32E40">
            <w:pPr>
              <w:jc w:val="both"/>
            </w:pPr>
          </w:p>
          <w:p w:rsidR="00382671" w:rsidRDefault="001A75B2" w:rsidP="00382671">
            <w:pPr>
              <w:pStyle w:val="ListParagraph"/>
              <w:numPr>
                <w:ilvl w:val="0"/>
                <w:numId w:val="11"/>
              </w:numPr>
              <w:jc w:val="both"/>
            </w:pPr>
            <w:r>
              <w:t xml:space="preserve">Stage 1 - </w:t>
            </w:r>
            <w:r w:rsidR="00382671">
              <w:t xml:space="preserve">Application and assessment and eligibility test – </w:t>
            </w:r>
          </w:p>
          <w:p w:rsidR="00382671" w:rsidRDefault="001A75B2" w:rsidP="00382671">
            <w:pPr>
              <w:pStyle w:val="ListParagraph"/>
              <w:numPr>
                <w:ilvl w:val="0"/>
                <w:numId w:val="11"/>
              </w:numPr>
              <w:jc w:val="both"/>
            </w:pPr>
            <w:r>
              <w:t xml:space="preserve">Stage 2 - </w:t>
            </w:r>
            <w:r w:rsidR="00382671">
              <w:t xml:space="preserve">Prevention stage – 56 days, taking reasonable steps to prevent homelessness (Dartford have a </w:t>
            </w:r>
            <w:r w:rsidR="00A5558F">
              <w:t>multi-agency</w:t>
            </w:r>
            <w:r w:rsidR="00382671">
              <w:t xml:space="preserve"> hub set up to sign post to at this point for inclusion in the personal housing plan)</w:t>
            </w:r>
          </w:p>
          <w:p w:rsidR="00382671" w:rsidRDefault="001A75B2" w:rsidP="00382671">
            <w:pPr>
              <w:pStyle w:val="ListParagraph"/>
              <w:numPr>
                <w:ilvl w:val="0"/>
                <w:numId w:val="11"/>
              </w:numPr>
              <w:jc w:val="both"/>
            </w:pPr>
            <w:r>
              <w:lastRenderedPageBreak/>
              <w:t xml:space="preserve">Stage 3 - </w:t>
            </w:r>
            <w:r w:rsidR="00382671">
              <w:t xml:space="preserve">Relief stage </w:t>
            </w:r>
            <w:r>
              <w:t>–</w:t>
            </w:r>
            <w:r w:rsidR="00382671">
              <w:t xml:space="preserve"> </w:t>
            </w:r>
            <w:r>
              <w:t xml:space="preserve"> another 56 days, reasonable steps to assist</w:t>
            </w:r>
          </w:p>
          <w:p w:rsidR="001A75B2" w:rsidRDefault="001A75B2" w:rsidP="00382671">
            <w:pPr>
              <w:pStyle w:val="ListParagraph"/>
              <w:numPr>
                <w:ilvl w:val="0"/>
                <w:numId w:val="11"/>
              </w:numPr>
              <w:jc w:val="both"/>
            </w:pPr>
            <w:r>
              <w:t>Stage 4 - Final main duty  - for those in need and not intentionally homeless</w:t>
            </w:r>
          </w:p>
          <w:p w:rsidR="001A75B2" w:rsidRDefault="001A75B2" w:rsidP="001A75B2">
            <w:pPr>
              <w:jc w:val="both"/>
            </w:pPr>
          </w:p>
          <w:p w:rsidR="001A75B2" w:rsidRDefault="001A75B2" w:rsidP="001A75B2">
            <w:pPr>
              <w:jc w:val="both"/>
            </w:pPr>
            <w:r>
              <w:t>£72m allocated by Central Government over three years to assist with implementation of new legislation.</w:t>
            </w:r>
          </w:p>
          <w:p w:rsidR="001A75B2" w:rsidRDefault="001A75B2" w:rsidP="001A75B2">
            <w:pPr>
              <w:jc w:val="both"/>
            </w:pPr>
            <w:r>
              <w:t xml:space="preserve">TA is the biggest overspend in every local authority, the HRA was in part set to tackle this but unclear yet whether this is successful.  </w:t>
            </w:r>
          </w:p>
          <w:p w:rsidR="00EC6211" w:rsidRDefault="00EC6211" w:rsidP="001A75B2">
            <w:pPr>
              <w:jc w:val="both"/>
            </w:pPr>
          </w:p>
          <w:p w:rsidR="00EC6211" w:rsidRDefault="00EC6211" w:rsidP="001A75B2">
            <w:pPr>
              <w:jc w:val="both"/>
            </w:pPr>
            <w:r>
              <w:t xml:space="preserve">The HRA provides a better chance to support and help people threatened with homelessness.  Personal housing plan identifies who has responsibility for what steps.  Expectations for outcomes should be shared very early on.  Discharge of duty, reasonable expectation to find accommodation available for 6 months or more.  No requirement to follow up over the 6 months.   The personal housing plan, with consent of the applicant, can be shared with the social landlord.   Allocation Policies should have been amended to reflect the introduction of the HRA.  </w:t>
            </w:r>
          </w:p>
          <w:p w:rsidR="00EC6211" w:rsidRDefault="00EC6211" w:rsidP="001A75B2">
            <w:pPr>
              <w:jc w:val="both"/>
            </w:pPr>
          </w:p>
          <w:p w:rsidR="00EC6211" w:rsidRDefault="000245BF" w:rsidP="001A75B2">
            <w:pPr>
              <w:jc w:val="both"/>
            </w:pPr>
            <w:r>
              <w:t xml:space="preserve">H-Click the new way to submit data to central Government, the first quarter data has been submitted to MHCLG.  MG shared data information about Dartford BC about current caseload.  </w:t>
            </w:r>
          </w:p>
          <w:p w:rsidR="000245BF" w:rsidRDefault="000245BF" w:rsidP="001A75B2">
            <w:pPr>
              <w:jc w:val="both"/>
            </w:pPr>
          </w:p>
          <w:p w:rsidR="000245BF" w:rsidRDefault="000245BF" w:rsidP="001A75B2">
            <w:pPr>
              <w:jc w:val="both"/>
            </w:pPr>
            <w:r>
              <w:t>New Statutory Duty on Public Bodies to refer to a local authority, with consent of the person.  Unsure of the consequence of not exercising this new duty, which came into place on the 1</w:t>
            </w:r>
            <w:r w:rsidRPr="000245BF">
              <w:rPr>
                <w:vertAlign w:val="superscript"/>
              </w:rPr>
              <w:t>st</w:t>
            </w:r>
            <w:r>
              <w:t xml:space="preserve"> October.   KCC have undertaken a huge amount of work about the new Duty to Refer.  However, there is a new Commitment to Refer, housing associations have to sign up to it, and there is guidance for</w:t>
            </w:r>
            <w:r w:rsidR="004919F6">
              <w:t xml:space="preserve"> housing associations on this. </w:t>
            </w:r>
            <w:hyperlink r:id="rId8" w:history="1">
              <w:r w:rsidR="004919F6" w:rsidRPr="008E77EF">
                <w:rPr>
                  <w:rStyle w:val="Hyperlink"/>
                </w:rPr>
                <w:t>https://www.housing.org.uk/resource-library/browse/commitment-to-refer-guidance-for-housing-associations/</w:t>
              </w:r>
            </w:hyperlink>
            <w:r w:rsidR="004919F6">
              <w:t xml:space="preserve"> </w:t>
            </w:r>
            <w:r>
              <w:t xml:space="preserve">    MG encouraged housing association colleagues to work with local a</w:t>
            </w:r>
            <w:r w:rsidR="00161B77">
              <w:t>uthorities and use the guidance.</w:t>
            </w:r>
          </w:p>
          <w:p w:rsidR="00ED16B5" w:rsidRDefault="00ED16B5" w:rsidP="00E32E40">
            <w:pPr>
              <w:jc w:val="both"/>
            </w:pPr>
          </w:p>
          <w:p w:rsidR="00F85723" w:rsidRDefault="00F85723" w:rsidP="00E32E40">
            <w:pPr>
              <w:jc w:val="both"/>
            </w:pPr>
            <w:r>
              <w:t>Potential future funding may be based on payment by results.</w:t>
            </w:r>
          </w:p>
          <w:p w:rsidR="00F85723" w:rsidRDefault="00F85723" w:rsidP="00E32E40">
            <w:pPr>
              <w:jc w:val="both"/>
            </w:pPr>
          </w:p>
          <w:p w:rsidR="00F85723" w:rsidRDefault="00F85723" w:rsidP="00E32E40">
            <w:pPr>
              <w:jc w:val="both"/>
            </w:pPr>
            <w:r>
              <w:t>GP suggested about getting consent from new tenants about sharing information with a housing options/homelessness team if a household becomes at risk of homelessness.  Consent is then provided by the tenant at a very early stage.</w:t>
            </w:r>
          </w:p>
          <w:p w:rsidR="00F85723" w:rsidRDefault="00F85723" w:rsidP="00E32E40">
            <w:pPr>
              <w:jc w:val="both"/>
            </w:pPr>
          </w:p>
          <w:p w:rsidR="00F85723" w:rsidRDefault="00F85723" w:rsidP="00E32E40">
            <w:pPr>
              <w:jc w:val="both"/>
            </w:pPr>
            <w:r>
              <w:t xml:space="preserve">MHCLG have advised local authorities to have a specific duty to refer email for referrals.  </w:t>
            </w:r>
            <w:hyperlink r:id="rId9" w:history="1">
              <w:r w:rsidR="004919F6" w:rsidRPr="008E77EF">
                <w:rPr>
                  <w:rStyle w:val="Hyperlink"/>
                </w:rPr>
                <w:t>https://www.gov.uk/homelessness-help-from-council</w:t>
              </w:r>
            </w:hyperlink>
            <w:r w:rsidR="004919F6">
              <w:t xml:space="preserve"> Use this website for </w:t>
            </w:r>
            <w:r w:rsidRPr="004919F6">
              <w:t>all the information about duty to refer emails.</w:t>
            </w:r>
          </w:p>
          <w:p w:rsidR="00F85723" w:rsidRPr="00745BAC" w:rsidRDefault="00F85723" w:rsidP="00E32E40">
            <w:pPr>
              <w:jc w:val="both"/>
            </w:pPr>
          </w:p>
        </w:tc>
        <w:tc>
          <w:tcPr>
            <w:tcW w:w="2977" w:type="dxa"/>
            <w:shd w:val="clear" w:color="auto" w:fill="auto"/>
          </w:tcPr>
          <w:p w:rsidR="006A44D8" w:rsidRPr="0069129B" w:rsidRDefault="00E0115C" w:rsidP="00D131A0">
            <w:pPr>
              <w:jc w:val="both"/>
              <w:rPr>
                <w:b/>
              </w:rPr>
            </w:pPr>
            <w:r w:rsidRPr="0069129B">
              <w:rPr>
                <w:b/>
              </w:rPr>
              <w:lastRenderedPageBreak/>
              <w:t>Copy of presentation to be shared with minutes</w:t>
            </w:r>
            <w:r w:rsidR="00F85723" w:rsidRPr="0069129B">
              <w:rPr>
                <w:b/>
              </w:rPr>
              <w:t>.</w:t>
            </w:r>
          </w:p>
          <w:p w:rsidR="00F85723" w:rsidRPr="0069129B" w:rsidRDefault="00F85723" w:rsidP="00D131A0">
            <w:pPr>
              <w:jc w:val="both"/>
              <w:rPr>
                <w:b/>
              </w:rPr>
            </w:pPr>
          </w:p>
          <w:p w:rsidR="00F85723" w:rsidRPr="0069129B" w:rsidRDefault="00F85723" w:rsidP="00D131A0">
            <w:pPr>
              <w:jc w:val="both"/>
              <w:rPr>
                <w:b/>
              </w:rPr>
            </w:pPr>
          </w:p>
          <w:p w:rsidR="00F85723" w:rsidRPr="00745BAC" w:rsidRDefault="0069129B" w:rsidP="0069129B">
            <w:r w:rsidRPr="0069129B">
              <w:rPr>
                <w:b/>
              </w:rPr>
              <w:t>It was agreed to review the Eviction Protocol to include the HRA legislative changes including Duty to Refer/Commitment to Refer</w:t>
            </w:r>
          </w:p>
        </w:tc>
        <w:tc>
          <w:tcPr>
            <w:tcW w:w="709" w:type="dxa"/>
            <w:shd w:val="clear" w:color="auto" w:fill="auto"/>
          </w:tcPr>
          <w:p w:rsidR="006A44D8" w:rsidRDefault="003839CD" w:rsidP="00D131A0">
            <w:pPr>
              <w:jc w:val="both"/>
              <w:rPr>
                <w:b/>
              </w:rPr>
            </w:pPr>
            <w:r>
              <w:rPr>
                <w:b/>
              </w:rPr>
              <w:t>RS</w:t>
            </w:r>
          </w:p>
          <w:p w:rsidR="0069129B" w:rsidRDefault="0069129B" w:rsidP="00D131A0">
            <w:pPr>
              <w:jc w:val="both"/>
              <w:rPr>
                <w:b/>
              </w:rPr>
            </w:pPr>
          </w:p>
          <w:p w:rsidR="0069129B" w:rsidRDefault="0069129B" w:rsidP="00D131A0">
            <w:pPr>
              <w:jc w:val="both"/>
              <w:rPr>
                <w:b/>
              </w:rPr>
            </w:pPr>
          </w:p>
          <w:p w:rsidR="0069129B" w:rsidRDefault="0069129B" w:rsidP="00D131A0">
            <w:pPr>
              <w:jc w:val="both"/>
              <w:rPr>
                <w:b/>
              </w:rPr>
            </w:pPr>
          </w:p>
          <w:p w:rsidR="0069129B" w:rsidRPr="0044468F" w:rsidRDefault="0069129B" w:rsidP="00D131A0">
            <w:pPr>
              <w:jc w:val="both"/>
              <w:rPr>
                <w:b/>
              </w:rPr>
            </w:pPr>
            <w:r>
              <w:rPr>
                <w:b/>
              </w:rPr>
              <w:t>RS</w:t>
            </w:r>
          </w:p>
        </w:tc>
        <w:tc>
          <w:tcPr>
            <w:tcW w:w="1134" w:type="dxa"/>
            <w:gridSpan w:val="2"/>
            <w:shd w:val="clear" w:color="auto" w:fill="auto"/>
          </w:tcPr>
          <w:p w:rsidR="004919F6" w:rsidRDefault="003839CD" w:rsidP="00F85B9E">
            <w:pPr>
              <w:rPr>
                <w:b/>
                <w:color w:val="FF0000"/>
              </w:rPr>
            </w:pPr>
            <w:r>
              <w:rPr>
                <w:b/>
                <w:color w:val="FF0000"/>
              </w:rPr>
              <w:t>When available</w:t>
            </w:r>
          </w:p>
          <w:p w:rsidR="004919F6" w:rsidRDefault="004919F6" w:rsidP="00F85B9E">
            <w:pPr>
              <w:rPr>
                <w:b/>
                <w:color w:val="FF0000"/>
              </w:rPr>
            </w:pPr>
          </w:p>
          <w:p w:rsidR="004919F6" w:rsidRDefault="004919F6" w:rsidP="00F85B9E">
            <w:pPr>
              <w:rPr>
                <w:b/>
                <w:color w:val="FF0000"/>
              </w:rPr>
            </w:pPr>
          </w:p>
          <w:p w:rsidR="004919F6" w:rsidRDefault="004919F6" w:rsidP="00F85B9E">
            <w:pPr>
              <w:rPr>
                <w:b/>
                <w:color w:val="FF0000"/>
              </w:rPr>
            </w:pPr>
            <w:r>
              <w:rPr>
                <w:b/>
                <w:color w:val="FF0000"/>
              </w:rPr>
              <w:t>ASAP</w:t>
            </w:r>
          </w:p>
          <w:p w:rsidR="0069129B" w:rsidRDefault="0069129B" w:rsidP="00F85B9E">
            <w:pPr>
              <w:rPr>
                <w:b/>
                <w:color w:val="FF0000"/>
              </w:rPr>
            </w:pPr>
          </w:p>
          <w:p w:rsidR="0069129B" w:rsidRDefault="0069129B" w:rsidP="00F85B9E">
            <w:pPr>
              <w:rPr>
                <w:b/>
                <w:color w:val="FF0000"/>
              </w:rPr>
            </w:pPr>
          </w:p>
          <w:p w:rsidR="0069129B" w:rsidRDefault="0069129B" w:rsidP="00F85B9E">
            <w:pPr>
              <w:rPr>
                <w:b/>
                <w:color w:val="FF0000"/>
              </w:rPr>
            </w:pPr>
          </w:p>
          <w:p w:rsidR="0069129B" w:rsidRPr="0044468F" w:rsidRDefault="0069129B" w:rsidP="00F85B9E">
            <w:pPr>
              <w:rPr>
                <w:b/>
                <w:color w:val="FF0000"/>
              </w:rPr>
            </w:pPr>
          </w:p>
        </w:tc>
      </w:tr>
      <w:tr w:rsidR="00C86D65" w:rsidRPr="00745BAC" w:rsidTr="00715328">
        <w:tc>
          <w:tcPr>
            <w:tcW w:w="1702" w:type="dxa"/>
            <w:shd w:val="clear" w:color="auto" w:fill="auto"/>
          </w:tcPr>
          <w:p w:rsidR="00C86D65" w:rsidRPr="00C86D65" w:rsidRDefault="00BD7917" w:rsidP="008719B0">
            <w:pPr>
              <w:rPr>
                <w:b/>
              </w:rPr>
            </w:pPr>
            <w:r>
              <w:rPr>
                <w:b/>
              </w:rPr>
              <w:lastRenderedPageBreak/>
              <w:t>DWP Update</w:t>
            </w:r>
          </w:p>
        </w:tc>
        <w:tc>
          <w:tcPr>
            <w:tcW w:w="9497" w:type="dxa"/>
            <w:shd w:val="clear" w:color="auto" w:fill="auto"/>
          </w:tcPr>
          <w:p w:rsidR="00C5337C" w:rsidRPr="00745BAC" w:rsidRDefault="00E0115C" w:rsidP="00D72CF7">
            <w:pPr>
              <w:jc w:val="both"/>
            </w:pPr>
            <w:r>
              <w:t>Unable to attend, to be added to next agenda</w:t>
            </w:r>
            <w:r w:rsidR="00ED16B5">
              <w:t>.</w:t>
            </w:r>
          </w:p>
        </w:tc>
        <w:tc>
          <w:tcPr>
            <w:tcW w:w="2977" w:type="dxa"/>
            <w:shd w:val="clear" w:color="auto" w:fill="auto"/>
          </w:tcPr>
          <w:p w:rsidR="00373C97" w:rsidRPr="00AA7D59" w:rsidRDefault="00373C97" w:rsidP="00373C97">
            <w:pPr>
              <w:rPr>
                <w:b/>
              </w:rPr>
            </w:pPr>
          </w:p>
        </w:tc>
        <w:tc>
          <w:tcPr>
            <w:tcW w:w="709" w:type="dxa"/>
            <w:shd w:val="clear" w:color="auto" w:fill="auto"/>
          </w:tcPr>
          <w:p w:rsidR="00C86D65" w:rsidRPr="0044468F" w:rsidRDefault="00C86D65" w:rsidP="00D131A0">
            <w:pPr>
              <w:jc w:val="both"/>
              <w:rPr>
                <w:b/>
              </w:rPr>
            </w:pPr>
          </w:p>
        </w:tc>
        <w:tc>
          <w:tcPr>
            <w:tcW w:w="1134" w:type="dxa"/>
            <w:gridSpan w:val="2"/>
            <w:shd w:val="clear" w:color="auto" w:fill="auto"/>
          </w:tcPr>
          <w:p w:rsidR="00C86D65" w:rsidRPr="0044468F" w:rsidRDefault="00C86D65" w:rsidP="00C5337C">
            <w:pPr>
              <w:rPr>
                <w:b/>
                <w:color w:val="FF0000"/>
              </w:rPr>
            </w:pPr>
          </w:p>
        </w:tc>
      </w:tr>
      <w:tr w:rsidR="00C86D65" w:rsidRPr="00745BAC" w:rsidTr="00715328">
        <w:tc>
          <w:tcPr>
            <w:tcW w:w="1702" w:type="dxa"/>
            <w:shd w:val="clear" w:color="auto" w:fill="auto"/>
          </w:tcPr>
          <w:p w:rsidR="00C86D65" w:rsidRPr="00C86D65" w:rsidRDefault="00BD7917" w:rsidP="008719B0">
            <w:pPr>
              <w:rPr>
                <w:b/>
              </w:rPr>
            </w:pPr>
            <w:r>
              <w:rPr>
                <w:b/>
              </w:rPr>
              <w:t>Social Housing Green Paper/Social Rents Consultation</w:t>
            </w:r>
          </w:p>
        </w:tc>
        <w:tc>
          <w:tcPr>
            <w:tcW w:w="9497" w:type="dxa"/>
            <w:shd w:val="clear" w:color="auto" w:fill="auto"/>
          </w:tcPr>
          <w:p w:rsidR="003D7835" w:rsidRDefault="004800AC" w:rsidP="00C263CF">
            <w:pPr>
              <w:tabs>
                <w:tab w:val="left" w:pos="4420"/>
              </w:tabs>
              <w:jc w:val="both"/>
            </w:pPr>
            <w:r>
              <w:t xml:space="preserve">Key points of the Green Paper for Social Housing were read out by ME.  DBC have completed a response for their Cabinet.  Some issues around the issue of fixed term tenancies, still looking at housing in isolation, hard to create sustainable communities when there are not resources across other public services to support the </w:t>
            </w:r>
            <w:r w:rsidR="00EA5EF0">
              <w:t>community’s</w:t>
            </w:r>
            <w:r>
              <w:t xml:space="preserve"> needs.  The paper doesn’t support entry level of key worker level people and affordability of housing to have this mix of people in a community.</w:t>
            </w:r>
          </w:p>
          <w:p w:rsidR="004800AC" w:rsidRDefault="004800AC" w:rsidP="00C263CF">
            <w:pPr>
              <w:tabs>
                <w:tab w:val="left" w:pos="4420"/>
              </w:tabs>
              <w:jc w:val="both"/>
            </w:pPr>
          </w:p>
          <w:p w:rsidR="004800AC" w:rsidRDefault="004800AC" w:rsidP="00C263CF">
            <w:pPr>
              <w:tabs>
                <w:tab w:val="left" w:pos="4420"/>
              </w:tabs>
              <w:jc w:val="both"/>
            </w:pPr>
            <w:r>
              <w:t>How to manage the Right to Buy consequences, how to prevent the homes sold from becoming part of the private rental market.  Extending of regulation and comparisons across peer housing providers</w:t>
            </w:r>
            <w:r w:rsidR="00EA5EF0">
              <w:t xml:space="preserve">, agreement that regulation does need review but comparison is challenging.  </w:t>
            </w:r>
          </w:p>
          <w:p w:rsidR="00EA5EF0" w:rsidRDefault="00EA5EF0" w:rsidP="00C263CF">
            <w:pPr>
              <w:tabs>
                <w:tab w:val="left" w:pos="4420"/>
              </w:tabs>
              <w:jc w:val="both"/>
            </w:pPr>
          </w:p>
          <w:p w:rsidR="00EA5EF0" w:rsidRDefault="00EA5EF0" w:rsidP="00EA5EF0">
            <w:pPr>
              <w:tabs>
                <w:tab w:val="left" w:pos="4420"/>
              </w:tabs>
              <w:jc w:val="both"/>
              <w:rPr>
                <w:highlight w:val="yellow"/>
              </w:rPr>
            </w:pPr>
            <w:r>
              <w:t xml:space="preserve">The issue around complaints is about managing expectations, what services are landlords providing and what gaps are being filled by housing providers for a community.  </w:t>
            </w:r>
            <w:r w:rsidRPr="004919F6">
              <w:t>He</w:t>
            </w:r>
            <w:r w:rsidR="004919F6" w:rsidRPr="004919F6">
              <w:t>riot</w:t>
            </w:r>
            <w:r w:rsidRPr="004919F6">
              <w:t xml:space="preserve"> Watt University Review paper, looking at fixed term tenancies and outcomes</w:t>
            </w:r>
            <w:r w:rsidR="004919F6" w:rsidRPr="004919F6">
              <w:t xml:space="preserve"> </w:t>
            </w:r>
            <w:hyperlink r:id="rId10" w:history="1">
              <w:r w:rsidR="004919F6" w:rsidRPr="004919F6">
                <w:rPr>
                  <w:rStyle w:val="Hyperlink"/>
                </w:rPr>
                <w:t>http://www.welfareconditionality.ac.uk/wp-content/uploads/2016/03/SocialtenantsWelCond.pdf</w:t>
              </w:r>
            </w:hyperlink>
            <w:r w:rsidR="004919F6" w:rsidRPr="004919F6">
              <w:t xml:space="preserve"> </w:t>
            </w:r>
            <w:r w:rsidRPr="004919F6">
              <w:t>/ House</w:t>
            </w:r>
            <w:r w:rsidR="004919F6">
              <w:t xml:space="preserve"> of Commons Report in September </w:t>
            </w:r>
            <w:hyperlink r:id="rId11" w:history="1">
              <w:r w:rsidR="004919F6" w:rsidRPr="008E77EF">
                <w:rPr>
                  <w:rStyle w:val="Hyperlink"/>
                </w:rPr>
                <w:t>http://researchbriefings.files.parliament.uk/documents/CBP-7173/CBP-7173.pdf</w:t>
              </w:r>
            </w:hyperlink>
            <w:r w:rsidR="004919F6">
              <w:t xml:space="preserve"> </w:t>
            </w:r>
          </w:p>
          <w:p w:rsidR="00EA5EF0" w:rsidRDefault="00EA5EF0" w:rsidP="00EA5EF0">
            <w:pPr>
              <w:tabs>
                <w:tab w:val="left" w:pos="4420"/>
              </w:tabs>
              <w:jc w:val="both"/>
            </w:pPr>
          </w:p>
          <w:p w:rsidR="00EA5EF0" w:rsidRDefault="00EA5EF0" w:rsidP="00EA5EF0">
            <w:pPr>
              <w:tabs>
                <w:tab w:val="left" w:pos="4420"/>
              </w:tabs>
              <w:jc w:val="both"/>
            </w:pPr>
            <w:r>
              <w:t xml:space="preserve">Tenancy Training and using virtual colleague to ensure that pre tenancy training is provided, useful tool to help people </w:t>
            </w:r>
          </w:p>
          <w:p w:rsidR="00EA5EF0" w:rsidRDefault="00EA5EF0" w:rsidP="00EA5EF0">
            <w:pPr>
              <w:tabs>
                <w:tab w:val="left" w:pos="4420"/>
              </w:tabs>
              <w:jc w:val="both"/>
            </w:pPr>
          </w:p>
          <w:p w:rsidR="00EA5EF0" w:rsidRDefault="00EA5EF0" w:rsidP="00EA5EF0">
            <w:pPr>
              <w:tabs>
                <w:tab w:val="left" w:pos="4420"/>
              </w:tabs>
              <w:jc w:val="both"/>
            </w:pPr>
            <w:r>
              <w:t xml:space="preserve">Social Rents Paper – annual rent increase by 1%, replacing from 2020.  </w:t>
            </w:r>
          </w:p>
          <w:p w:rsidR="00EA5EF0" w:rsidRDefault="00EA5EF0" w:rsidP="00EA5EF0">
            <w:pPr>
              <w:tabs>
                <w:tab w:val="left" w:pos="4420"/>
              </w:tabs>
              <w:jc w:val="both"/>
            </w:pPr>
          </w:p>
        </w:tc>
        <w:tc>
          <w:tcPr>
            <w:tcW w:w="2977" w:type="dxa"/>
            <w:shd w:val="clear" w:color="auto" w:fill="auto"/>
          </w:tcPr>
          <w:p w:rsidR="00C86D65" w:rsidRPr="00AA7D59" w:rsidRDefault="004919F6" w:rsidP="00C76E5F">
            <w:pPr>
              <w:rPr>
                <w:b/>
              </w:rPr>
            </w:pPr>
            <w:r>
              <w:rPr>
                <w:b/>
              </w:rPr>
              <w:t>RS to include points in the response from KHG, colleagues to share full organisation response by Friday 26</w:t>
            </w:r>
            <w:r w:rsidRPr="004919F6">
              <w:rPr>
                <w:b/>
                <w:vertAlign w:val="superscript"/>
              </w:rPr>
              <w:t>th</w:t>
            </w:r>
            <w:r>
              <w:rPr>
                <w:b/>
              </w:rPr>
              <w:t xml:space="preserve"> October</w:t>
            </w:r>
          </w:p>
        </w:tc>
        <w:tc>
          <w:tcPr>
            <w:tcW w:w="709" w:type="dxa"/>
            <w:shd w:val="clear" w:color="auto" w:fill="auto"/>
          </w:tcPr>
          <w:p w:rsidR="004919F6" w:rsidRDefault="004919F6" w:rsidP="00D131A0">
            <w:pPr>
              <w:jc w:val="both"/>
              <w:rPr>
                <w:b/>
              </w:rPr>
            </w:pPr>
            <w:r>
              <w:rPr>
                <w:b/>
              </w:rPr>
              <w:t>RS/</w:t>
            </w:r>
          </w:p>
          <w:p w:rsidR="00C86D65" w:rsidRDefault="004919F6" w:rsidP="00D131A0">
            <w:pPr>
              <w:jc w:val="both"/>
              <w:rPr>
                <w:b/>
              </w:rPr>
            </w:pPr>
            <w:r>
              <w:rPr>
                <w:b/>
              </w:rPr>
              <w:t>ALL</w:t>
            </w:r>
          </w:p>
        </w:tc>
        <w:tc>
          <w:tcPr>
            <w:tcW w:w="1134" w:type="dxa"/>
            <w:gridSpan w:val="2"/>
            <w:shd w:val="clear" w:color="auto" w:fill="auto"/>
          </w:tcPr>
          <w:p w:rsidR="00C86D65" w:rsidRDefault="004919F6" w:rsidP="00715328">
            <w:pPr>
              <w:rPr>
                <w:b/>
                <w:color w:val="FF0000"/>
              </w:rPr>
            </w:pPr>
            <w:r>
              <w:rPr>
                <w:b/>
                <w:color w:val="FF0000"/>
              </w:rPr>
              <w:t>By 26/10</w:t>
            </w:r>
          </w:p>
        </w:tc>
      </w:tr>
      <w:tr w:rsidR="00C86D65" w:rsidRPr="00745BAC" w:rsidTr="00715328">
        <w:tc>
          <w:tcPr>
            <w:tcW w:w="1702" w:type="dxa"/>
            <w:shd w:val="clear" w:color="auto" w:fill="auto"/>
          </w:tcPr>
          <w:p w:rsidR="00C86D65" w:rsidRPr="00C86D65" w:rsidRDefault="00CC02A0" w:rsidP="008719B0">
            <w:pPr>
              <w:rPr>
                <w:b/>
              </w:rPr>
            </w:pPr>
            <w:r>
              <w:rPr>
                <w:b/>
              </w:rPr>
              <w:t>KHG Update</w:t>
            </w:r>
          </w:p>
        </w:tc>
        <w:tc>
          <w:tcPr>
            <w:tcW w:w="9497" w:type="dxa"/>
            <w:shd w:val="clear" w:color="auto" w:fill="auto"/>
          </w:tcPr>
          <w:p w:rsidR="00AD377B" w:rsidRDefault="00B338EE" w:rsidP="00E812C0">
            <w:pPr>
              <w:jc w:val="both"/>
            </w:pPr>
            <w:r>
              <w:t>Paper provided ahead of the meeting for information.</w:t>
            </w:r>
          </w:p>
          <w:p w:rsidR="005071C3" w:rsidRPr="00745BAC" w:rsidRDefault="005071C3" w:rsidP="00E812C0">
            <w:pPr>
              <w:jc w:val="both"/>
            </w:pPr>
          </w:p>
        </w:tc>
        <w:tc>
          <w:tcPr>
            <w:tcW w:w="2977" w:type="dxa"/>
            <w:shd w:val="clear" w:color="auto" w:fill="auto"/>
          </w:tcPr>
          <w:p w:rsidR="00E812C0" w:rsidRPr="008719B0" w:rsidRDefault="00E812C0" w:rsidP="009C0E21">
            <w:pPr>
              <w:jc w:val="both"/>
              <w:rPr>
                <w:b/>
              </w:rPr>
            </w:pPr>
          </w:p>
        </w:tc>
        <w:tc>
          <w:tcPr>
            <w:tcW w:w="709" w:type="dxa"/>
            <w:shd w:val="clear" w:color="auto" w:fill="auto"/>
          </w:tcPr>
          <w:p w:rsidR="00E812C0" w:rsidRPr="0044468F" w:rsidRDefault="00E812C0" w:rsidP="00D131A0">
            <w:pPr>
              <w:jc w:val="both"/>
              <w:rPr>
                <w:b/>
              </w:rPr>
            </w:pPr>
          </w:p>
        </w:tc>
        <w:tc>
          <w:tcPr>
            <w:tcW w:w="1134" w:type="dxa"/>
            <w:gridSpan w:val="2"/>
            <w:shd w:val="clear" w:color="auto" w:fill="auto"/>
          </w:tcPr>
          <w:p w:rsidR="00E812C0" w:rsidRPr="0044468F" w:rsidRDefault="00E812C0" w:rsidP="00D131A0">
            <w:pPr>
              <w:jc w:val="both"/>
              <w:rPr>
                <w:b/>
                <w:color w:val="FF0000"/>
              </w:rPr>
            </w:pPr>
          </w:p>
        </w:tc>
      </w:tr>
      <w:tr w:rsidR="00C86D65" w:rsidRPr="00745BAC" w:rsidTr="00715328">
        <w:tc>
          <w:tcPr>
            <w:tcW w:w="1702" w:type="dxa"/>
            <w:shd w:val="clear" w:color="auto" w:fill="auto"/>
          </w:tcPr>
          <w:p w:rsidR="00C86D65" w:rsidRPr="00C86D65" w:rsidRDefault="00BD7917" w:rsidP="008719B0">
            <w:pPr>
              <w:rPr>
                <w:b/>
              </w:rPr>
            </w:pPr>
            <w:r>
              <w:rPr>
                <w:b/>
              </w:rPr>
              <w:t>Kent Tenancy Fraud Forum</w:t>
            </w:r>
          </w:p>
        </w:tc>
        <w:tc>
          <w:tcPr>
            <w:tcW w:w="9497" w:type="dxa"/>
            <w:shd w:val="clear" w:color="auto" w:fill="auto"/>
          </w:tcPr>
          <w:p w:rsidR="005071C3" w:rsidRDefault="00F81332" w:rsidP="0044178D">
            <w:pPr>
              <w:jc w:val="both"/>
            </w:pPr>
            <w:r>
              <w:t>The Kent Tenancy Fraud Forum was set up</w:t>
            </w:r>
            <w:r w:rsidR="004919F6">
              <w:t xml:space="preserve"> but has not progressed further forward.  There was an initial agreement to take forward a pilot project around Key Amnesty but this did require commitment from member organisations. It was agreed that it would be useful to bring the Kent TFF core group back together and to look at potential for sharing branding and communications costing to then carry out individual key amnesties by organisation but during an agreed period of time with consistent pre and post communications to residents.</w:t>
            </w:r>
          </w:p>
          <w:p w:rsidR="00F81332" w:rsidRPr="00745BAC" w:rsidRDefault="00F81332" w:rsidP="0044178D">
            <w:pPr>
              <w:jc w:val="both"/>
            </w:pPr>
          </w:p>
        </w:tc>
        <w:tc>
          <w:tcPr>
            <w:tcW w:w="2977" w:type="dxa"/>
            <w:shd w:val="clear" w:color="auto" w:fill="auto"/>
          </w:tcPr>
          <w:p w:rsidR="00CB2B0F" w:rsidRPr="002D0116" w:rsidRDefault="004919F6" w:rsidP="002D0116">
            <w:pPr>
              <w:rPr>
                <w:b/>
              </w:rPr>
            </w:pPr>
            <w:r>
              <w:rPr>
                <w:b/>
              </w:rPr>
              <w:t>RS to liaise with Chair and set up meeting</w:t>
            </w:r>
          </w:p>
        </w:tc>
        <w:tc>
          <w:tcPr>
            <w:tcW w:w="709" w:type="dxa"/>
            <w:shd w:val="clear" w:color="auto" w:fill="auto"/>
          </w:tcPr>
          <w:p w:rsidR="00CB2B0F" w:rsidRPr="0044468F" w:rsidRDefault="004919F6" w:rsidP="002D0116">
            <w:pPr>
              <w:rPr>
                <w:b/>
              </w:rPr>
            </w:pPr>
            <w:r>
              <w:rPr>
                <w:b/>
              </w:rPr>
              <w:t>RS</w:t>
            </w:r>
          </w:p>
        </w:tc>
        <w:tc>
          <w:tcPr>
            <w:tcW w:w="1134" w:type="dxa"/>
            <w:gridSpan w:val="2"/>
            <w:shd w:val="clear" w:color="auto" w:fill="auto"/>
          </w:tcPr>
          <w:p w:rsidR="002D0116" w:rsidRPr="0044468F" w:rsidRDefault="004919F6" w:rsidP="002D0116">
            <w:pPr>
              <w:rPr>
                <w:b/>
                <w:color w:val="FF0000"/>
              </w:rPr>
            </w:pPr>
            <w:r>
              <w:rPr>
                <w:b/>
                <w:color w:val="FF0000"/>
              </w:rPr>
              <w:t>By mid Nov 18</w:t>
            </w:r>
          </w:p>
        </w:tc>
      </w:tr>
      <w:tr w:rsidR="00C86D65" w:rsidRPr="00745BAC" w:rsidTr="00715328">
        <w:tc>
          <w:tcPr>
            <w:tcW w:w="1702" w:type="dxa"/>
            <w:shd w:val="clear" w:color="auto" w:fill="auto"/>
          </w:tcPr>
          <w:p w:rsidR="00C86D65" w:rsidRPr="00C86D65" w:rsidRDefault="00BD7917" w:rsidP="008719B0">
            <w:pPr>
              <w:rPr>
                <w:b/>
              </w:rPr>
            </w:pPr>
            <w:r>
              <w:rPr>
                <w:b/>
              </w:rPr>
              <w:t>Joint Training</w:t>
            </w:r>
          </w:p>
        </w:tc>
        <w:tc>
          <w:tcPr>
            <w:tcW w:w="9497" w:type="dxa"/>
            <w:shd w:val="clear" w:color="auto" w:fill="auto"/>
          </w:tcPr>
          <w:p w:rsidR="002514E8" w:rsidRPr="004919F6" w:rsidRDefault="004919F6" w:rsidP="002D0116">
            <w:pPr>
              <w:jc w:val="both"/>
              <w:rPr>
                <w:i/>
              </w:rPr>
            </w:pPr>
            <w:r>
              <w:t xml:space="preserve">RS shared the draft workshop list with colleagues ahead of the meeting, there was a discussion about the workshops identified and others to consider, including: </w:t>
            </w:r>
            <w:r w:rsidR="00F81332" w:rsidRPr="004919F6">
              <w:rPr>
                <w:i/>
              </w:rPr>
              <w:t xml:space="preserve">How to pull together </w:t>
            </w:r>
            <w:r w:rsidR="002514E8" w:rsidRPr="004919F6">
              <w:rPr>
                <w:i/>
              </w:rPr>
              <w:t>asset</w:t>
            </w:r>
            <w:r w:rsidR="00F81332" w:rsidRPr="004919F6">
              <w:rPr>
                <w:i/>
              </w:rPr>
              <w:t xml:space="preserve"> teams and housing management – how could this be </w:t>
            </w:r>
            <w:r w:rsidR="002514E8" w:rsidRPr="004919F6">
              <w:rPr>
                <w:i/>
              </w:rPr>
              <w:t>facilitated</w:t>
            </w:r>
            <w:r w:rsidR="00F81332" w:rsidRPr="004919F6">
              <w:rPr>
                <w:i/>
              </w:rPr>
              <w:t xml:space="preserve"> through a workshop and bridge the gap between the two </w:t>
            </w:r>
            <w:r>
              <w:rPr>
                <w:i/>
              </w:rPr>
              <w:t xml:space="preserve">areas of the business? </w:t>
            </w:r>
          </w:p>
          <w:p w:rsidR="002514E8" w:rsidRPr="004919F6" w:rsidRDefault="002514E8" w:rsidP="002D0116">
            <w:pPr>
              <w:jc w:val="both"/>
              <w:rPr>
                <w:i/>
              </w:rPr>
            </w:pPr>
            <w:r w:rsidRPr="004919F6">
              <w:rPr>
                <w:i/>
              </w:rPr>
              <w:lastRenderedPageBreak/>
              <w:t>Housing and Mental Health – identifying and engaging with people with mental health, generic training or advice to attract a wider range of colleagues.</w:t>
            </w:r>
          </w:p>
          <w:p w:rsidR="002514E8" w:rsidRDefault="002514E8" w:rsidP="002D0116">
            <w:pPr>
              <w:jc w:val="both"/>
            </w:pPr>
          </w:p>
          <w:p w:rsidR="002514E8" w:rsidRPr="004919F6" w:rsidRDefault="002514E8" w:rsidP="002D0116">
            <w:pPr>
              <w:jc w:val="both"/>
              <w:rPr>
                <w:i/>
              </w:rPr>
            </w:pPr>
            <w:r w:rsidRPr="004919F6">
              <w:rPr>
                <w:i/>
              </w:rPr>
              <w:t>Peer Review – emphasis in the Green Paper about complaints and is this a good area for starting peer/critical friend, managing expectations, how to keep relationships maintained with tenants through the process of complaints, is there an opportunity to consider an independent panel to help as part of the complaints process</w:t>
            </w:r>
            <w:r w:rsidR="004919F6">
              <w:rPr>
                <w:i/>
              </w:rPr>
              <w:t>?</w:t>
            </w:r>
            <w:r w:rsidRPr="004919F6">
              <w:rPr>
                <w:i/>
              </w:rPr>
              <w:t xml:space="preserve"> (Ashford BC have set up a panel with Members, with just a few examples to date).</w:t>
            </w:r>
          </w:p>
          <w:p w:rsidR="002514E8" w:rsidRDefault="002514E8" w:rsidP="002D0116">
            <w:pPr>
              <w:jc w:val="both"/>
            </w:pPr>
          </w:p>
          <w:p w:rsidR="002514E8" w:rsidRPr="004919F6" w:rsidRDefault="002514E8" w:rsidP="002D0116">
            <w:pPr>
              <w:jc w:val="both"/>
              <w:rPr>
                <w:i/>
              </w:rPr>
            </w:pPr>
            <w:r w:rsidRPr="004919F6">
              <w:rPr>
                <w:i/>
              </w:rPr>
              <w:t xml:space="preserve">Can we pool/share best practice around ASB, with a view to the Green Paper reference to KPI’s for Neighbourhood Management?  </w:t>
            </w:r>
            <w:r w:rsidR="0062347F" w:rsidRPr="004919F6">
              <w:rPr>
                <w:i/>
              </w:rPr>
              <w:t>Key to engage front line staff and other colleagues who would have an interest in the workshop sessions.</w:t>
            </w:r>
            <w:r w:rsidR="004919F6" w:rsidRPr="004919F6">
              <w:rPr>
                <w:i/>
              </w:rPr>
              <w:t xml:space="preserve"> Potential to use </w:t>
            </w:r>
            <w:r w:rsidR="00666D5A" w:rsidRPr="004919F6">
              <w:rPr>
                <w:i/>
              </w:rPr>
              <w:t xml:space="preserve">David Armstrong, takes forward cases around Environmental Protection, new </w:t>
            </w:r>
            <w:r w:rsidR="004919F6" w:rsidRPr="004919F6">
              <w:rPr>
                <w:i/>
              </w:rPr>
              <w:t>approaches and tactics for ASB in Dartford area currently, good practice or learning to share with the wider group?</w:t>
            </w:r>
          </w:p>
          <w:p w:rsidR="0062347F" w:rsidRPr="00745BAC" w:rsidRDefault="0062347F" w:rsidP="002D0116">
            <w:pPr>
              <w:jc w:val="both"/>
            </w:pPr>
          </w:p>
        </w:tc>
        <w:tc>
          <w:tcPr>
            <w:tcW w:w="2977" w:type="dxa"/>
            <w:shd w:val="clear" w:color="auto" w:fill="auto"/>
          </w:tcPr>
          <w:p w:rsidR="00C86D65" w:rsidRPr="0027714F" w:rsidRDefault="004919F6" w:rsidP="002D0116">
            <w:pPr>
              <w:rPr>
                <w:b/>
              </w:rPr>
            </w:pPr>
            <w:r>
              <w:rPr>
                <w:b/>
              </w:rPr>
              <w:lastRenderedPageBreak/>
              <w:t>RS to feedback to KHG Events Group for additions to draft programme</w:t>
            </w:r>
          </w:p>
        </w:tc>
        <w:tc>
          <w:tcPr>
            <w:tcW w:w="709" w:type="dxa"/>
            <w:shd w:val="clear" w:color="auto" w:fill="auto"/>
          </w:tcPr>
          <w:p w:rsidR="00C86D65" w:rsidRPr="0044468F" w:rsidRDefault="004919F6" w:rsidP="00D131A0">
            <w:pPr>
              <w:jc w:val="both"/>
              <w:rPr>
                <w:b/>
              </w:rPr>
            </w:pPr>
            <w:r>
              <w:rPr>
                <w:b/>
              </w:rPr>
              <w:t>RS</w:t>
            </w:r>
          </w:p>
        </w:tc>
        <w:tc>
          <w:tcPr>
            <w:tcW w:w="1134" w:type="dxa"/>
            <w:gridSpan w:val="2"/>
            <w:shd w:val="clear" w:color="auto" w:fill="auto"/>
          </w:tcPr>
          <w:p w:rsidR="00C86D65" w:rsidRPr="0027714F" w:rsidRDefault="004919F6" w:rsidP="00CC02A0">
            <w:pPr>
              <w:rPr>
                <w:b/>
                <w:color w:val="FF0000"/>
              </w:rPr>
            </w:pPr>
            <w:r>
              <w:rPr>
                <w:b/>
                <w:color w:val="FF0000"/>
              </w:rPr>
              <w:t>ASAP</w:t>
            </w:r>
          </w:p>
        </w:tc>
      </w:tr>
      <w:tr w:rsidR="00C86D65" w:rsidRPr="00745BAC" w:rsidTr="00715328">
        <w:tc>
          <w:tcPr>
            <w:tcW w:w="1702" w:type="dxa"/>
            <w:shd w:val="clear" w:color="auto" w:fill="auto"/>
          </w:tcPr>
          <w:p w:rsidR="00C86D65" w:rsidRPr="00C86D65" w:rsidRDefault="003839CD" w:rsidP="008719B0">
            <w:pPr>
              <w:rPr>
                <w:b/>
              </w:rPr>
            </w:pPr>
            <w:r>
              <w:rPr>
                <w:b/>
              </w:rPr>
              <w:t>AOB</w:t>
            </w:r>
          </w:p>
        </w:tc>
        <w:tc>
          <w:tcPr>
            <w:tcW w:w="9497" w:type="dxa"/>
            <w:shd w:val="clear" w:color="auto" w:fill="auto"/>
          </w:tcPr>
          <w:p w:rsidR="006A1123" w:rsidRDefault="0062347F" w:rsidP="00A7161B">
            <w:pPr>
              <w:jc w:val="both"/>
            </w:pPr>
            <w:r>
              <w:t>Dates</w:t>
            </w:r>
            <w:r w:rsidR="004919F6">
              <w:t xml:space="preserve"> for 2019 to be shared by RS, agreed that would meet in March, July and October.  Golding Homes offered to host final meeting of 2019, MHS in the Chatham Foyer for July and ABC for March.</w:t>
            </w:r>
          </w:p>
          <w:p w:rsidR="0062347F" w:rsidRDefault="0062347F" w:rsidP="00A7161B">
            <w:pPr>
              <w:jc w:val="both"/>
            </w:pPr>
          </w:p>
          <w:p w:rsidR="0062347F" w:rsidRDefault="0062347F" w:rsidP="00A7161B">
            <w:pPr>
              <w:jc w:val="both"/>
            </w:pPr>
            <w:r>
              <w:t>Safeguarding Co-ordinator role to begin at Optivo next month, a brand new role, TS asked if colleagues would be happy to be contacted or for her to attend a future meeting.</w:t>
            </w:r>
          </w:p>
          <w:p w:rsidR="0062347F" w:rsidRDefault="0062347F" w:rsidP="00A7161B">
            <w:pPr>
              <w:jc w:val="both"/>
            </w:pPr>
          </w:p>
          <w:p w:rsidR="0062347F" w:rsidRDefault="0062347F" w:rsidP="00A7161B">
            <w:pPr>
              <w:jc w:val="both"/>
            </w:pPr>
            <w:r>
              <w:t xml:space="preserve">AC asked about rewards or tenant incentives, colleagues confirmed that generally their organisation no longer offers incentives. </w:t>
            </w:r>
          </w:p>
          <w:p w:rsidR="0062347F" w:rsidRPr="00676FD2" w:rsidRDefault="0062347F" w:rsidP="00A7161B">
            <w:pPr>
              <w:jc w:val="both"/>
            </w:pPr>
          </w:p>
        </w:tc>
        <w:tc>
          <w:tcPr>
            <w:tcW w:w="2977" w:type="dxa"/>
            <w:shd w:val="clear" w:color="auto" w:fill="auto"/>
          </w:tcPr>
          <w:p w:rsidR="006A1123" w:rsidRPr="003839CD" w:rsidRDefault="004919F6" w:rsidP="006A1123">
            <w:pPr>
              <w:rPr>
                <w:b/>
              </w:rPr>
            </w:pPr>
            <w:r w:rsidRPr="003839CD">
              <w:rPr>
                <w:b/>
              </w:rPr>
              <w:t>RS to share dates via outlook</w:t>
            </w:r>
          </w:p>
          <w:p w:rsidR="004919F6" w:rsidRPr="003839CD" w:rsidRDefault="004919F6" w:rsidP="006A1123">
            <w:pPr>
              <w:rPr>
                <w:b/>
              </w:rPr>
            </w:pPr>
          </w:p>
          <w:p w:rsidR="004919F6" w:rsidRPr="003839CD" w:rsidRDefault="004919F6" w:rsidP="006A1123">
            <w:pPr>
              <w:rPr>
                <w:b/>
              </w:rPr>
            </w:pPr>
          </w:p>
          <w:p w:rsidR="004919F6" w:rsidRPr="008725B1" w:rsidRDefault="004919F6" w:rsidP="006A1123">
            <w:r w:rsidRPr="003839CD">
              <w:rPr>
                <w:b/>
              </w:rPr>
              <w:t>TS to provide contact details of group to new role</w:t>
            </w:r>
          </w:p>
        </w:tc>
        <w:tc>
          <w:tcPr>
            <w:tcW w:w="709" w:type="dxa"/>
            <w:shd w:val="clear" w:color="auto" w:fill="auto"/>
          </w:tcPr>
          <w:p w:rsidR="006A1123" w:rsidRDefault="004919F6" w:rsidP="00D131A0">
            <w:pPr>
              <w:jc w:val="both"/>
              <w:rPr>
                <w:b/>
              </w:rPr>
            </w:pPr>
            <w:r>
              <w:rPr>
                <w:b/>
              </w:rPr>
              <w:t>RS</w:t>
            </w:r>
          </w:p>
          <w:p w:rsidR="004919F6" w:rsidRDefault="004919F6" w:rsidP="00D131A0">
            <w:pPr>
              <w:jc w:val="both"/>
              <w:rPr>
                <w:b/>
              </w:rPr>
            </w:pPr>
          </w:p>
          <w:p w:rsidR="004919F6" w:rsidRDefault="004919F6" w:rsidP="00D131A0">
            <w:pPr>
              <w:jc w:val="both"/>
              <w:rPr>
                <w:b/>
              </w:rPr>
            </w:pPr>
          </w:p>
          <w:p w:rsidR="004919F6" w:rsidRPr="0044468F" w:rsidRDefault="004919F6" w:rsidP="00D131A0">
            <w:pPr>
              <w:jc w:val="both"/>
              <w:rPr>
                <w:b/>
              </w:rPr>
            </w:pPr>
            <w:r>
              <w:rPr>
                <w:b/>
              </w:rPr>
              <w:t>TS</w:t>
            </w:r>
          </w:p>
        </w:tc>
        <w:tc>
          <w:tcPr>
            <w:tcW w:w="1134" w:type="dxa"/>
            <w:gridSpan w:val="2"/>
            <w:shd w:val="clear" w:color="auto" w:fill="auto"/>
          </w:tcPr>
          <w:p w:rsidR="006A1123" w:rsidRDefault="004919F6" w:rsidP="009A1443">
            <w:pPr>
              <w:rPr>
                <w:b/>
                <w:color w:val="FF0000"/>
              </w:rPr>
            </w:pPr>
            <w:r>
              <w:rPr>
                <w:b/>
                <w:color w:val="FF0000"/>
              </w:rPr>
              <w:t>ASAP</w:t>
            </w:r>
          </w:p>
          <w:p w:rsidR="004919F6" w:rsidRDefault="004919F6" w:rsidP="009A1443">
            <w:pPr>
              <w:rPr>
                <w:b/>
                <w:color w:val="FF0000"/>
              </w:rPr>
            </w:pPr>
          </w:p>
          <w:p w:rsidR="004919F6" w:rsidRDefault="004919F6" w:rsidP="009A1443">
            <w:pPr>
              <w:rPr>
                <w:b/>
                <w:color w:val="FF0000"/>
              </w:rPr>
            </w:pPr>
          </w:p>
          <w:p w:rsidR="004919F6" w:rsidRPr="0044468F" w:rsidRDefault="004919F6" w:rsidP="009A1443">
            <w:pPr>
              <w:rPr>
                <w:b/>
                <w:color w:val="FF0000"/>
              </w:rPr>
            </w:pPr>
            <w:r>
              <w:rPr>
                <w:b/>
                <w:color w:val="FF0000"/>
              </w:rPr>
              <w:t>As required</w:t>
            </w:r>
          </w:p>
        </w:tc>
      </w:tr>
    </w:tbl>
    <w:p w:rsidR="00194850" w:rsidRDefault="00194850"/>
    <w:p w:rsidR="00443F82" w:rsidRDefault="00E42640">
      <w:pPr>
        <w:rPr>
          <w:b/>
          <w:i/>
        </w:rPr>
      </w:pPr>
      <w:r>
        <w:t xml:space="preserve"> </w:t>
      </w:r>
      <w:r w:rsidRPr="00B86E64">
        <w:rPr>
          <w:b/>
          <w:i/>
        </w:rPr>
        <w:t>Thanks not</w:t>
      </w:r>
      <w:r w:rsidR="00DB38AF" w:rsidRPr="00B86E64">
        <w:rPr>
          <w:b/>
          <w:i/>
        </w:rPr>
        <w:t xml:space="preserve">ed to </w:t>
      </w:r>
      <w:r w:rsidR="00D101F5">
        <w:rPr>
          <w:b/>
          <w:i/>
        </w:rPr>
        <w:t>Ashford BC</w:t>
      </w:r>
      <w:r w:rsidR="006F3586" w:rsidRPr="00B86E64">
        <w:rPr>
          <w:b/>
          <w:i/>
        </w:rPr>
        <w:t xml:space="preserve"> for hosting</w:t>
      </w:r>
    </w:p>
    <w:sectPr w:rsidR="00443F82" w:rsidSect="002D569F">
      <w:headerReference w:type="even" r:id="rId12"/>
      <w:headerReference w:type="default" r:id="rId13"/>
      <w:footerReference w:type="even" r:id="rId14"/>
      <w:footerReference w:type="default" r:id="rId15"/>
      <w:headerReference w:type="first" r:id="rId16"/>
      <w:footerReference w:type="first" r:id="rId17"/>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21D" w:rsidRDefault="0085321D" w:rsidP="001D0582">
      <w:pPr>
        <w:spacing w:after="0" w:line="240" w:lineRule="auto"/>
      </w:pPr>
      <w:r>
        <w:separator/>
      </w:r>
    </w:p>
  </w:endnote>
  <w:endnote w:type="continuationSeparator" w:id="0">
    <w:p w:rsidR="0085321D" w:rsidRDefault="0085321D"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116" w:rsidRDefault="002D01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796345"/>
      <w:docPartObj>
        <w:docPartGallery w:val="Page Numbers (Bottom of Page)"/>
        <w:docPartUnique/>
      </w:docPartObj>
    </w:sdtPr>
    <w:sdtEndPr>
      <w:rPr>
        <w:noProof/>
      </w:rPr>
    </w:sdtEndPr>
    <w:sdtContent>
      <w:p w:rsidR="002D0116" w:rsidRDefault="002D0116">
        <w:pPr>
          <w:pStyle w:val="Footer"/>
          <w:jc w:val="right"/>
        </w:pPr>
        <w:r>
          <w:fldChar w:fldCharType="begin"/>
        </w:r>
        <w:r>
          <w:instrText xml:space="preserve"> PAGE   \* MERGEFORMAT </w:instrText>
        </w:r>
        <w:r>
          <w:fldChar w:fldCharType="separate"/>
        </w:r>
        <w:r w:rsidR="000220AB">
          <w:rPr>
            <w:noProof/>
          </w:rPr>
          <w:t>1</w:t>
        </w:r>
        <w:r>
          <w:rPr>
            <w:noProof/>
          </w:rPr>
          <w:fldChar w:fldCharType="end"/>
        </w:r>
      </w:p>
    </w:sdtContent>
  </w:sdt>
  <w:p w:rsidR="002D0116" w:rsidRDefault="002D01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116" w:rsidRDefault="002D0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21D" w:rsidRDefault="0085321D" w:rsidP="001D0582">
      <w:pPr>
        <w:spacing w:after="0" w:line="240" w:lineRule="auto"/>
      </w:pPr>
      <w:r>
        <w:separator/>
      </w:r>
    </w:p>
  </w:footnote>
  <w:footnote w:type="continuationSeparator" w:id="0">
    <w:p w:rsidR="0085321D" w:rsidRDefault="0085321D"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116" w:rsidRDefault="002D01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331941"/>
      <w:docPartObj>
        <w:docPartGallery w:val="Watermarks"/>
        <w:docPartUnique/>
      </w:docPartObj>
    </w:sdtPr>
    <w:sdtEndPr/>
    <w:sdtContent>
      <w:p w:rsidR="002D0116" w:rsidRDefault="000220AB">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116" w:rsidRDefault="002D01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43918"/>
    <w:multiLevelType w:val="hybridMultilevel"/>
    <w:tmpl w:val="2D102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7280D"/>
    <w:multiLevelType w:val="hybridMultilevel"/>
    <w:tmpl w:val="6752530C"/>
    <w:lvl w:ilvl="0" w:tplc="7A5CB70C">
      <w:start w:val="1"/>
      <w:numFmt w:val="bullet"/>
      <w:lvlText w:val=""/>
      <w:lvlJc w:val="left"/>
      <w:pPr>
        <w:tabs>
          <w:tab w:val="num" w:pos="720"/>
        </w:tabs>
        <w:ind w:left="720" w:hanging="360"/>
      </w:pPr>
      <w:rPr>
        <w:rFonts w:ascii="Wingdings" w:hAnsi="Wingdings" w:hint="default"/>
      </w:rPr>
    </w:lvl>
    <w:lvl w:ilvl="1" w:tplc="B8B8FE94" w:tentative="1">
      <w:start w:val="1"/>
      <w:numFmt w:val="bullet"/>
      <w:lvlText w:val=""/>
      <w:lvlJc w:val="left"/>
      <w:pPr>
        <w:tabs>
          <w:tab w:val="num" w:pos="1440"/>
        </w:tabs>
        <w:ind w:left="1440" w:hanging="360"/>
      </w:pPr>
      <w:rPr>
        <w:rFonts w:ascii="Wingdings" w:hAnsi="Wingdings" w:hint="default"/>
      </w:rPr>
    </w:lvl>
    <w:lvl w:ilvl="2" w:tplc="2CD2D96C" w:tentative="1">
      <w:start w:val="1"/>
      <w:numFmt w:val="bullet"/>
      <w:lvlText w:val=""/>
      <w:lvlJc w:val="left"/>
      <w:pPr>
        <w:tabs>
          <w:tab w:val="num" w:pos="2160"/>
        </w:tabs>
        <w:ind w:left="2160" w:hanging="360"/>
      </w:pPr>
      <w:rPr>
        <w:rFonts w:ascii="Wingdings" w:hAnsi="Wingdings" w:hint="default"/>
      </w:rPr>
    </w:lvl>
    <w:lvl w:ilvl="3" w:tplc="8AA676E0" w:tentative="1">
      <w:start w:val="1"/>
      <w:numFmt w:val="bullet"/>
      <w:lvlText w:val=""/>
      <w:lvlJc w:val="left"/>
      <w:pPr>
        <w:tabs>
          <w:tab w:val="num" w:pos="2880"/>
        </w:tabs>
        <w:ind w:left="2880" w:hanging="360"/>
      </w:pPr>
      <w:rPr>
        <w:rFonts w:ascii="Wingdings" w:hAnsi="Wingdings" w:hint="default"/>
      </w:rPr>
    </w:lvl>
    <w:lvl w:ilvl="4" w:tplc="F9F4BA9E" w:tentative="1">
      <w:start w:val="1"/>
      <w:numFmt w:val="bullet"/>
      <w:lvlText w:val=""/>
      <w:lvlJc w:val="left"/>
      <w:pPr>
        <w:tabs>
          <w:tab w:val="num" w:pos="3600"/>
        </w:tabs>
        <w:ind w:left="3600" w:hanging="360"/>
      </w:pPr>
      <w:rPr>
        <w:rFonts w:ascii="Wingdings" w:hAnsi="Wingdings" w:hint="default"/>
      </w:rPr>
    </w:lvl>
    <w:lvl w:ilvl="5" w:tplc="D146F792" w:tentative="1">
      <w:start w:val="1"/>
      <w:numFmt w:val="bullet"/>
      <w:lvlText w:val=""/>
      <w:lvlJc w:val="left"/>
      <w:pPr>
        <w:tabs>
          <w:tab w:val="num" w:pos="4320"/>
        </w:tabs>
        <w:ind w:left="4320" w:hanging="360"/>
      </w:pPr>
      <w:rPr>
        <w:rFonts w:ascii="Wingdings" w:hAnsi="Wingdings" w:hint="default"/>
      </w:rPr>
    </w:lvl>
    <w:lvl w:ilvl="6" w:tplc="4FCA4924" w:tentative="1">
      <w:start w:val="1"/>
      <w:numFmt w:val="bullet"/>
      <w:lvlText w:val=""/>
      <w:lvlJc w:val="left"/>
      <w:pPr>
        <w:tabs>
          <w:tab w:val="num" w:pos="5040"/>
        </w:tabs>
        <w:ind w:left="5040" w:hanging="360"/>
      </w:pPr>
      <w:rPr>
        <w:rFonts w:ascii="Wingdings" w:hAnsi="Wingdings" w:hint="default"/>
      </w:rPr>
    </w:lvl>
    <w:lvl w:ilvl="7" w:tplc="5FEAF6D6" w:tentative="1">
      <w:start w:val="1"/>
      <w:numFmt w:val="bullet"/>
      <w:lvlText w:val=""/>
      <w:lvlJc w:val="left"/>
      <w:pPr>
        <w:tabs>
          <w:tab w:val="num" w:pos="5760"/>
        </w:tabs>
        <w:ind w:left="5760" w:hanging="360"/>
      </w:pPr>
      <w:rPr>
        <w:rFonts w:ascii="Wingdings" w:hAnsi="Wingdings" w:hint="default"/>
      </w:rPr>
    </w:lvl>
    <w:lvl w:ilvl="8" w:tplc="F74CD7A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B84627"/>
    <w:multiLevelType w:val="hybridMultilevel"/>
    <w:tmpl w:val="2B70B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901178"/>
    <w:multiLevelType w:val="hybridMultilevel"/>
    <w:tmpl w:val="85D6D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025803"/>
    <w:multiLevelType w:val="hybridMultilevel"/>
    <w:tmpl w:val="84AC2892"/>
    <w:lvl w:ilvl="0" w:tplc="ED0C7B92">
      <w:start w:val="1"/>
      <w:numFmt w:val="bullet"/>
      <w:lvlText w:val="•"/>
      <w:lvlJc w:val="left"/>
      <w:pPr>
        <w:tabs>
          <w:tab w:val="num" w:pos="720"/>
        </w:tabs>
        <w:ind w:left="720" w:hanging="360"/>
      </w:pPr>
      <w:rPr>
        <w:rFonts w:ascii="Arial" w:hAnsi="Arial" w:hint="default"/>
      </w:rPr>
    </w:lvl>
    <w:lvl w:ilvl="1" w:tplc="05783236" w:tentative="1">
      <w:start w:val="1"/>
      <w:numFmt w:val="bullet"/>
      <w:lvlText w:val="•"/>
      <w:lvlJc w:val="left"/>
      <w:pPr>
        <w:tabs>
          <w:tab w:val="num" w:pos="1440"/>
        </w:tabs>
        <w:ind w:left="1440" w:hanging="360"/>
      </w:pPr>
      <w:rPr>
        <w:rFonts w:ascii="Arial" w:hAnsi="Arial" w:hint="default"/>
      </w:rPr>
    </w:lvl>
    <w:lvl w:ilvl="2" w:tplc="CE16BB2A" w:tentative="1">
      <w:start w:val="1"/>
      <w:numFmt w:val="bullet"/>
      <w:lvlText w:val="•"/>
      <w:lvlJc w:val="left"/>
      <w:pPr>
        <w:tabs>
          <w:tab w:val="num" w:pos="2160"/>
        </w:tabs>
        <w:ind w:left="2160" w:hanging="360"/>
      </w:pPr>
      <w:rPr>
        <w:rFonts w:ascii="Arial" w:hAnsi="Arial" w:hint="default"/>
      </w:rPr>
    </w:lvl>
    <w:lvl w:ilvl="3" w:tplc="B13E31DC" w:tentative="1">
      <w:start w:val="1"/>
      <w:numFmt w:val="bullet"/>
      <w:lvlText w:val="•"/>
      <w:lvlJc w:val="left"/>
      <w:pPr>
        <w:tabs>
          <w:tab w:val="num" w:pos="2880"/>
        </w:tabs>
        <w:ind w:left="2880" w:hanging="360"/>
      </w:pPr>
      <w:rPr>
        <w:rFonts w:ascii="Arial" w:hAnsi="Arial" w:hint="default"/>
      </w:rPr>
    </w:lvl>
    <w:lvl w:ilvl="4" w:tplc="4ECAF4A8" w:tentative="1">
      <w:start w:val="1"/>
      <w:numFmt w:val="bullet"/>
      <w:lvlText w:val="•"/>
      <w:lvlJc w:val="left"/>
      <w:pPr>
        <w:tabs>
          <w:tab w:val="num" w:pos="3600"/>
        </w:tabs>
        <w:ind w:left="3600" w:hanging="360"/>
      </w:pPr>
      <w:rPr>
        <w:rFonts w:ascii="Arial" w:hAnsi="Arial" w:hint="default"/>
      </w:rPr>
    </w:lvl>
    <w:lvl w:ilvl="5" w:tplc="7FF0C09E" w:tentative="1">
      <w:start w:val="1"/>
      <w:numFmt w:val="bullet"/>
      <w:lvlText w:val="•"/>
      <w:lvlJc w:val="left"/>
      <w:pPr>
        <w:tabs>
          <w:tab w:val="num" w:pos="4320"/>
        </w:tabs>
        <w:ind w:left="4320" w:hanging="360"/>
      </w:pPr>
      <w:rPr>
        <w:rFonts w:ascii="Arial" w:hAnsi="Arial" w:hint="default"/>
      </w:rPr>
    </w:lvl>
    <w:lvl w:ilvl="6" w:tplc="21C4D83E" w:tentative="1">
      <w:start w:val="1"/>
      <w:numFmt w:val="bullet"/>
      <w:lvlText w:val="•"/>
      <w:lvlJc w:val="left"/>
      <w:pPr>
        <w:tabs>
          <w:tab w:val="num" w:pos="5040"/>
        </w:tabs>
        <w:ind w:left="5040" w:hanging="360"/>
      </w:pPr>
      <w:rPr>
        <w:rFonts w:ascii="Arial" w:hAnsi="Arial" w:hint="default"/>
      </w:rPr>
    </w:lvl>
    <w:lvl w:ilvl="7" w:tplc="758860D8" w:tentative="1">
      <w:start w:val="1"/>
      <w:numFmt w:val="bullet"/>
      <w:lvlText w:val="•"/>
      <w:lvlJc w:val="left"/>
      <w:pPr>
        <w:tabs>
          <w:tab w:val="num" w:pos="5760"/>
        </w:tabs>
        <w:ind w:left="5760" w:hanging="360"/>
      </w:pPr>
      <w:rPr>
        <w:rFonts w:ascii="Arial" w:hAnsi="Arial" w:hint="default"/>
      </w:rPr>
    </w:lvl>
    <w:lvl w:ilvl="8" w:tplc="A63CF55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601B80"/>
    <w:multiLevelType w:val="hybridMultilevel"/>
    <w:tmpl w:val="881C2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10"/>
  </w:num>
  <w:num w:numId="5">
    <w:abstractNumId w:val="5"/>
  </w:num>
  <w:num w:numId="6">
    <w:abstractNumId w:val="3"/>
  </w:num>
  <w:num w:numId="7">
    <w:abstractNumId w:val="7"/>
  </w:num>
  <w:num w:numId="8">
    <w:abstractNumId w:val="6"/>
  </w:num>
  <w:num w:numId="9">
    <w:abstractNumId w:val="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220AB"/>
    <w:rsid w:val="00022E7A"/>
    <w:rsid w:val="000245BF"/>
    <w:rsid w:val="0002794B"/>
    <w:rsid w:val="00030B86"/>
    <w:rsid w:val="00051B1E"/>
    <w:rsid w:val="0005688A"/>
    <w:rsid w:val="00061235"/>
    <w:rsid w:val="000718CE"/>
    <w:rsid w:val="00074BA3"/>
    <w:rsid w:val="00075AEA"/>
    <w:rsid w:val="00077CCB"/>
    <w:rsid w:val="00080744"/>
    <w:rsid w:val="00085AA4"/>
    <w:rsid w:val="000871E7"/>
    <w:rsid w:val="00094B7F"/>
    <w:rsid w:val="00094D7E"/>
    <w:rsid w:val="00095958"/>
    <w:rsid w:val="000A139A"/>
    <w:rsid w:val="000B2686"/>
    <w:rsid w:val="000B4C89"/>
    <w:rsid w:val="000D2680"/>
    <w:rsid w:val="000E09FF"/>
    <w:rsid w:val="000E1AF4"/>
    <w:rsid w:val="000E46F3"/>
    <w:rsid w:val="000E5093"/>
    <w:rsid w:val="000E6197"/>
    <w:rsid w:val="000E7D73"/>
    <w:rsid w:val="00104901"/>
    <w:rsid w:val="00111B2B"/>
    <w:rsid w:val="00115336"/>
    <w:rsid w:val="001262F3"/>
    <w:rsid w:val="00127DAF"/>
    <w:rsid w:val="00127ED4"/>
    <w:rsid w:val="00130B92"/>
    <w:rsid w:val="00133889"/>
    <w:rsid w:val="00137E51"/>
    <w:rsid w:val="001439DD"/>
    <w:rsid w:val="001475A9"/>
    <w:rsid w:val="00150D2E"/>
    <w:rsid w:val="00156EA5"/>
    <w:rsid w:val="00161B77"/>
    <w:rsid w:val="00165BDC"/>
    <w:rsid w:val="00167755"/>
    <w:rsid w:val="00176C25"/>
    <w:rsid w:val="00182CF3"/>
    <w:rsid w:val="00194850"/>
    <w:rsid w:val="001965ED"/>
    <w:rsid w:val="001A1975"/>
    <w:rsid w:val="001A75B2"/>
    <w:rsid w:val="001C3A06"/>
    <w:rsid w:val="001C7AAC"/>
    <w:rsid w:val="001D0582"/>
    <w:rsid w:val="001D1337"/>
    <w:rsid w:val="001D54FF"/>
    <w:rsid w:val="001E3BD2"/>
    <w:rsid w:val="001F0061"/>
    <w:rsid w:val="00200B68"/>
    <w:rsid w:val="00211BD3"/>
    <w:rsid w:val="002147E0"/>
    <w:rsid w:val="002171B0"/>
    <w:rsid w:val="00222A5F"/>
    <w:rsid w:val="00234120"/>
    <w:rsid w:val="00236F44"/>
    <w:rsid w:val="00240ACA"/>
    <w:rsid w:val="00243F4C"/>
    <w:rsid w:val="002479D5"/>
    <w:rsid w:val="002514E8"/>
    <w:rsid w:val="0025298F"/>
    <w:rsid w:val="0026205B"/>
    <w:rsid w:val="00262705"/>
    <w:rsid w:val="00267BEB"/>
    <w:rsid w:val="00267C42"/>
    <w:rsid w:val="002718DD"/>
    <w:rsid w:val="00271F22"/>
    <w:rsid w:val="00274D25"/>
    <w:rsid w:val="0027714F"/>
    <w:rsid w:val="00283FBE"/>
    <w:rsid w:val="00293C7B"/>
    <w:rsid w:val="00297E1C"/>
    <w:rsid w:val="002A6E7D"/>
    <w:rsid w:val="002B184E"/>
    <w:rsid w:val="002B7C40"/>
    <w:rsid w:val="002C4971"/>
    <w:rsid w:val="002C521E"/>
    <w:rsid w:val="002D0116"/>
    <w:rsid w:val="002D569F"/>
    <w:rsid w:val="002E1DBC"/>
    <w:rsid w:val="002E2A04"/>
    <w:rsid w:val="002F5ABE"/>
    <w:rsid w:val="003016B3"/>
    <w:rsid w:val="00305A58"/>
    <w:rsid w:val="0030692E"/>
    <w:rsid w:val="00315A95"/>
    <w:rsid w:val="00326A5C"/>
    <w:rsid w:val="00330F11"/>
    <w:rsid w:val="00331236"/>
    <w:rsid w:val="003317F9"/>
    <w:rsid w:val="0033294D"/>
    <w:rsid w:val="003352B8"/>
    <w:rsid w:val="00341299"/>
    <w:rsid w:val="00341EA6"/>
    <w:rsid w:val="00365150"/>
    <w:rsid w:val="00366D02"/>
    <w:rsid w:val="00371ECA"/>
    <w:rsid w:val="0037203C"/>
    <w:rsid w:val="00373C97"/>
    <w:rsid w:val="00375457"/>
    <w:rsid w:val="003763CD"/>
    <w:rsid w:val="003771C3"/>
    <w:rsid w:val="003805C2"/>
    <w:rsid w:val="00382671"/>
    <w:rsid w:val="0038370A"/>
    <w:rsid w:val="003839CD"/>
    <w:rsid w:val="003839CF"/>
    <w:rsid w:val="003900EE"/>
    <w:rsid w:val="00391561"/>
    <w:rsid w:val="0039728D"/>
    <w:rsid w:val="003A12E5"/>
    <w:rsid w:val="003C7C89"/>
    <w:rsid w:val="003D7835"/>
    <w:rsid w:val="003E1FB0"/>
    <w:rsid w:val="003E3946"/>
    <w:rsid w:val="003E6D4B"/>
    <w:rsid w:val="003F19AE"/>
    <w:rsid w:val="003F33D2"/>
    <w:rsid w:val="003F5CB0"/>
    <w:rsid w:val="00414345"/>
    <w:rsid w:val="00417809"/>
    <w:rsid w:val="00420965"/>
    <w:rsid w:val="004241B5"/>
    <w:rsid w:val="00426472"/>
    <w:rsid w:val="00432746"/>
    <w:rsid w:val="004409D4"/>
    <w:rsid w:val="0044178D"/>
    <w:rsid w:val="00443F82"/>
    <w:rsid w:val="0044468F"/>
    <w:rsid w:val="00451853"/>
    <w:rsid w:val="00454E00"/>
    <w:rsid w:val="004800AC"/>
    <w:rsid w:val="00486834"/>
    <w:rsid w:val="004919F6"/>
    <w:rsid w:val="004951B9"/>
    <w:rsid w:val="00495785"/>
    <w:rsid w:val="004A500E"/>
    <w:rsid w:val="004B36B2"/>
    <w:rsid w:val="004B501A"/>
    <w:rsid w:val="004C57A0"/>
    <w:rsid w:val="004D1D2D"/>
    <w:rsid w:val="004D2EC3"/>
    <w:rsid w:val="004D686A"/>
    <w:rsid w:val="004F3A69"/>
    <w:rsid w:val="005071C3"/>
    <w:rsid w:val="00540DE2"/>
    <w:rsid w:val="00557253"/>
    <w:rsid w:val="0057197C"/>
    <w:rsid w:val="005755F2"/>
    <w:rsid w:val="005764C5"/>
    <w:rsid w:val="00583C1A"/>
    <w:rsid w:val="00596291"/>
    <w:rsid w:val="005A7FF7"/>
    <w:rsid w:val="005B4E78"/>
    <w:rsid w:val="005C2EBA"/>
    <w:rsid w:val="005C39F5"/>
    <w:rsid w:val="005D1AB8"/>
    <w:rsid w:val="005D20EB"/>
    <w:rsid w:val="005D279F"/>
    <w:rsid w:val="005D31FF"/>
    <w:rsid w:val="005D68EF"/>
    <w:rsid w:val="00620AC9"/>
    <w:rsid w:val="0062347F"/>
    <w:rsid w:val="00637CB2"/>
    <w:rsid w:val="00640FCB"/>
    <w:rsid w:val="00643A5E"/>
    <w:rsid w:val="00647CA0"/>
    <w:rsid w:val="00663A8B"/>
    <w:rsid w:val="0066483C"/>
    <w:rsid w:val="00666D5A"/>
    <w:rsid w:val="00673B7F"/>
    <w:rsid w:val="00676FD2"/>
    <w:rsid w:val="00681AFC"/>
    <w:rsid w:val="006835C0"/>
    <w:rsid w:val="00685510"/>
    <w:rsid w:val="0069129B"/>
    <w:rsid w:val="006928DE"/>
    <w:rsid w:val="006969C5"/>
    <w:rsid w:val="0069739D"/>
    <w:rsid w:val="006A0F46"/>
    <w:rsid w:val="006A1123"/>
    <w:rsid w:val="006A44D8"/>
    <w:rsid w:val="006B0BF9"/>
    <w:rsid w:val="006B4E6F"/>
    <w:rsid w:val="006C2977"/>
    <w:rsid w:val="006C353E"/>
    <w:rsid w:val="006C76F0"/>
    <w:rsid w:val="006D4F1E"/>
    <w:rsid w:val="006D52CE"/>
    <w:rsid w:val="006E5120"/>
    <w:rsid w:val="006F3586"/>
    <w:rsid w:val="006F73A7"/>
    <w:rsid w:val="006F7820"/>
    <w:rsid w:val="00702D6B"/>
    <w:rsid w:val="00707E57"/>
    <w:rsid w:val="00713007"/>
    <w:rsid w:val="00715328"/>
    <w:rsid w:val="0071574E"/>
    <w:rsid w:val="007253F4"/>
    <w:rsid w:val="00730D8F"/>
    <w:rsid w:val="00735129"/>
    <w:rsid w:val="00745BAC"/>
    <w:rsid w:val="007547C5"/>
    <w:rsid w:val="0075537B"/>
    <w:rsid w:val="0076489E"/>
    <w:rsid w:val="007652BA"/>
    <w:rsid w:val="00790C1F"/>
    <w:rsid w:val="00791545"/>
    <w:rsid w:val="0079363C"/>
    <w:rsid w:val="007A5862"/>
    <w:rsid w:val="007C2B6F"/>
    <w:rsid w:val="007C78F2"/>
    <w:rsid w:val="007D358C"/>
    <w:rsid w:val="007D3984"/>
    <w:rsid w:val="007F0729"/>
    <w:rsid w:val="00805F77"/>
    <w:rsid w:val="00813C87"/>
    <w:rsid w:val="0082091E"/>
    <w:rsid w:val="008319F8"/>
    <w:rsid w:val="00833CBA"/>
    <w:rsid w:val="0083657E"/>
    <w:rsid w:val="00843F80"/>
    <w:rsid w:val="008465AE"/>
    <w:rsid w:val="00851586"/>
    <w:rsid w:val="0085321D"/>
    <w:rsid w:val="00863010"/>
    <w:rsid w:val="008634D4"/>
    <w:rsid w:val="00864C89"/>
    <w:rsid w:val="008719B0"/>
    <w:rsid w:val="008725B1"/>
    <w:rsid w:val="0087426F"/>
    <w:rsid w:val="00882841"/>
    <w:rsid w:val="0088348D"/>
    <w:rsid w:val="008B1CA5"/>
    <w:rsid w:val="008B438C"/>
    <w:rsid w:val="008D7F6E"/>
    <w:rsid w:val="008E7E63"/>
    <w:rsid w:val="008F2C58"/>
    <w:rsid w:val="008F530D"/>
    <w:rsid w:val="008F693D"/>
    <w:rsid w:val="008F7807"/>
    <w:rsid w:val="00905451"/>
    <w:rsid w:val="009060F9"/>
    <w:rsid w:val="00906FB7"/>
    <w:rsid w:val="00911690"/>
    <w:rsid w:val="00926174"/>
    <w:rsid w:val="00931B59"/>
    <w:rsid w:val="00932B5D"/>
    <w:rsid w:val="00933209"/>
    <w:rsid w:val="00937777"/>
    <w:rsid w:val="00940033"/>
    <w:rsid w:val="00951585"/>
    <w:rsid w:val="00954B2F"/>
    <w:rsid w:val="00972ECF"/>
    <w:rsid w:val="00976329"/>
    <w:rsid w:val="009830C0"/>
    <w:rsid w:val="0098492A"/>
    <w:rsid w:val="00985443"/>
    <w:rsid w:val="00996D1A"/>
    <w:rsid w:val="009A1443"/>
    <w:rsid w:val="009A59AF"/>
    <w:rsid w:val="009A7BEE"/>
    <w:rsid w:val="009B30E4"/>
    <w:rsid w:val="009B671E"/>
    <w:rsid w:val="009C0E21"/>
    <w:rsid w:val="009C155C"/>
    <w:rsid w:val="009D06FB"/>
    <w:rsid w:val="009E3045"/>
    <w:rsid w:val="009E4490"/>
    <w:rsid w:val="009E732B"/>
    <w:rsid w:val="009F6A91"/>
    <w:rsid w:val="00A0161B"/>
    <w:rsid w:val="00A0569E"/>
    <w:rsid w:val="00A20A77"/>
    <w:rsid w:val="00A23580"/>
    <w:rsid w:val="00A2502B"/>
    <w:rsid w:val="00A41B69"/>
    <w:rsid w:val="00A5205C"/>
    <w:rsid w:val="00A5558F"/>
    <w:rsid w:val="00A61C7E"/>
    <w:rsid w:val="00A7161B"/>
    <w:rsid w:val="00A718EA"/>
    <w:rsid w:val="00A74FDB"/>
    <w:rsid w:val="00A76291"/>
    <w:rsid w:val="00A83286"/>
    <w:rsid w:val="00A91826"/>
    <w:rsid w:val="00A93502"/>
    <w:rsid w:val="00AA098E"/>
    <w:rsid w:val="00AA336E"/>
    <w:rsid w:val="00AA7D59"/>
    <w:rsid w:val="00AB0CAA"/>
    <w:rsid w:val="00AB45E0"/>
    <w:rsid w:val="00AC1941"/>
    <w:rsid w:val="00AC4B44"/>
    <w:rsid w:val="00AC5535"/>
    <w:rsid w:val="00AD242F"/>
    <w:rsid w:val="00AD377B"/>
    <w:rsid w:val="00AD4D11"/>
    <w:rsid w:val="00AF0BF5"/>
    <w:rsid w:val="00AF7A24"/>
    <w:rsid w:val="00B1036F"/>
    <w:rsid w:val="00B14B4D"/>
    <w:rsid w:val="00B21C00"/>
    <w:rsid w:val="00B338EE"/>
    <w:rsid w:val="00B469BF"/>
    <w:rsid w:val="00B53735"/>
    <w:rsid w:val="00B550C2"/>
    <w:rsid w:val="00B60719"/>
    <w:rsid w:val="00B613D2"/>
    <w:rsid w:val="00B666CB"/>
    <w:rsid w:val="00B71004"/>
    <w:rsid w:val="00B77576"/>
    <w:rsid w:val="00B8529C"/>
    <w:rsid w:val="00B86E64"/>
    <w:rsid w:val="00B9511D"/>
    <w:rsid w:val="00BA27D3"/>
    <w:rsid w:val="00BA29F6"/>
    <w:rsid w:val="00BA4C5F"/>
    <w:rsid w:val="00BA7C27"/>
    <w:rsid w:val="00BB1307"/>
    <w:rsid w:val="00BB2A96"/>
    <w:rsid w:val="00BB2AAD"/>
    <w:rsid w:val="00BB3D21"/>
    <w:rsid w:val="00BC2B6E"/>
    <w:rsid w:val="00BC7803"/>
    <w:rsid w:val="00BD10F9"/>
    <w:rsid w:val="00BD7917"/>
    <w:rsid w:val="00BE5D7D"/>
    <w:rsid w:val="00BF07DA"/>
    <w:rsid w:val="00BF31E9"/>
    <w:rsid w:val="00BF403B"/>
    <w:rsid w:val="00BF76C5"/>
    <w:rsid w:val="00C127AE"/>
    <w:rsid w:val="00C14626"/>
    <w:rsid w:val="00C14A6C"/>
    <w:rsid w:val="00C263CF"/>
    <w:rsid w:val="00C3309B"/>
    <w:rsid w:val="00C5337C"/>
    <w:rsid w:val="00C61842"/>
    <w:rsid w:val="00C70D27"/>
    <w:rsid w:val="00C76E5F"/>
    <w:rsid w:val="00C836EB"/>
    <w:rsid w:val="00C83FFB"/>
    <w:rsid w:val="00C84FA2"/>
    <w:rsid w:val="00C86D65"/>
    <w:rsid w:val="00C937B6"/>
    <w:rsid w:val="00CA27E0"/>
    <w:rsid w:val="00CB2B0F"/>
    <w:rsid w:val="00CB371F"/>
    <w:rsid w:val="00CC02A0"/>
    <w:rsid w:val="00CC28C9"/>
    <w:rsid w:val="00CC5D2C"/>
    <w:rsid w:val="00CD3142"/>
    <w:rsid w:val="00CE0030"/>
    <w:rsid w:val="00CF109C"/>
    <w:rsid w:val="00D101F5"/>
    <w:rsid w:val="00D131A0"/>
    <w:rsid w:val="00D23A52"/>
    <w:rsid w:val="00D3313F"/>
    <w:rsid w:val="00D37C09"/>
    <w:rsid w:val="00D55D11"/>
    <w:rsid w:val="00D55EE3"/>
    <w:rsid w:val="00D6704C"/>
    <w:rsid w:val="00D72CF7"/>
    <w:rsid w:val="00D75B11"/>
    <w:rsid w:val="00D8088B"/>
    <w:rsid w:val="00D92BA3"/>
    <w:rsid w:val="00D942B4"/>
    <w:rsid w:val="00DA472E"/>
    <w:rsid w:val="00DB38AF"/>
    <w:rsid w:val="00DB7928"/>
    <w:rsid w:val="00DC3C82"/>
    <w:rsid w:val="00DC3FBE"/>
    <w:rsid w:val="00DC4624"/>
    <w:rsid w:val="00DC5AC6"/>
    <w:rsid w:val="00DD4461"/>
    <w:rsid w:val="00DD4998"/>
    <w:rsid w:val="00DE763C"/>
    <w:rsid w:val="00DF2FAC"/>
    <w:rsid w:val="00DF3302"/>
    <w:rsid w:val="00DF3888"/>
    <w:rsid w:val="00DF74F2"/>
    <w:rsid w:val="00E0115C"/>
    <w:rsid w:val="00E01461"/>
    <w:rsid w:val="00E12356"/>
    <w:rsid w:val="00E128D7"/>
    <w:rsid w:val="00E32E40"/>
    <w:rsid w:val="00E42640"/>
    <w:rsid w:val="00E4409D"/>
    <w:rsid w:val="00E45720"/>
    <w:rsid w:val="00E546E6"/>
    <w:rsid w:val="00E547C9"/>
    <w:rsid w:val="00E577CB"/>
    <w:rsid w:val="00E61C72"/>
    <w:rsid w:val="00E65DCC"/>
    <w:rsid w:val="00E71FF5"/>
    <w:rsid w:val="00E723BB"/>
    <w:rsid w:val="00E763C8"/>
    <w:rsid w:val="00E80552"/>
    <w:rsid w:val="00E805A7"/>
    <w:rsid w:val="00E812C0"/>
    <w:rsid w:val="00E87D2F"/>
    <w:rsid w:val="00E9001C"/>
    <w:rsid w:val="00E945E0"/>
    <w:rsid w:val="00E95A57"/>
    <w:rsid w:val="00E97198"/>
    <w:rsid w:val="00E97F02"/>
    <w:rsid w:val="00EA5EF0"/>
    <w:rsid w:val="00EB1CF0"/>
    <w:rsid w:val="00EC6211"/>
    <w:rsid w:val="00EC630B"/>
    <w:rsid w:val="00EC76B3"/>
    <w:rsid w:val="00ED16B5"/>
    <w:rsid w:val="00ED7102"/>
    <w:rsid w:val="00EE0E30"/>
    <w:rsid w:val="00EE13BA"/>
    <w:rsid w:val="00EE5454"/>
    <w:rsid w:val="00F02F1B"/>
    <w:rsid w:val="00F4695A"/>
    <w:rsid w:val="00F47DC4"/>
    <w:rsid w:val="00F513B0"/>
    <w:rsid w:val="00F57B47"/>
    <w:rsid w:val="00F6297A"/>
    <w:rsid w:val="00F71CB7"/>
    <w:rsid w:val="00F75850"/>
    <w:rsid w:val="00F81332"/>
    <w:rsid w:val="00F85723"/>
    <w:rsid w:val="00F85B9E"/>
    <w:rsid w:val="00FB113B"/>
    <w:rsid w:val="00FB15C0"/>
    <w:rsid w:val="00FB39EE"/>
    <w:rsid w:val="00FB47D9"/>
    <w:rsid w:val="00FC0BB3"/>
    <w:rsid w:val="00FC77C1"/>
    <w:rsid w:val="00FD0151"/>
    <w:rsid w:val="00FD5B84"/>
    <w:rsid w:val="00FD7444"/>
    <w:rsid w:val="00FE0566"/>
    <w:rsid w:val="00FE13C1"/>
    <w:rsid w:val="00FE4392"/>
    <w:rsid w:val="00FF61EF"/>
    <w:rsid w:val="00FF7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1BDE6F8-577B-4AEE-8D36-8108EC4AE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211136">
      <w:bodyDiv w:val="1"/>
      <w:marLeft w:val="0"/>
      <w:marRight w:val="0"/>
      <w:marTop w:val="0"/>
      <w:marBottom w:val="0"/>
      <w:divBdr>
        <w:top w:val="none" w:sz="0" w:space="0" w:color="auto"/>
        <w:left w:val="none" w:sz="0" w:space="0" w:color="auto"/>
        <w:bottom w:val="none" w:sz="0" w:space="0" w:color="auto"/>
        <w:right w:val="none" w:sz="0" w:space="0" w:color="auto"/>
      </w:divBdr>
    </w:div>
    <w:div w:id="1264806048">
      <w:bodyDiv w:val="1"/>
      <w:marLeft w:val="0"/>
      <w:marRight w:val="0"/>
      <w:marTop w:val="0"/>
      <w:marBottom w:val="0"/>
      <w:divBdr>
        <w:top w:val="none" w:sz="0" w:space="0" w:color="auto"/>
        <w:left w:val="none" w:sz="0" w:space="0" w:color="auto"/>
        <w:bottom w:val="none" w:sz="0" w:space="0" w:color="auto"/>
        <w:right w:val="none" w:sz="0" w:space="0" w:color="auto"/>
      </w:divBdr>
      <w:divsChild>
        <w:div w:id="595869822">
          <w:marLeft w:val="547"/>
          <w:marRight w:val="0"/>
          <w:marTop w:val="96"/>
          <w:marBottom w:val="0"/>
          <w:divBdr>
            <w:top w:val="none" w:sz="0" w:space="0" w:color="auto"/>
            <w:left w:val="none" w:sz="0" w:space="0" w:color="auto"/>
            <w:bottom w:val="none" w:sz="0" w:space="0" w:color="auto"/>
            <w:right w:val="none" w:sz="0" w:space="0" w:color="auto"/>
          </w:divBdr>
        </w:div>
      </w:divsChild>
    </w:div>
    <w:div w:id="2030637949">
      <w:bodyDiv w:val="1"/>
      <w:marLeft w:val="0"/>
      <w:marRight w:val="0"/>
      <w:marTop w:val="0"/>
      <w:marBottom w:val="0"/>
      <w:divBdr>
        <w:top w:val="none" w:sz="0" w:space="0" w:color="auto"/>
        <w:left w:val="none" w:sz="0" w:space="0" w:color="auto"/>
        <w:bottom w:val="none" w:sz="0" w:space="0" w:color="auto"/>
        <w:right w:val="none" w:sz="0" w:space="0" w:color="auto"/>
      </w:divBdr>
      <w:divsChild>
        <w:div w:id="227569924">
          <w:marLeft w:val="547"/>
          <w:marRight w:val="0"/>
          <w:marTop w:val="120"/>
          <w:marBottom w:val="0"/>
          <w:divBdr>
            <w:top w:val="none" w:sz="0" w:space="0" w:color="auto"/>
            <w:left w:val="none" w:sz="0" w:space="0" w:color="auto"/>
            <w:bottom w:val="none" w:sz="0" w:space="0" w:color="auto"/>
            <w:right w:val="none" w:sz="0" w:space="0" w:color="auto"/>
          </w:divBdr>
        </w:div>
        <w:div w:id="1555779180">
          <w:marLeft w:val="547"/>
          <w:marRight w:val="0"/>
          <w:marTop w:val="120"/>
          <w:marBottom w:val="0"/>
          <w:divBdr>
            <w:top w:val="none" w:sz="0" w:space="0" w:color="auto"/>
            <w:left w:val="none" w:sz="0" w:space="0" w:color="auto"/>
            <w:bottom w:val="none" w:sz="0" w:space="0" w:color="auto"/>
            <w:right w:val="none" w:sz="0" w:space="0" w:color="auto"/>
          </w:divBdr>
        </w:div>
        <w:div w:id="1660576817">
          <w:marLeft w:val="547"/>
          <w:marRight w:val="0"/>
          <w:marTop w:val="120"/>
          <w:marBottom w:val="0"/>
          <w:divBdr>
            <w:top w:val="none" w:sz="0" w:space="0" w:color="auto"/>
            <w:left w:val="none" w:sz="0" w:space="0" w:color="auto"/>
            <w:bottom w:val="none" w:sz="0" w:space="0" w:color="auto"/>
            <w:right w:val="none" w:sz="0" w:space="0" w:color="auto"/>
          </w:divBdr>
        </w:div>
        <w:div w:id="1788158424">
          <w:marLeft w:val="547"/>
          <w:marRight w:val="0"/>
          <w:marTop w:val="120"/>
          <w:marBottom w:val="0"/>
          <w:divBdr>
            <w:top w:val="none" w:sz="0" w:space="0" w:color="auto"/>
            <w:left w:val="none" w:sz="0" w:space="0" w:color="auto"/>
            <w:bottom w:val="none" w:sz="0" w:space="0" w:color="auto"/>
            <w:right w:val="none" w:sz="0" w:space="0" w:color="auto"/>
          </w:divBdr>
        </w:div>
        <w:div w:id="1740979211">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using.org.uk/resource-library/browse/commitment-to-refer-guidance-for-housing-association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earchbriefings.files.parliament.uk/documents/CBP-7173/CBP-7173.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welfareconditionality.ac.uk/wp-content/uploads/2016/03/SocialtenantsWelCond.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homelessness-help-from-counci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D0D56-231B-4BA1-A955-C3C98F42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1438</Words>
  <Characters>8202</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Dellaway, Sian - FSC OPPD</dc:creator>
  <cp:lastModifiedBy>Rebecca Smith</cp:lastModifiedBy>
  <cp:revision>2</cp:revision>
  <dcterms:created xsi:type="dcterms:W3CDTF">2018-10-17T13:19:00Z</dcterms:created>
  <dcterms:modified xsi:type="dcterms:W3CDTF">2018-10-17T13:19:00Z</dcterms:modified>
</cp:coreProperties>
</file>