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382839" w:rsidP="00933209">
      <w:pPr>
        <w:tabs>
          <w:tab w:val="left" w:pos="3533"/>
          <w:tab w:val="center" w:pos="6979"/>
        </w:tabs>
        <w:rPr>
          <w:b/>
          <w:sz w:val="28"/>
          <w:szCs w:val="28"/>
          <w:u w:val="double" w:color="0070C0"/>
        </w:rPr>
      </w:pPr>
      <w:r>
        <w:rPr>
          <w:b/>
          <w:sz w:val="28"/>
          <w:szCs w:val="28"/>
          <w:highlight w:val="yellow"/>
          <w:u w:val="double" w:color="0070C0"/>
        </w:rPr>
        <w:t xml:space="preserve">KHG </w:t>
      </w:r>
      <w:r w:rsidR="00C15D03">
        <w:rPr>
          <w:b/>
          <w:sz w:val="28"/>
          <w:szCs w:val="28"/>
          <w:highlight w:val="yellow"/>
          <w:u w:val="double" w:color="0070C0"/>
        </w:rPr>
        <w:t xml:space="preserve">Executive Board </w:t>
      </w:r>
      <w:r w:rsidR="00957B5B" w:rsidRPr="00957B5B">
        <w:rPr>
          <w:b/>
          <w:sz w:val="28"/>
          <w:szCs w:val="28"/>
          <w:highlight w:val="yellow"/>
          <w:u w:val="double" w:color="0070C0"/>
        </w:rPr>
        <w:t>Meeting</w:t>
      </w:r>
      <w:r>
        <w:rPr>
          <w:b/>
          <w:sz w:val="28"/>
          <w:szCs w:val="28"/>
          <w:u w:val="double" w:color="0070C0"/>
        </w:rPr>
        <w:t xml:space="preserve"> –</w:t>
      </w:r>
      <w:r w:rsidR="00634F85">
        <w:rPr>
          <w:b/>
          <w:sz w:val="28"/>
          <w:szCs w:val="28"/>
          <w:u w:val="double" w:color="0070C0"/>
        </w:rPr>
        <w:t xml:space="preserve"> 3</w:t>
      </w:r>
      <w:r w:rsidR="00634F85" w:rsidRPr="00634F85">
        <w:rPr>
          <w:b/>
          <w:sz w:val="28"/>
          <w:szCs w:val="28"/>
          <w:u w:val="double" w:color="0070C0"/>
          <w:vertAlign w:val="superscript"/>
        </w:rPr>
        <w:t>rd</w:t>
      </w:r>
      <w:r w:rsidR="00634F85">
        <w:rPr>
          <w:b/>
          <w:sz w:val="28"/>
          <w:szCs w:val="28"/>
          <w:u w:val="double" w:color="0070C0"/>
        </w:rPr>
        <w:t xml:space="preserve"> October </w:t>
      </w:r>
      <w:r>
        <w:rPr>
          <w:b/>
          <w:sz w:val="28"/>
          <w:szCs w:val="28"/>
          <w:u w:val="double" w:color="0070C0"/>
        </w:rPr>
        <w:t>2018</w:t>
      </w:r>
      <w:r w:rsidR="004D48DD">
        <w:rPr>
          <w:b/>
          <w:sz w:val="28"/>
          <w:szCs w:val="28"/>
          <w:u w:val="double" w:color="0070C0"/>
        </w:rPr>
        <w:t>, KCC Sessions House, Maidstone, Kent</w:t>
      </w:r>
    </w:p>
    <w:tbl>
      <w:tblPr>
        <w:tblStyle w:val="TableGrid"/>
        <w:tblW w:w="15906" w:type="dxa"/>
        <w:tblInd w:w="-743" w:type="dxa"/>
        <w:tblLayout w:type="fixed"/>
        <w:tblLook w:val="04A0" w:firstRow="1" w:lastRow="0" w:firstColumn="1" w:lastColumn="0" w:noHBand="0" w:noVBand="1"/>
      </w:tblPr>
      <w:tblGrid>
        <w:gridCol w:w="880"/>
        <w:gridCol w:w="567"/>
        <w:gridCol w:w="9356"/>
        <w:gridCol w:w="3543"/>
        <w:gridCol w:w="709"/>
        <w:gridCol w:w="851"/>
      </w:tblGrid>
      <w:tr w:rsidR="008319F8" w:rsidRPr="00745BAC" w:rsidTr="00F2546C">
        <w:tc>
          <w:tcPr>
            <w:tcW w:w="15906"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15797E">
              <w:rPr>
                <w:rFonts w:cstheme="minorHAnsi"/>
                <w:color w:val="FFFFFF" w:themeColor="background1"/>
              </w:rPr>
              <w:t>Sarah Robson, Chair &amp; FHDC; Brian Horton, SELEP; Andrew Scott Clark, Kent PH; Eileen Martin, Events &amp; Optivo; Deborah White, WKHA; Sasha Harrison, SHG;</w:t>
            </w:r>
            <w:r w:rsidR="0015797E" w:rsidRPr="00D5721B">
              <w:rPr>
                <w:rFonts w:cstheme="minorHAnsi"/>
                <w:color w:val="FFFFFF" w:themeColor="background1"/>
              </w:rPr>
              <w:t xml:space="preserve"> Emma Wiggins, Swale BC;</w:t>
            </w:r>
            <w:r w:rsidR="00D5721B">
              <w:rPr>
                <w:rFonts w:cstheme="minorHAnsi"/>
                <w:color w:val="FFFFFF" w:themeColor="background1"/>
              </w:rPr>
              <w:t xml:space="preserve"> Debra Exall, Jo Empson and Mel Anthony, KCC; Suzanne Smith, MHS Homes; Nick Fenton, KDG; Jane Lang, Kent Homechoice</w:t>
            </w:r>
            <w:r w:rsidR="000C09FD">
              <w:rPr>
                <w:rFonts w:cstheme="minorHAnsi"/>
                <w:color w:val="FFFFFF" w:themeColor="background1"/>
              </w:rPr>
              <w:t xml:space="preserve"> &amp; TWBC</w:t>
            </w:r>
            <w:r w:rsidR="00D5721B">
              <w:rPr>
                <w:rFonts w:cstheme="minorHAnsi"/>
                <w:color w:val="FFFFFF" w:themeColor="background1"/>
              </w:rPr>
              <w:t xml:space="preserve">; </w:t>
            </w:r>
          </w:p>
          <w:p w:rsidR="00745BAC" w:rsidRDefault="00745BAC" w:rsidP="00745BAC">
            <w:pPr>
              <w:jc w:val="center"/>
              <w:rPr>
                <w:color w:val="FFFFFF" w:themeColor="background1"/>
              </w:rPr>
            </w:pPr>
          </w:p>
          <w:p w:rsidR="00957B5B" w:rsidRDefault="00745BAC" w:rsidP="00634F85">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w:t>
            </w:r>
            <w:r w:rsidR="00F84C0D">
              <w:rPr>
                <w:rFonts w:cstheme="minorHAnsi"/>
                <w:color w:val="FFFFFF" w:themeColor="background1"/>
              </w:rPr>
              <w:t xml:space="preserve"> </w:t>
            </w:r>
            <w:r w:rsidR="00382839">
              <w:rPr>
                <w:rFonts w:cstheme="minorHAnsi"/>
                <w:color w:val="FFFFFF" w:themeColor="background1"/>
              </w:rPr>
              <w:t xml:space="preserve"> </w:t>
            </w:r>
            <w:r w:rsidR="009A6D5F">
              <w:rPr>
                <w:rFonts w:cstheme="minorHAnsi"/>
                <w:color w:val="FFFFFF" w:themeColor="background1"/>
              </w:rPr>
              <w:t>Sharon Williams, Ashford BC &amp; KHG Treasurer</w:t>
            </w:r>
            <w:r w:rsidR="005B37E2">
              <w:rPr>
                <w:rFonts w:cstheme="minorHAnsi"/>
                <w:color w:val="FFFFFF" w:themeColor="background1"/>
              </w:rPr>
              <w:t xml:space="preserve">; Mark Breathwick, Medway Council; </w:t>
            </w:r>
            <w:r w:rsidR="00D5721B">
              <w:rPr>
                <w:rFonts w:cstheme="minorHAnsi"/>
                <w:color w:val="FFFFFF" w:themeColor="background1"/>
              </w:rPr>
              <w:t xml:space="preserve">Jo Ellis, </w:t>
            </w:r>
            <w:r w:rsidR="006C0B0E">
              <w:rPr>
                <w:rFonts w:cstheme="minorHAnsi"/>
                <w:color w:val="FFFFFF" w:themeColor="background1"/>
              </w:rPr>
              <w:t xml:space="preserve">Vice Chair &amp; </w:t>
            </w:r>
            <w:r w:rsidR="00D5721B">
              <w:rPr>
                <w:rFonts w:cstheme="minorHAnsi"/>
                <w:color w:val="FFFFFF" w:themeColor="background1"/>
              </w:rPr>
              <w:t>TCHG</w:t>
            </w:r>
          </w:p>
          <w:p w:rsidR="0015797E" w:rsidRDefault="0015797E" w:rsidP="00634F85">
            <w:pPr>
              <w:rPr>
                <w:rFonts w:cstheme="minorHAnsi"/>
                <w:color w:val="FFFFFF" w:themeColor="background1"/>
              </w:rPr>
            </w:pPr>
          </w:p>
          <w:p w:rsidR="0015797E" w:rsidRPr="00745BAC" w:rsidRDefault="0015797E" w:rsidP="00D5721B">
            <w:pPr>
              <w:rPr>
                <w:rFonts w:cstheme="minorHAnsi"/>
                <w:color w:val="FFFFFF" w:themeColor="background1"/>
              </w:rPr>
            </w:pPr>
            <w:r w:rsidRPr="0015797E">
              <w:rPr>
                <w:rFonts w:cstheme="minorHAnsi"/>
                <w:b/>
                <w:color w:val="FFFFFF" w:themeColor="background1"/>
              </w:rPr>
              <w:t>Visitors</w:t>
            </w:r>
            <w:r>
              <w:rPr>
                <w:rFonts w:cstheme="minorHAnsi"/>
                <w:color w:val="FFFFFF" w:themeColor="background1"/>
              </w:rPr>
              <w:t>: Lisa Guthrie, KCC; Matt Deadman, KF&amp;RS</w:t>
            </w:r>
          </w:p>
        </w:tc>
      </w:tr>
      <w:tr w:rsidR="00933209" w:rsidRPr="00745BAC" w:rsidTr="00F2546C">
        <w:tc>
          <w:tcPr>
            <w:tcW w:w="880" w:type="dxa"/>
            <w:shd w:val="clear" w:color="auto" w:fill="DBE5F1" w:themeFill="accent1" w:themeFillTint="33"/>
          </w:tcPr>
          <w:p w:rsidR="00933209" w:rsidRPr="00745BAC" w:rsidRDefault="00700FF2" w:rsidP="002B184E">
            <w:pPr>
              <w:jc w:val="center"/>
              <w:rPr>
                <w:b/>
              </w:rPr>
            </w:pPr>
            <w:r>
              <w:rPr>
                <w:b/>
              </w:rPr>
              <w:t>15/11/11</w:t>
            </w:r>
          </w:p>
        </w:tc>
        <w:tc>
          <w:tcPr>
            <w:tcW w:w="567" w:type="dxa"/>
            <w:shd w:val="clear" w:color="auto" w:fill="DBE5F1" w:themeFill="accent1" w:themeFillTint="33"/>
          </w:tcPr>
          <w:p w:rsidR="00933209" w:rsidRPr="00745BAC" w:rsidRDefault="007453CE" w:rsidP="005B37E2">
            <w:pPr>
              <w:jc w:val="center"/>
              <w:rPr>
                <w:b/>
              </w:rPr>
            </w:pPr>
            <w:r>
              <w:rPr>
                <w:b/>
              </w:rPr>
              <w:t>Ref</w:t>
            </w:r>
          </w:p>
        </w:tc>
        <w:tc>
          <w:tcPr>
            <w:tcW w:w="9356" w:type="dxa"/>
            <w:shd w:val="clear" w:color="auto" w:fill="DBE5F1" w:themeFill="accent1" w:themeFillTint="33"/>
          </w:tcPr>
          <w:p w:rsidR="00933209" w:rsidRPr="00745BAC" w:rsidRDefault="00933209" w:rsidP="002B184E">
            <w:pPr>
              <w:jc w:val="center"/>
              <w:rPr>
                <w:b/>
              </w:rPr>
            </w:pPr>
            <w:r>
              <w:rPr>
                <w:b/>
              </w:rPr>
              <w:t>Notes</w:t>
            </w:r>
          </w:p>
        </w:tc>
        <w:tc>
          <w:tcPr>
            <w:tcW w:w="3543" w:type="dxa"/>
            <w:shd w:val="clear" w:color="auto" w:fill="DBE5F1" w:themeFill="accent1" w:themeFillTint="33"/>
          </w:tcPr>
          <w:p w:rsidR="00933209" w:rsidRPr="00745BAC" w:rsidRDefault="00933209" w:rsidP="005B37E2">
            <w:pPr>
              <w:jc w:val="center"/>
              <w:rPr>
                <w:b/>
              </w:rPr>
            </w:pPr>
            <w:r w:rsidRPr="00745BAC">
              <w:rPr>
                <w:b/>
              </w:rPr>
              <w:t>Action/Decision</w:t>
            </w:r>
          </w:p>
        </w:tc>
        <w:tc>
          <w:tcPr>
            <w:tcW w:w="709" w:type="dxa"/>
            <w:shd w:val="clear" w:color="auto" w:fill="DBE5F1" w:themeFill="accent1" w:themeFillTint="33"/>
          </w:tcPr>
          <w:p w:rsidR="00933209" w:rsidRPr="00745BAC" w:rsidRDefault="000D7DC9" w:rsidP="005B37E2">
            <w:pPr>
              <w:jc w:val="center"/>
              <w:rPr>
                <w:b/>
              </w:rPr>
            </w:pPr>
            <w:r>
              <w:rPr>
                <w:b/>
              </w:rPr>
              <w:t>Who</w:t>
            </w:r>
          </w:p>
        </w:tc>
        <w:tc>
          <w:tcPr>
            <w:tcW w:w="851" w:type="dxa"/>
            <w:shd w:val="clear" w:color="auto" w:fill="DBE5F1" w:themeFill="accent1" w:themeFillTint="33"/>
          </w:tcPr>
          <w:p w:rsidR="00933209" w:rsidRPr="00745BAC" w:rsidRDefault="000D7DC9" w:rsidP="000D7DC9">
            <w:pPr>
              <w:rPr>
                <w:b/>
              </w:rPr>
            </w:pPr>
            <w:r>
              <w:rPr>
                <w:b/>
              </w:rPr>
              <w:t>When</w:t>
            </w:r>
          </w:p>
        </w:tc>
      </w:tr>
      <w:tr w:rsidR="00F84C0D" w:rsidRPr="004048B3" w:rsidTr="00F2546C">
        <w:tc>
          <w:tcPr>
            <w:tcW w:w="1447" w:type="dxa"/>
            <w:gridSpan w:val="2"/>
          </w:tcPr>
          <w:p w:rsidR="00F84C0D" w:rsidRPr="00F84C0D" w:rsidRDefault="000C09FD" w:rsidP="00F84C0D">
            <w:pPr>
              <w:rPr>
                <w:b/>
              </w:rPr>
            </w:pPr>
            <w:r>
              <w:rPr>
                <w:b/>
              </w:rPr>
              <w:t>Minutes</w:t>
            </w:r>
            <w:r w:rsidR="00C15D03">
              <w:rPr>
                <w:b/>
              </w:rPr>
              <w:t xml:space="preserve"> &amp; Matters Arising</w:t>
            </w:r>
          </w:p>
        </w:tc>
        <w:tc>
          <w:tcPr>
            <w:tcW w:w="9356" w:type="dxa"/>
            <w:shd w:val="clear" w:color="auto" w:fill="auto"/>
          </w:tcPr>
          <w:p w:rsidR="00EC3E5A" w:rsidRDefault="000C09FD" w:rsidP="00862957">
            <w:pPr>
              <w:jc w:val="both"/>
            </w:pPr>
            <w:r>
              <w:t xml:space="preserve">Minutes agreed as accurate.  RS updated that that Kent Building Control Group have all provided individual local authority responses into the national building control group who are responding to the </w:t>
            </w:r>
          </w:p>
          <w:p w:rsidR="000C09FD" w:rsidRPr="00745BAC" w:rsidRDefault="000C09FD" w:rsidP="00862957">
            <w:pPr>
              <w:jc w:val="both"/>
            </w:pPr>
          </w:p>
        </w:tc>
        <w:tc>
          <w:tcPr>
            <w:tcW w:w="3543" w:type="dxa"/>
            <w:shd w:val="clear" w:color="auto" w:fill="auto"/>
          </w:tcPr>
          <w:p w:rsidR="00EC3E5A" w:rsidRPr="004048B3" w:rsidRDefault="00EC3E5A" w:rsidP="00EC3E5A">
            <w:pPr>
              <w:rPr>
                <w:b/>
              </w:rPr>
            </w:pPr>
          </w:p>
        </w:tc>
        <w:tc>
          <w:tcPr>
            <w:tcW w:w="709" w:type="dxa"/>
            <w:shd w:val="clear" w:color="auto" w:fill="auto"/>
          </w:tcPr>
          <w:p w:rsidR="00EC3E5A" w:rsidRPr="004048B3" w:rsidRDefault="00EC3E5A" w:rsidP="00D131A0">
            <w:pPr>
              <w:jc w:val="both"/>
              <w:rPr>
                <w:b/>
              </w:rPr>
            </w:pPr>
          </w:p>
        </w:tc>
        <w:tc>
          <w:tcPr>
            <w:tcW w:w="851" w:type="dxa"/>
            <w:shd w:val="clear" w:color="auto" w:fill="auto"/>
          </w:tcPr>
          <w:p w:rsidR="00EC3E5A" w:rsidRPr="004048B3" w:rsidRDefault="00EC3E5A" w:rsidP="00D131A0">
            <w:pPr>
              <w:jc w:val="both"/>
              <w:rPr>
                <w:b/>
                <w:color w:val="FF0000"/>
              </w:rPr>
            </w:pPr>
          </w:p>
        </w:tc>
      </w:tr>
      <w:tr w:rsidR="00C15D03" w:rsidRPr="004048B3" w:rsidTr="00F2546C">
        <w:tc>
          <w:tcPr>
            <w:tcW w:w="1447" w:type="dxa"/>
            <w:gridSpan w:val="2"/>
          </w:tcPr>
          <w:p w:rsidR="00C15D03" w:rsidRDefault="00634F85" w:rsidP="00F84C0D">
            <w:pPr>
              <w:rPr>
                <w:b/>
              </w:rPr>
            </w:pPr>
            <w:r>
              <w:rPr>
                <w:b/>
              </w:rPr>
              <w:t>Learning from Grenfell</w:t>
            </w:r>
          </w:p>
        </w:tc>
        <w:tc>
          <w:tcPr>
            <w:tcW w:w="9356" w:type="dxa"/>
            <w:shd w:val="clear" w:color="auto" w:fill="auto"/>
          </w:tcPr>
          <w:p w:rsidR="000C09FD" w:rsidRDefault="000C09FD" w:rsidP="000C09FD">
            <w:pPr>
              <w:jc w:val="both"/>
            </w:pPr>
            <w:r>
              <w:t>LG is the KCC Manager for Kent Resilience team, Police Fire and local authority, KCC.  LG looks at broader national risk assessment and make it a local Kent risk assessment.    The risk is changing all the time, consider planning for these risks, do they meet risks, resources and responses.</w:t>
            </w:r>
          </w:p>
          <w:p w:rsidR="000C09FD" w:rsidRDefault="000C09FD" w:rsidP="000C09FD">
            <w:pPr>
              <w:jc w:val="both"/>
            </w:pPr>
          </w:p>
          <w:p w:rsidR="000D7DC9" w:rsidRDefault="000C09FD" w:rsidP="000C09FD">
            <w:pPr>
              <w:jc w:val="both"/>
            </w:pPr>
            <w:r>
              <w:t>MD is Managing Operational Department and working with Kent Resilience Team.  Role focuses on operational fire safety.  KF&amp;RS staff trained to respond to incidents, big drive currently around customer service, have access to other voluntary sector organisations to help with displacement from the home following a fire.  Response to recovery, what are the persons long term housing needs is the challenging area for KF&amp;RS, difficulties faced is availability of personnel to attend the scene, consistency of response when out of hours.  KF&amp;RS may not have a clear idea about what is appropriate housing for those who are victim of a fire, this is being addressed internally and will need to work with housing colleagues on this moving forward.</w:t>
            </w:r>
            <w:r w:rsidR="000D7DC9">
              <w:t xml:space="preserve">  Enforcement of properties is also a challenge for KF&amp;RS and identified that action taken by KF&amp;RS is well planned and informed, not having a negative impact on housing providers.  </w:t>
            </w:r>
          </w:p>
          <w:p w:rsidR="000C09FD" w:rsidRDefault="000C09FD" w:rsidP="000C09FD">
            <w:pPr>
              <w:jc w:val="both"/>
            </w:pPr>
          </w:p>
          <w:p w:rsidR="000C09FD" w:rsidRDefault="000D7DC9" w:rsidP="000C09FD">
            <w:pPr>
              <w:jc w:val="both"/>
            </w:pPr>
            <w:r>
              <w:t xml:space="preserve">Human behaviour as a result of Grenfell, with some advice from the Fire Service, for example to Stay Put being ignored with full evacuation and how to work with residents of high rise accommodation, this is a challenge for the Fire Service.  Following Grenfell KF&amp;RS conducted joint visits of all the high rise residential units across the County, emphasis to maintain the momentum of this partnership work and prevention work.    A single point of contact for housing for KF&amp;RS would be an ideal situation/useful.  </w:t>
            </w:r>
          </w:p>
          <w:p w:rsidR="00056E50" w:rsidRDefault="00056E50" w:rsidP="000C09FD">
            <w:pPr>
              <w:jc w:val="both"/>
            </w:pPr>
          </w:p>
          <w:p w:rsidR="000D7DC9" w:rsidRDefault="00510955" w:rsidP="000C09FD">
            <w:pPr>
              <w:jc w:val="both"/>
            </w:pPr>
            <w:r>
              <w:lastRenderedPageBreak/>
              <w:t xml:space="preserve">Discussion about the systems in place for contacting the relevant organisation in the event of an incident, how to manage families </w:t>
            </w:r>
            <w:r w:rsidR="007453CE">
              <w:t xml:space="preserve">who require accommodation in the immediate term.  Is there a need to look at a county approach to a major incident and reduce the impact upon a single area of the County who may not have capacity to deal with it alone?  </w:t>
            </w:r>
            <w:r w:rsidR="00823D16">
              <w:t xml:space="preserve">Suggestion about keeping/developing a register of Bed and Breakfast/temporary accommodation in each district, this may be accommodation that isn’t used by local authorities for homeless families.  </w:t>
            </w:r>
          </w:p>
          <w:p w:rsidR="00056E50" w:rsidRDefault="00056E50" w:rsidP="000C09FD">
            <w:pPr>
              <w:jc w:val="both"/>
            </w:pPr>
          </w:p>
          <w:p w:rsidR="00056E50" w:rsidRDefault="00056E50" w:rsidP="00056E50">
            <w:pPr>
              <w:jc w:val="both"/>
            </w:pPr>
            <w:r>
              <w:t xml:space="preserve">LG can share the outcomes from the Vulcan Exercise, this has been shared with Kent Chief Executives already.  LG shared a paper, which included the 10 lessons learnt from Grenfell.  </w:t>
            </w:r>
            <w:r w:rsidR="008D5210">
              <w:t>Colleagues to identify</w:t>
            </w:r>
            <w:r w:rsidR="000A0F9B">
              <w:t xml:space="preserve"> staff who could make use of KRF</w:t>
            </w:r>
            <w:r w:rsidR="008D5210">
              <w:t xml:space="preserve"> Rest Centre Training.  Contact LG for details about future training dates.  </w:t>
            </w:r>
            <w:hyperlink r:id="rId7" w:history="1">
              <w:r w:rsidR="008D5210" w:rsidRPr="00F06938">
                <w:rPr>
                  <w:rStyle w:val="Hyperlink"/>
                </w:rPr>
                <w:t>Lisa.guthrie@kent.gov.uk</w:t>
              </w:r>
            </w:hyperlink>
            <w:r w:rsidR="00741436">
              <w:t xml:space="preserve"> / 07920 526535</w:t>
            </w:r>
            <w:r w:rsidR="000A0F9B">
              <w:t xml:space="preserve"> or see paper shared via LG at the meeting.</w:t>
            </w:r>
          </w:p>
          <w:p w:rsidR="00627C17" w:rsidRDefault="00627C17" w:rsidP="00056E50">
            <w:pPr>
              <w:jc w:val="both"/>
            </w:pPr>
          </w:p>
          <w:p w:rsidR="00627C17" w:rsidRDefault="00627C17" w:rsidP="00056E50">
            <w:pPr>
              <w:jc w:val="both"/>
            </w:pPr>
            <w:r>
              <w:t>MD advised that he will share details of his Technical Officer colleague to do some work around use of communal areas and campaigning for residents about this issue and contents insurance, some proactive communication/marketing work.</w:t>
            </w:r>
          </w:p>
          <w:p w:rsidR="008D5210" w:rsidRPr="00745BAC" w:rsidRDefault="008D5210" w:rsidP="00056E50">
            <w:pPr>
              <w:jc w:val="both"/>
            </w:pPr>
          </w:p>
        </w:tc>
        <w:tc>
          <w:tcPr>
            <w:tcW w:w="3543" w:type="dxa"/>
            <w:shd w:val="clear" w:color="auto" w:fill="auto"/>
          </w:tcPr>
          <w:p w:rsidR="00A242DE" w:rsidRDefault="00056E50" w:rsidP="003636E7">
            <w:pPr>
              <w:rPr>
                <w:b/>
              </w:rPr>
            </w:pPr>
            <w:r>
              <w:rPr>
                <w:b/>
              </w:rPr>
              <w:lastRenderedPageBreak/>
              <w:t>It was agreed to raise this issue with the Kent Chief Executives with a view to get a mandate for them to task at piece of work around this issue.</w:t>
            </w:r>
            <w:r w:rsidR="00AD5B06">
              <w:rPr>
                <w:b/>
              </w:rPr>
              <w:t xml:space="preserve">  Feedback the outcome of the Vulcan Exercise.</w:t>
            </w:r>
          </w:p>
          <w:p w:rsidR="00056E50" w:rsidRDefault="00056E50" w:rsidP="003636E7">
            <w:pPr>
              <w:rPr>
                <w:b/>
              </w:rPr>
            </w:pPr>
          </w:p>
          <w:p w:rsidR="00741436" w:rsidRDefault="00741436" w:rsidP="003636E7">
            <w:pPr>
              <w:rPr>
                <w:b/>
              </w:rPr>
            </w:pPr>
            <w:r>
              <w:rPr>
                <w:b/>
              </w:rPr>
              <w:t>RS to share dates with KF&amp;RS/Kent Resilience about KMHS workshops</w:t>
            </w: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056E50" w:rsidRDefault="00056E50" w:rsidP="003636E7">
            <w:pPr>
              <w:rPr>
                <w:b/>
              </w:rPr>
            </w:pPr>
          </w:p>
          <w:p w:rsidR="008D5210" w:rsidRDefault="00056E50" w:rsidP="003636E7">
            <w:pPr>
              <w:rPr>
                <w:b/>
              </w:rPr>
            </w:pPr>
            <w:r>
              <w:rPr>
                <w:b/>
              </w:rPr>
              <w:t xml:space="preserve">RS to share the paper electronically </w:t>
            </w:r>
          </w:p>
          <w:p w:rsidR="00056E50" w:rsidRDefault="00AD5B06" w:rsidP="008D5210">
            <w:pPr>
              <w:rPr>
                <w:b/>
              </w:rPr>
            </w:pPr>
            <w:r>
              <w:rPr>
                <w:b/>
              </w:rPr>
              <w:t xml:space="preserve">RS to share Mark </w:t>
            </w:r>
            <w:proofErr w:type="spellStart"/>
            <w:r w:rsidRPr="00457DCE">
              <w:rPr>
                <w:b/>
              </w:rPr>
              <w:t>Woodwood</w:t>
            </w:r>
            <w:proofErr w:type="spellEnd"/>
            <w:r>
              <w:rPr>
                <w:b/>
              </w:rPr>
              <w:t xml:space="preserve"> contact details with BH and NF</w:t>
            </w:r>
          </w:p>
          <w:p w:rsidR="00AD5B06" w:rsidRDefault="00AD5B06" w:rsidP="008D5210">
            <w:pPr>
              <w:rPr>
                <w:b/>
              </w:rPr>
            </w:pPr>
          </w:p>
          <w:p w:rsidR="00AD5B06" w:rsidRPr="004048B3" w:rsidRDefault="00AD5B06" w:rsidP="008D5210">
            <w:pPr>
              <w:rPr>
                <w:b/>
              </w:rPr>
            </w:pPr>
          </w:p>
        </w:tc>
        <w:tc>
          <w:tcPr>
            <w:tcW w:w="709" w:type="dxa"/>
            <w:shd w:val="clear" w:color="auto" w:fill="auto"/>
          </w:tcPr>
          <w:p w:rsidR="00056E50" w:rsidRDefault="00056E50" w:rsidP="00D131A0">
            <w:pPr>
              <w:jc w:val="both"/>
              <w:rPr>
                <w:b/>
              </w:rPr>
            </w:pPr>
            <w:r>
              <w:rPr>
                <w:b/>
              </w:rPr>
              <w:lastRenderedPageBreak/>
              <w:t>RS/</w:t>
            </w:r>
          </w:p>
          <w:p w:rsidR="00EB3174" w:rsidRDefault="00056E50" w:rsidP="00D131A0">
            <w:pPr>
              <w:jc w:val="both"/>
              <w:rPr>
                <w:b/>
              </w:rPr>
            </w:pPr>
            <w:r>
              <w:rPr>
                <w:b/>
              </w:rPr>
              <w:t>DE</w:t>
            </w:r>
          </w:p>
          <w:p w:rsidR="00737910" w:rsidRDefault="00737910" w:rsidP="00D131A0">
            <w:pPr>
              <w:jc w:val="both"/>
              <w:rPr>
                <w:b/>
              </w:rPr>
            </w:pPr>
          </w:p>
          <w:p w:rsidR="00737910" w:rsidRDefault="00737910" w:rsidP="00D131A0">
            <w:pPr>
              <w:jc w:val="both"/>
              <w:rPr>
                <w:b/>
              </w:rPr>
            </w:pPr>
          </w:p>
          <w:p w:rsidR="00737910" w:rsidRDefault="00737910" w:rsidP="00D131A0">
            <w:pPr>
              <w:jc w:val="both"/>
              <w:rPr>
                <w:b/>
              </w:rPr>
            </w:pPr>
          </w:p>
          <w:p w:rsidR="00737910" w:rsidRDefault="00737910" w:rsidP="00D131A0">
            <w:pPr>
              <w:jc w:val="both"/>
              <w:rPr>
                <w:b/>
              </w:rPr>
            </w:pPr>
          </w:p>
          <w:p w:rsidR="00737910" w:rsidRDefault="00737910" w:rsidP="00D131A0">
            <w:pPr>
              <w:jc w:val="both"/>
              <w:rPr>
                <w:b/>
              </w:rPr>
            </w:pPr>
          </w:p>
          <w:p w:rsidR="00737910" w:rsidRDefault="00737910" w:rsidP="00D131A0">
            <w:pPr>
              <w:jc w:val="both"/>
              <w:rPr>
                <w:b/>
              </w:rPr>
            </w:pPr>
            <w:r>
              <w:rPr>
                <w:b/>
              </w:rPr>
              <w:t>RS</w:t>
            </w: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056E50" w:rsidRDefault="00056E50" w:rsidP="00D131A0">
            <w:pPr>
              <w:jc w:val="both"/>
              <w:rPr>
                <w:b/>
              </w:rPr>
            </w:pPr>
          </w:p>
          <w:p w:rsidR="00737910" w:rsidRDefault="00737910" w:rsidP="00D131A0">
            <w:pPr>
              <w:jc w:val="both"/>
              <w:rPr>
                <w:b/>
              </w:rPr>
            </w:pPr>
          </w:p>
          <w:p w:rsidR="00056E50" w:rsidRDefault="00056E50" w:rsidP="00D131A0">
            <w:pPr>
              <w:jc w:val="both"/>
              <w:rPr>
                <w:b/>
              </w:rPr>
            </w:pPr>
          </w:p>
          <w:p w:rsidR="00056E50" w:rsidRDefault="00056E50" w:rsidP="00D131A0">
            <w:pPr>
              <w:jc w:val="both"/>
              <w:rPr>
                <w:b/>
              </w:rPr>
            </w:pPr>
          </w:p>
          <w:p w:rsidR="00056E50" w:rsidRPr="00D06BDB" w:rsidRDefault="00056E50" w:rsidP="00D131A0">
            <w:pPr>
              <w:jc w:val="both"/>
              <w:rPr>
                <w:b/>
              </w:rPr>
            </w:pPr>
            <w:r>
              <w:rPr>
                <w:b/>
              </w:rPr>
              <w:t>RS</w:t>
            </w:r>
          </w:p>
        </w:tc>
        <w:tc>
          <w:tcPr>
            <w:tcW w:w="851" w:type="dxa"/>
            <w:shd w:val="clear" w:color="auto" w:fill="auto"/>
          </w:tcPr>
          <w:p w:rsidR="00EB3174" w:rsidRDefault="00737910" w:rsidP="00D131A0">
            <w:pPr>
              <w:jc w:val="both"/>
              <w:rPr>
                <w:b/>
                <w:color w:val="FF0000"/>
              </w:rPr>
            </w:pPr>
            <w:r>
              <w:rPr>
                <w:b/>
                <w:color w:val="FF0000"/>
              </w:rPr>
              <w:t>Nov 18</w:t>
            </w:r>
          </w:p>
          <w:p w:rsidR="00737910" w:rsidRDefault="00737910" w:rsidP="00D131A0">
            <w:pPr>
              <w:jc w:val="both"/>
              <w:rPr>
                <w:b/>
                <w:color w:val="FF0000"/>
              </w:rPr>
            </w:pPr>
          </w:p>
          <w:p w:rsidR="00737910" w:rsidRDefault="00737910" w:rsidP="00D131A0">
            <w:pPr>
              <w:jc w:val="both"/>
              <w:rPr>
                <w:b/>
                <w:color w:val="FF0000"/>
              </w:rPr>
            </w:pPr>
          </w:p>
          <w:p w:rsidR="00737910" w:rsidRDefault="00737910" w:rsidP="00D131A0">
            <w:pPr>
              <w:jc w:val="both"/>
              <w:rPr>
                <w:b/>
                <w:color w:val="FF0000"/>
              </w:rPr>
            </w:pPr>
          </w:p>
          <w:p w:rsidR="00737910" w:rsidRDefault="00737910" w:rsidP="00D131A0">
            <w:pPr>
              <w:jc w:val="both"/>
              <w:rPr>
                <w:b/>
                <w:color w:val="FF0000"/>
              </w:rPr>
            </w:pPr>
          </w:p>
          <w:p w:rsidR="00737910" w:rsidRDefault="00737910" w:rsidP="00D131A0">
            <w:pPr>
              <w:jc w:val="both"/>
              <w:rPr>
                <w:b/>
                <w:color w:val="FF0000"/>
              </w:rPr>
            </w:pPr>
          </w:p>
          <w:p w:rsidR="00737910" w:rsidRDefault="00737910" w:rsidP="00D131A0">
            <w:pPr>
              <w:jc w:val="both"/>
              <w:rPr>
                <w:b/>
                <w:color w:val="FF0000"/>
              </w:rPr>
            </w:pPr>
          </w:p>
          <w:p w:rsidR="00737910" w:rsidRDefault="00737910" w:rsidP="00D131A0">
            <w:pPr>
              <w:jc w:val="both"/>
              <w:rPr>
                <w:b/>
                <w:color w:val="FF0000"/>
              </w:rPr>
            </w:pPr>
            <w:r>
              <w:rPr>
                <w:b/>
                <w:color w:val="FF0000"/>
              </w:rPr>
              <w:t>When avail</w:t>
            </w:r>
          </w:p>
          <w:p w:rsidR="00737910" w:rsidRDefault="0073791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Default="00056E50" w:rsidP="00D131A0">
            <w:pPr>
              <w:jc w:val="both"/>
              <w:rPr>
                <w:b/>
                <w:color w:val="FF0000"/>
              </w:rPr>
            </w:pPr>
          </w:p>
          <w:p w:rsidR="00056E50" w:rsidRPr="004048B3" w:rsidRDefault="00056E50" w:rsidP="00056E50">
            <w:pPr>
              <w:rPr>
                <w:b/>
                <w:color w:val="FF0000"/>
              </w:rPr>
            </w:pPr>
            <w:r>
              <w:rPr>
                <w:b/>
                <w:color w:val="FF0000"/>
              </w:rPr>
              <w:t>By 5</w:t>
            </w:r>
            <w:r w:rsidRPr="00056E50">
              <w:rPr>
                <w:b/>
                <w:color w:val="FF0000"/>
                <w:vertAlign w:val="superscript"/>
              </w:rPr>
              <w:t>th</w:t>
            </w:r>
            <w:r>
              <w:rPr>
                <w:b/>
                <w:color w:val="FF0000"/>
              </w:rPr>
              <w:t xml:space="preserve"> Oct 18</w:t>
            </w:r>
          </w:p>
        </w:tc>
      </w:tr>
      <w:tr w:rsidR="00634F85" w:rsidRPr="004048B3" w:rsidTr="00F2546C">
        <w:tc>
          <w:tcPr>
            <w:tcW w:w="1447" w:type="dxa"/>
            <w:gridSpan w:val="2"/>
          </w:tcPr>
          <w:p w:rsidR="00634F85" w:rsidRDefault="00634F85" w:rsidP="00F84C0D">
            <w:pPr>
              <w:rPr>
                <w:b/>
              </w:rPr>
            </w:pPr>
            <w:r>
              <w:rPr>
                <w:b/>
              </w:rPr>
              <w:lastRenderedPageBreak/>
              <w:t xml:space="preserve">KHG Budget </w:t>
            </w:r>
          </w:p>
        </w:tc>
        <w:tc>
          <w:tcPr>
            <w:tcW w:w="9356" w:type="dxa"/>
            <w:shd w:val="clear" w:color="auto" w:fill="auto"/>
          </w:tcPr>
          <w:p w:rsidR="00634F85" w:rsidRDefault="00D5721B" w:rsidP="00EB3174">
            <w:pPr>
              <w:jc w:val="both"/>
            </w:pPr>
            <w:r>
              <w:t>Budget Sheet and paper shared ahead of the meeting.</w:t>
            </w:r>
            <w:r w:rsidR="00AD5B06">
              <w:t xml:space="preserve">  RS has updated the context under the each of the budget headings</w:t>
            </w:r>
            <w:r w:rsidR="00737910">
              <w:t xml:space="preserve"> in the supporting paper</w:t>
            </w:r>
            <w:r w:rsidR="00C04AB6">
              <w:t>.</w:t>
            </w:r>
            <w:r w:rsidR="00737910">
              <w:t xml:space="preserve">  The final balance from JPPB has been confirmed by Canterbury CC and will be transferred in due course, this sum has been added to the expected income for this current year.</w:t>
            </w:r>
          </w:p>
          <w:p w:rsidR="00D5721B" w:rsidRPr="00745BAC" w:rsidRDefault="00D5721B" w:rsidP="00EB3174">
            <w:pPr>
              <w:jc w:val="both"/>
            </w:pPr>
          </w:p>
        </w:tc>
        <w:tc>
          <w:tcPr>
            <w:tcW w:w="3543" w:type="dxa"/>
            <w:shd w:val="clear" w:color="auto" w:fill="auto"/>
          </w:tcPr>
          <w:p w:rsidR="00634F85" w:rsidRPr="004048B3" w:rsidRDefault="001E64E8" w:rsidP="003636E7">
            <w:pPr>
              <w:rPr>
                <w:b/>
              </w:rPr>
            </w:pPr>
            <w:r>
              <w:rPr>
                <w:b/>
              </w:rPr>
              <w:t>Budget agreed/signed off</w:t>
            </w:r>
          </w:p>
        </w:tc>
        <w:tc>
          <w:tcPr>
            <w:tcW w:w="709" w:type="dxa"/>
            <w:shd w:val="clear" w:color="auto" w:fill="auto"/>
          </w:tcPr>
          <w:p w:rsidR="00634F85" w:rsidRPr="00D06BDB" w:rsidRDefault="001E64E8" w:rsidP="00D131A0">
            <w:pPr>
              <w:jc w:val="both"/>
              <w:rPr>
                <w:b/>
              </w:rPr>
            </w:pPr>
            <w:r>
              <w:rPr>
                <w:b/>
              </w:rPr>
              <w:t>ALL</w:t>
            </w:r>
          </w:p>
        </w:tc>
        <w:tc>
          <w:tcPr>
            <w:tcW w:w="851" w:type="dxa"/>
            <w:shd w:val="clear" w:color="auto" w:fill="auto"/>
          </w:tcPr>
          <w:p w:rsidR="00634F85" w:rsidRPr="004048B3" w:rsidRDefault="00634F85" w:rsidP="00D131A0">
            <w:pPr>
              <w:jc w:val="both"/>
              <w:rPr>
                <w:b/>
                <w:color w:val="FF0000"/>
              </w:rPr>
            </w:pPr>
          </w:p>
        </w:tc>
      </w:tr>
      <w:tr w:rsidR="00F84C0D" w:rsidRPr="00745BAC" w:rsidTr="00F2546C">
        <w:tc>
          <w:tcPr>
            <w:tcW w:w="1447" w:type="dxa"/>
            <w:gridSpan w:val="2"/>
          </w:tcPr>
          <w:p w:rsidR="00F84C0D" w:rsidRPr="00F84C0D" w:rsidRDefault="004D48DD" w:rsidP="005B37E2">
            <w:pPr>
              <w:rPr>
                <w:b/>
              </w:rPr>
            </w:pPr>
            <w:r>
              <w:rPr>
                <w:b/>
              </w:rPr>
              <w:t>KHG EXB Forward Plan</w:t>
            </w:r>
          </w:p>
        </w:tc>
        <w:tc>
          <w:tcPr>
            <w:tcW w:w="9356" w:type="dxa"/>
            <w:shd w:val="clear" w:color="auto" w:fill="auto"/>
          </w:tcPr>
          <w:p w:rsidR="00EB3174" w:rsidRDefault="007453CE" w:rsidP="00935121">
            <w:pPr>
              <w:jc w:val="both"/>
            </w:pPr>
            <w:r>
              <w:t>Updated Forward Plan shared ahead of the meeting.</w:t>
            </w:r>
            <w:r w:rsidR="00C04AB6">
              <w:t xml:space="preserve">  A good amount of the work-streams are underway within the current Forward Plan.  There is a need to review the Terms of Reference for both KHG and EXB, RS to work through which EXB members are required to stand down.</w:t>
            </w:r>
          </w:p>
          <w:p w:rsidR="00C04AB6" w:rsidRDefault="00C04AB6" w:rsidP="00935121">
            <w:pPr>
              <w:jc w:val="both"/>
            </w:pPr>
          </w:p>
          <w:p w:rsidR="00C04AB6" w:rsidRDefault="00C04AB6" w:rsidP="00935121">
            <w:pPr>
              <w:jc w:val="both"/>
            </w:pPr>
            <w:r>
              <w:t>Feedback on the East Kent Integration Project, the proposal is with Tracey Kerly and Madeline Homer who are the CEX leads for this project.</w:t>
            </w:r>
          </w:p>
          <w:p w:rsidR="00C04AB6" w:rsidRPr="00745BAC" w:rsidRDefault="00C04AB6" w:rsidP="00935121">
            <w:pPr>
              <w:jc w:val="both"/>
            </w:pPr>
          </w:p>
        </w:tc>
        <w:tc>
          <w:tcPr>
            <w:tcW w:w="3543" w:type="dxa"/>
            <w:shd w:val="clear" w:color="auto" w:fill="auto"/>
          </w:tcPr>
          <w:p w:rsidR="003D00ED" w:rsidRDefault="00C04AB6" w:rsidP="004023DE">
            <w:pPr>
              <w:jc w:val="both"/>
              <w:rPr>
                <w:b/>
              </w:rPr>
            </w:pPr>
            <w:r>
              <w:rPr>
                <w:b/>
              </w:rPr>
              <w:t>RS to draft ToR for KHG and EXB and share for November 2018.</w:t>
            </w:r>
          </w:p>
          <w:p w:rsidR="00C04AB6" w:rsidRDefault="00C04AB6" w:rsidP="004023DE">
            <w:pPr>
              <w:jc w:val="both"/>
              <w:rPr>
                <w:b/>
              </w:rPr>
            </w:pPr>
          </w:p>
          <w:p w:rsidR="00C04AB6" w:rsidRDefault="00C04AB6" w:rsidP="004023DE">
            <w:pPr>
              <w:jc w:val="both"/>
              <w:rPr>
                <w:b/>
              </w:rPr>
            </w:pPr>
          </w:p>
          <w:p w:rsidR="00C04AB6" w:rsidRPr="00946969" w:rsidRDefault="00C04AB6" w:rsidP="004023DE">
            <w:pPr>
              <w:jc w:val="both"/>
              <w:rPr>
                <w:b/>
              </w:rPr>
            </w:pPr>
            <w:r>
              <w:rPr>
                <w:b/>
              </w:rPr>
              <w:t>RS to chase TK and MH for next steps on this work</w:t>
            </w:r>
          </w:p>
        </w:tc>
        <w:tc>
          <w:tcPr>
            <w:tcW w:w="709" w:type="dxa"/>
            <w:shd w:val="clear" w:color="auto" w:fill="auto"/>
          </w:tcPr>
          <w:p w:rsidR="00935121" w:rsidRPr="00366F8F" w:rsidRDefault="001E64E8" w:rsidP="00935121">
            <w:pPr>
              <w:jc w:val="both"/>
              <w:rPr>
                <w:b/>
                <w:lang w:val="fr-FR"/>
              </w:rPr>
            </w:pPr>
            <w:r>
              <w:rPr>
                <w:b/>
                <w:lang w:val="fr-FR"/>
              </w:rPr>
              <w:t>RS</w:t>
            </w:r>
          </w:p>
        </w:tc>
        <w:tc>
          <w:tcPr>
            <w:tcW w:w="851" w:type="dxa"/>
            <w:shd w:val="clear" w:color="auto" w:fill="auto"/>
          </w:tcPr>
          <w:p w:rsidR="00EB3174" w:rsidRDefault="001E64E8" w:rsidP="00D131A0">
            <w:pPr>
              <w:jc w:val="both"/>
              <w:rPr>
                <w:b/>
                <w:color w:val="FF0000"/>
              </w:rPr>
            </w:pPr>
            <w:r>
              <w:rPr>
                <w:b/>
                <w:color w:val="FF0000"/>
              </w:rPr>
              <w:t>By Nov KHG EXB</w:t>
            </w:r>
          </w:p>
          <w:p w:rsidR="001E64E8" w:rsidRDefault="001E64E8" w:rsidP="00D131A0">
            <w:pPr>
              <w:jc w:val="both"/>
              <w:rPr>
                <w:b/>
                <w:color w:val="FF0000"/>
              </w:rPr>
            </w:pPr>
          </w:p>
          <w:p w:rsidR="001E64E8" w:rsidRPr="0044468F" w:rsidRDefault="001E64E8" w:rsidP="00D131A0">
            <w:pPr>
              <w:jc w:val="both"/>
              <w:rPr>
                <w:b/>
                <w:color w:val="FF0000"/>
              </w:rPr>
            </w:pPr>
            <w:r>
              <w:rPr>
                <w:b/>
                <w:color w:val="FF0000"/>
              </w:rPr>
              <w:t xml:space="preserve">By </w:t>
            </w:r>
          </w:p>
        </w:tc>
      </w:tr>
      <w:tr w:rsidR="00F84C0D" w:rsidRPr="00745BAC" w:rsidTr="00F2546C">
        <w:tc>
          <w:tcPr>
            <w:tcW w:w="1447" w:type="dxa"/>
            <w:gridSpan w:val="2"/>
          </w:tcPr>
          <w:p w:rsidR="00F84C0D" w:rsidRPr="00F84C0D" w:rsidRDefault="007453CE" w:rsidP="005B37E2">
            <w:pPr>
              <w:rPr>
                <w:b/>
              </w:rPr>
            </w:pPr>
            <w:r>
              <w:rPr>
                <w:b/>
              </w:rPr>
              <w:t>KM</w:t>
            </w:r>
            <w:r w:rsidR="004D48DD">
              <w:rPr>
                <w:b/>
              </w:rPr>
              <w:t xml:space="preserve">HS </w:t>
            </w:r>
            <w:r w:rsidR="004D48DD" w:rsidRPr="007453CE">
              <w:rPr>
                <w:b/>
                <w:sz w:val="20"/>
              </w:rPr>
              <w:t>Development</w:t>
            </w:r>
          </w:p>
        </w:tc>
        <w:tc>
          <w:tcPr>
            <w:tcW w:w="9356" w:type="dxa"/>
            <w:shd w:val="clear" w:color="auto" w:fill="auto"/>
          </w:tcPr>
          <w:p w:rsidR="00B439C4" w:rsidRDefault="00C04AB6" w:rsidP="00B439C4">
            <w:pPr>
              <w:jc w:val="both"/>
            </w:pPr>
            <w:r>
              <w:t xml:space="preserve">Altair Limited have been appointed by KHG to undertake consultancy work regarding the KMHS.  The strategy content is in draft with more work around the key priorities identified, which Altair will help deliver on through facilitated workshops.  </w:t>
            </w:r>
            <w:r w:rsidR="001E64E8">
              <w:t xml:space="preserve">  The workshops will identify gaps and opportunities, will set key work streams that are ambitious and achievable from across the partnership.  KDG/KPOG and additional partners will be invited along with KHG members to the workshop sessions.  Deadline for completion of the strategy is March 2019.  JE is keen to engage the RP membership with this piece of work going forward.  How to link and provide support to the emerging KMHS from other work, such as the Kent Accommodation Strategy. </w:t>
            </w:r>
          </w:p>
          <w:p w:rsidR="001E64E8" w:rsidRPr="00745BAC" w:rsidRDefault="001E64E8" w:rsidP="00B439C4">
            <w:pPr>
              <w:jc w:val="both"/>
            </w:pPr>
          </w:p>
        </w:tc>
        <w:tc>
          <w:tcPr>
            <w:tcW w:w="3543" w:type="dxa"/>
            <w:shd w:val="clear" w:color="auto" w:fill="auto"/>
          </w:tcPr>
          <w:p w:rsidR="00AD178F" w:rsidRPr="00F4268A" w:rsidRDefault="00C04AB6" w:rsidP="001E64E8">
            <w:pPr>
              <w:rPr>
                <w:b/>
              </w:rPr>
            </w:pPr>
            <w:r>
              <w:rPr>
                <w:b/>
              </w:rPr>
              <w:t>RS to share details of workshops week</w:t>
            </w:r>
            <w:r w:rsidR="001E64E8">
              <w:rPr>
                <w:b/>
              </w:rPr>
              <w:t xml:space="preserve"> commencing 8</w:t>
            </w:r>
            <w:r w:rsidR="001E64E8" w:rsidRPr="001E64E8">
              <w:rPr>
                <w:b/>
                <w:vertAlign w:val="superscript"/>
              </w:rPr>
              <w:t>th</w:t>
            </w:r>
            <w:r w:rsidR="001E64E8">
              <w:rPr>
                <w:b/>
              </w:rPr>
              <w:t xml:space="preserve"> October</w:t>
            </w:r>
          </w:p>
        </w:tc>
        <w:tc>
          <w:tcPr>
            <w:tcW w:w="709" w:type="dxa"/>
            <w:shd w:val="clear" w:color="auto" w:fill="auto"/>
          </w:tcPr>
          <w:p w:rsidR="00B439C4" w:rsidRDefault="00C04AB6" w:rsidP="00D131A0">
            <w:pPr>
              <w:jc w:val="both"/>
              <w:rPr>
                <w:b/>
              </w:rPr>
            </w:pPr>
            <w:r>
              <w:rPr>
                <w:b/>
              </w:rPr>
              <w:t>RS</w:t>
            </w:r>
          </w:p>
          <w:p w:rsidR="00E06139" w:rsidRDefault="00E06139" w:rsidP="00D131A0">
            <w:pPr>
              <w:jc w:val="both"/>
              <w:rPr>
                <w:b/>
              </w:rPr>
            </w:pPr>
          </w:p>
          <w:p w:rsidR="00E06139" w:rsidRDefault="00E06139" w:rsidP="00D131A0">
            <w:pPr>
              <w:jc w:val="both"/>
              <w:rPr>
                <w:b/>
              </w:rPr>
            </w:pPr>
          </w:p>
          <w:p w:rsidR="00E06139" w:rsidRDefault="00E06139" w:rsidP="00D131A0">
            <w:pPr>
              <w:jc w:val="both"/>
              <w:rPr>
                <w:b/>
              </w:rPr>
            </w:pPr>
          </w:p>
          <w:p w:rsidR="00E06139" w:rsidRDefault="00E06139" w:rsidP="00D131A0">
            <w:pPr>
              <w:jc w:val="both"/>
              <w:rPr>
                <w:b/>
              </w:rPr>
            </w:pPr>
          </w:p>
          <w:p w:rsidR="00E06139" w:rsidRDefault="00E06139" w:rsidP="00D131A0">
            <w:pPr>
              <w:jc w:val="both"/>
              <w:rPr>
                <w:b/>
              </w:rPr>
            </w:pPr>
          </w:p>
          <w:p w:rsidR="00E06139" w:rsidRDefault="00E06139" w:rsidP="00D131A0">
            <w:pPr>
              <w:jc w:val="both"/>
              <w:rPr>
                <w:b/>
              </w:rPr>
            </w:pPr>
          </w:p>
          <w:p w:rsidR="00E06139" w:rsidRDefault="00E06139" w:rsidP="00D131A0">
            <w:pPr>
              <w:jc w:val="both"/>
              <w:rPr>
                <w:b/>
              </w:rPr>
            </w:pPr>
          </w:p>
          <w:p w:rsidR="00E06139" w:rsidRPr="00C15D03" w:rsidRDefault="00E06139" w:rsidP="00D131A0">
            <w:pPr>
              <w:jc w:val="both"/>
              <w:rPr>
                <w:b/>
              </w:rPr>
            </w:pPr>
          </w:p>
        </w:tc>
        <w:tc>
          <w:tcPr>
            <w:tcW w:w="851" w:type="dxa"/>
            <w:shd w:val="clear" w:color="auto" w:fill="auto"/>
          </w:tcPr>
          <w:p w:rsidR="006C22BA" w:rsidRPr="0044468F" w:rsidRDefault="00C04AB6" w:rsidP="009A1443">
            <w:pPr>
              <w:rPr>
                <w:b/>
                <w:color w:val="FF0000"/>
              </w:rPr>
            </w:pPr>
            <w:r>
              <w:rPr>
                <w:b/>
                <w:color w:val="FF0000"/>
              </w:rPr>
              <w:t>By 12</w:t>
            </w:r>
            <w:r w:rsidRPr="001E64E8">
              <w:rPr>
                <w:b/>
                <w:color w:val="FF0000"/>
                <w:vertAlign w:val="superscript"/>
              </w:rPr>
              <w:t>th</w:t>
            </w:r>
            <w:r w:rsidR="001E64E8">
              <w:rPr>
                <w:b/>
                <w:color w:val="FF0000"/>
              </w:rPr>
              <w:t xml:space="preserve"> Oct 18</w:t>
            </w:r>
          </w:p>
        </w:tc>
      </w:tr>
      <w:tr w:rsidR="00F84C0D" w:rsidRPr="00745BAC" w:rsidTr="00F2546C">
        <w:tc>
          <w:tcPr>
            <w:tcW w:w="1447" w:type="dxa"/>
            <w:gridSpan w:val="2"/>
          </w:tcPr>
          <w:p w:rsidR="00F84C0D" w:rsidRPr="00F84C0D" w:rsidRDefault="004D48DD" w:rsidP="005B37E2">
            <w:pPr>
              <w:rPr>
                <w:b/>
              </w:rPr>
            </w:pPr>
            <w:r w:rsidRPr="001E64E8">
              <w:rPr>
                <w:b/>
                <w:sz w:val="18"/>
              </w:rPr>
              <w:lastRenderedPageBreak/>
              <w:t>Accommodation Strategy &amp; Commissioning Update</w:t>
            </w:r>
          </w:p>
        </w:tc>
        <w:tc>
          <w:tcPr>
            <w:tcW w:w="9356" w:type="dxa"/>
            <w:shd w:val="clear" w:color="auto" w:fill="auto"/>
          </w:tcPr>
          <w:p w:rsidR="006C22BA" w:rsidRDefault="001E64E8" w:rsidP="00B439C4">
            <w:pPr>
              <w:jc w:val="both"/>
            </w:pPr>
            <w:r>
              <w:t xml:space="preserve">MA advised that KCC were seeking to provide four key prime providers for support provision in each area, this alongside with young person’s offer, East Kent and Mid Kent – Porchlight were successful, and North and West Kent – Look Ahead Care and Support were successful.  </w:t>
            </w:r>
          </w:p>
          <w:p w:rsidR="001E64E8" w:rsidRDefault="001E64E8" w:rsidP="00B439C4">
            <w:pPr>
              <w:jc w:val="both"/>
            </w:pPr>
          </w:p>
          <w:p w:rsidR="001E64E8" w:rsidRDefault="001E64E8" w:rsidP="001E64E8">
            <w:pPr>
              <w:jc w:val="both"/>
            </w:pPr>
            <w:r>
              <w:t xml:space="preserve">A framework of secondary providers have also been developed, in offender provision two providers are appointed, Pathways to Independence and </w:t>
            </w:r>
            <w:proofErr w:type="spellStart"/>
            <w:r>
              <w:t>HomeGroup</w:t>
            </w:r>
            <w:proofErr w:type="spellEnd"/>
            <w:r>
              <w:t>.  KCC have confirmed that it will not provide support services specifically for offenders, this will fall to KSS CRC, the current services will continue to 31</w:t>
            </w:r>
            <w:r w:rsidRPr="001E64E8">
              <w:rPr>
                <w:vertAlign w:val="superscript"/>
              </w:rPr>
              <w:t>st</w:t>
            </w:r>
            <w:r>
              <w:t xml:space="preserve"> March 2019.  </w:t>
            </w:r>
            <w:r w:rsidR="00E06139">
              <w:t xml:space="preserve"> KCC talking to prime providers about how they shape what provision looks like in each area, this could be different in areas, </w:t>
            </w:r>
            <w:r w:rsidR="003E0C3A">
              <w:t>and this</w:t>
            </w:r>
            <w:r w:rsidR="00E06139">
              <w:t xml:space="preserve"> is a four year framework.    </w:t>
            </w:r>
            <w:r w:rsidR="003E0C3A">
              <w:t>Correspondence</w:t>
            </w:r>
            <w:r w:rsidR="00E06139">
              <w:t xml:space="preserve"> will be shared with partners about the strategic groups to help shape provision.</w:t>
            </w:r>
          </w:p>
          <w:p w:rsidR="00E06139" w:rsidRDefault="00E06139" w:rsidP="001E64E8">
            <w:pPr>
              <w:jc w:val="both"/>
            </w:pPr>
          </w:p>
          <w:p w:rsidR="00E06139" w:rsidRDefault="00E06139" w:rsidP="001E64E8">
            <w:pPr>
              <w:jc w:val="both"/>
            </w:pPr>
            <w:r>
              <w:t xml:space="preserve">JE has been tasked to look at housing support for OP client group.  Viability of schemes and how to enable developments, mix tenure are just some examples of thinking.   What are the options beyond the typical accommodation offer, </w:t>
            </w:r>
            <w:r w:rsidR="003E0C3A">
              <w:t xml:space="preserve">what is the spectrum, what is the strategic outline case for OP accommodation?  </w:t>
            </w:r>
            <w:r w:rsidR="004156AB">
              <w:t xml:space="preserve">There was a discussion about the potential for KHG to run a workshop in early 2019 around OP accommodation offer, having key note speakers and an overview of what the opportunities are.  </w:t>
            </w:r>
          </w:p>
          <w:p w:rsidR="001E64E8" w:rsidRDefault="001E64E8" w:rsidP="001E64E8">
            <w:pPr>
              <w:jc w:val="both"/>
            </w:pPr>
          </w:p>
          <w:p w:rsidR="004156AB" w:rsidRDefault="004156AB" w:rsidP="001E64E8">
            <w:pPr>
              <w:jc w:val="both"/>
            </w:pPr>
            <w:r>
              <w:t>MA confirmed that the Homelessness SIB has not been moved forward, the market was tested and negotiations with CLG took place, more than one provider was considered but as payment by results it did not stack up to proceed further.</w:t>
            </w:r>
          </w:p>
          <w:p w:rsidR="004156AB" w:rsidRDefault="004156AB" w:rsidP="001E64E8">
            <w:pPr>
              <w:jc w:val="both"/>
            </w:pPr>
          </w:p>
          <w:p w:rsidR="004156AB" w:rsidRDefault="004156AB" w:rsidP="001E64E8">
            <w:pPr>
              <w:jc w:val="both"/>
            </w:pPr>
            <w:r>
              <w:t xml:space="preserve">It was agreed that it would be useful to feedback the outcome of the SIB and also to inform Kent Leaders about Homelessness and the new commissioning undertaken.   </w:t>
            </w:r>
          </w:p>
          <w:p w:rsidR="001E64E8" w:rsidRPr="00745BAC" w:rsidRDefault="001E64E8" w:rsidP="001E64E8">
            <w:pPr>
              <w:jc w:val="both"/>
            </w:pPr>
          </w:p>
        </w:tc>
        <w:tc>
          <w:tcPr>
            <w:tcW w:w="3543" w:type="dxa"/>
            <w:shd w:val="clear" w:color="auto" w:fill="auto"/>
          </w:tcPr>
          <w:p w:rsidR="00AD178F" w:rsidRDefault="001E64E8" w:rsidP="007C081A">
            <w:pPr>
              <w:rPr>
                <w:b/>
              </w:rPr>
            </w:pPr>
            <w:r>
              <w:rPr>
                <w:b/>
              </w:rPr>
              <w:t>MA to share all details of the commissioning via RS</w:t>
            </w:r>
          </w:p>
          <w:p w:rsidR="004156AB" w:rsidRDefault="004156AB" w:rsidP="007C081A">
            <w:pPr>
              <w:rPr>
                <w:b/>
              </w:rPr>
            </w:pPr>
          </w:p>
          <w:p w:rsidR="004156AB" w:rsidRDefault="004156AB" w:rsidP="007C081A">
            <w:pPr>
              <w:rPr>
                <w:b/>
              </w:rPr>
            </w:pPr>
          </w:p>
          <w:p w:rsidR="004156AB" w:rsidRDefault="004156AB" w:rsidP="007C081A">
            <w:pPr>
              <w:rPr>
                <w:b/>
              </w:rPr>
            </w:pPr>
          </w:p>
          <w:p w:rsidR="004156AB" w:rsidRDefault="004156AB" w:rsidP="007C081A">
            <w:pPr>
              <w:rPr>
                <w:b/>
              </w:rPr>
            </w:pPr>
          </w:p>
          <w:p w:rsidR="004156AB" w:rsidRDefault="004156AB" w:rsidP="007C081A">
            <w:pPr>
              <w:rPr>
                <w:b/>
              </w:rPr>
            </w:pPr>
          </w:p>
          <w:p w:rsidR="004156AB" w:rsidRDefault="004156AB" w:rsidP="007C081A">
            <w:pPr>
              <w:rPr>
                <w:b/>
              </w:rPr>
            </w:pPr>
          </w:p>
          <w:p w:rsidR="004156AB" w:rsidRDefault="004156AB" w:rsidP="007C081A">
            <w:pPr>
              <w:rPr>
                <w:b/>
              </w:rPr>
            </w:pPr>
          </w:p>
          <w:p w:rsidR="004156AB" w:rsidRDefault="004156AB" w:rsidP="007C081A">
            <w:pPr>
              <w:rPr>
                <w:b/>
              </w:rPr>
            </w:pPr>
          </w:p>
          <w:p w:rsidR="004156AB" w:rsidRDefault="004156AB" w:rsidP="007C081A">
            <w:pPr>
              <w:rPr>
                <w:b/>
              </w:rPr>
            </w:pPr>
          </w:p>
          <w:p w:rsidR="004156AB" w:rsidRDefault="004156AB" w:rsidP="007C081A">
            <w:pPr>
              <w:rPr>
                <w:b/>
              </w:rPr>
            </w:pPr>
            <w:r>
              <w:rPr>
                <w:b/>
              </w:rPr>
              <w:t>RS to chase TK about contact with Housing LIN for delivery of an event in January 2019.  JE, EM and RS to catch up regarding timing and content of a workshop</w:t>
            </w:r>
          </w:p>
          <w:p w:rsidR="004156AB" w:rsidRDefault="004156AB" w:rsidP="007C081A">
            <w:pPr>
              <w:rPr>
                <w:b/>
              </w:rPr>
            </w:pPr>
          </w:p>
          <w:p w:rsidR="004156AB" w:rsidRDefault="004156AB" w:rsidP="007C081A">
            <w:pPr>
              <w:rPr>
                <w:b/>
              </w:rPr>
            </w:pPr>
          </w:p>
          <w:p w:rsidR="004156AB" w:rsidRDefault="004156AB" w:rsidP="007C081A">
            <w:pPr>
              <w:rPr>
                <w:b/>
              </w:rPr>
            </w:pPr>
          </w:p>
          <w:p w:rsidR="004156AB" w:rsidRDefault="004156AB" w:rsidP="007C081A">
            <w:pPr>
              <w:rPr>
                <w:b/>
              </w:rPr>
            </w:pPr>
          </w:p>
          <w:p w:rsidR="004156AB" w:rsidRDefault="004156AB" w:rsidP="007C081A">
            <w:pPr>
              <w:rPr>
                <w:b/>
              </w:rPr>
            </w:pPr>
          </w:p>
          <w:p w:rsidR="004156AB" w:rsidRDefault="004156AB" w:rsidP="007C081A">
            <w:pPr>
              <w:rPr>
                <w:b/>
              </w:rPr>
            </w:pPr>
          </w:p>
          <w:p w:rsidR="004156AB" w:rsidRPr="00F4268A" w:rsidRDefault="004156AB" w:rsidP="007C081A">
            <w:pPr>
              <w:rPr>
                <w:b/>
              </w:rPr>
            </w:pPr>
            <w:r>
              <w:rPr>
                <w:b/>
              </w:rPr>
              <w:t>DE to liaise with RS/MA about Kent Leaders meeting.</w:t>
            </w:r>
          </w:p>
        </w:tc>
        <w:tc>
          <w:tcPr>
            <w:tcW w:w="709" w:type="dxa"/>
            <w:shd w:val="clear" w:color="auto" w:fill="auto"/>
          </w:tcPr>
          <w:p w:rsidR="00571F35" w:rsidRDefault="00E06139" w:rsidP="004E26C4">
            <w:pPr>
              <w:jc w:val="both"/>
              <w:rPr>
                <w:b/>
              </w:rPr>
            </w:pPr>
            <w:r>
              <w:rPr>
                <w:b/>
              </w:rPr>
              <w:t>MA</w:t>
            </w: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r>
              <w:rPr>
                <w:b/>
              </w:rPr>
              <w:t>RS JE</w:t>
            </w:r>
          </w:p>
          <w:p w:rsidR="00737910" w:rsidRDefault="00737910" w:rsidP="004E26C4">
            <w:pPr>
              <w:jc w:val="both"/>
              <w:rPr>
                <w:b/>
              </w:rPr>
            </w:pPr>
            <w:r>
              <w:rPr>
                <w:b/>
              </w:rPr>
              <w:t>EM</w:t>
            </w: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Default="00737910" w:rsidP="004E26C4">
            <w:pPr>
              <w:jc w:val="both"/>
              <w:rPr>
                <w:b/>
              </w:rPr>
            </w:pPr>
          </w:p>
          <w:p w:rsidR="00737910" w:rsidRPr="00C15D03" w:rsidRDefault="00737910" w:rsidP="004E26C4">
            <w:pPr>
              <w:jc w:val="both"/>
              <w:rPr>
                <w:b/>
              </w:rPr>
            </w:pPr>
            <w:r>
              <w:rPr>
                <w:b/>
              </w:rPr>
              <w:t>DE / MA</w:t>
            </w:r>
          </w:p>
        </w:tc>
        <w:tc>
          <w:tcPr>
            <w:tcW w:w="851" w:type="dxa"/>
            <w:shd w:val="clear" w:color="auto" w:fill="auto"/>
          </w:tcPr>
          <w:p w:rsidR="00571F35" w:rsidRDefault="00E06139" w:rsidP="009A1443">
            <w:pPr>
              <w:rPr>
                <w:b/>
                <w:color w:val="FF0000"/>
              </w:rPr>
            </w:pPr>
            <w:r>
              <w:rPr>
                <w:b/>
                <w:color w:val="FF0000"/>
              </w:rPr>
              <w:t>ASAP</w:t>
            </w: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r>
              <w:rPr>
                <w:b/>
                <w:color w:val="FF0000"/>
              </w:rPr>
              <w:t>By Nov</w:t>
            </w: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Default="00737910" w:rsidP="009A1443">
            <w:pPr>
              <w:rPr>
                <w:b/>
                <w:color w:val="FF0000"/>
              </w:rPr>
            </w:pPr>
          </w:p>
          <w:p w:rsidR="00737910" w:rsidRPr="0044468F" w:rsidRDefault="00737910" w:rsidP="009A1443">
            <w:pPr>
              <w:rPr>
                <w:b/>
                <w:color w:val="FF0000"/>
              </w:rPr>
            </w:pPr>
            <w:r>
              <w:rPr>
                <w:b/>
                <w:color w:val="FF0000"/>
              </w:rPr>
              <w:t>ASAP</w:t>
            </w:r>
          </w:p>
        </w:tc>
      </w:tr>
      <w:tr w:rsidR="00634F85" w:rsidRPr="00745BAC" w:rsidTr="00F2546C">
        <w:tc>
          <w:tcPr>
            <w:tcW w:w="1447" w:type="dxa"/>
            <w:gridSpan w:val="2"/>
          </w:tcPr>
          <w:p w:rsidR="00634F85" w:rsidRDefault="00634F85" w:rsidP="005B37E2">
            <w:pPr>
              <w:rPr>
                <w:b/>
              </w:rPr>
            </w:pPr>
            <w:r>
              <w:rPr>
                <w:b/>
              </w:rPr>
              <w:t>Medway Update</w:t>
            </w:r>
          </w:p>
        </w:tc>
        <w:tc>
          <w:tcPr>
            <w:tcW w:w="9356" w:type="dxa"/>
            <w:shd w:val="clear" w:color="auto" w:fill="auto"/>
          </w:tcPr>
          <w:p w:rsidR="00634F85" w:rsidRDefault="00D5721B" w:rsidP="00B439C4">
            <w:pPr>
              <w:jc w:val="both"/>
            </w:pPr>
            <w:r>
              <w:t>Mark Breathwick unable to attend, update to remain on next EXB agenda.</w:t>
            </w:r>
            <w:r w:rsidR="004156AB">
              <w:t xml:space="preserve">  SS advised that Medway have launched their Place branding, more information to come forward.  </w:t>
            </w:r>
          </w:p>
          <w:p w:rsidR="00D5721B" w:rsidRPr="00745BAC" w:rsidRDefault="00D5721B" w:rsidP="00B439C4">
            <w:pPr>
              <w:jc w:val="both"/>
            </w:pPr>
          </w:p>
        </w:tc>
        <w:tc>
          <w:tcPr>
            <w:tcW w:w="3543" w:type="dxa"/>
            <w:shd w:val="clear" w:color="auto" w:fill="auto"/>
          </w:tcPr>
          <w:p w:rsidR="00634F85" w:rsidRPr="00F4268A" w:rsidRDefault="00026015" w:rsidP="007C081A">
            <w:pPr>
              <w:rPr>
                <w:b/>
              </w:rPr>
            </w:pPr>
            <w:r>
              <w:rPr>
                <w:b/>
              </w:rPr>
              <w:t>Medway update to remain on the agenda as standing item going forward</w:t>
            </w:r>
          </w:p>
        </w:tc>
        <w:tc>
          <w:tcPr>
            <w:tcW w:w="709" w:type="dxa"/>
            <w:shd w:val="clear" w:color="auto" w:fill="auto"/>
          </w:tcPr>
          <w:p w:rsidR="00634F85" w:rsidRPr="00C15D03" w:rsidRDefault="00026015" w:rsidP="004E26C4">
            <w:pPr>
              <w:jc w:val="both"/>
              <w:rPr>
                <w:b/>
              </w:rPr>
            </w:pPr>
            <w:r>
              <w:rPr>
                <w:b/>
              </w:rPr>
              <w:t>RS</w:t>
            </w:r>
          </w:p>
        </w:tc>
        <w:tc>
          <w:tcPr>
            <w:tcW w:w="851" w:type="dxa"/>
            <w:shd w:val="clear" w:color="auto" w:fill="auto"/>
          </w:tcPr>
          <w:p w:rsidR="00634F85" w:rsidRPr="0044468F" w:rsidRDefault="00634F85" w:rsidP="009A1443">
            <w:pPr>
              <w:rPr>
                <w:b/>
                <w:color w:val="FF0000"/>
              </w:rPr>
            </w:pPr>
          </w:p>
        </w:tc>
      </w:tr>
      <w:tr w:rsidR="00F84C0D" w:rsidRPr="00745BAC" w:rsidTr="00F2546C">
        <w:tc>
          <w:tcPr>
            <w:tcW w:w="1447" w:type="dxa"/>
            <w:gridSpan w:val="2"/>
          </w:tcPr>
          <w:p w:rsidR="00F84C0D" w:rsidRPr="00F84C0D" w:rsidRDefault="004D48DD" w:rsidP="005B37E2">
            <w:pPr>
              <w:rPr>
                <w:b/>
              </w:rPr>
            </w:pPr>
            <w:r>
              <w:rPr>
                <w:b/>
              </w:rPr>
              <w:t>KHG Events</w:t>
            </w:r>
          </w:p>
        </w:tc>
        <w:tc>
          <w:tcPr>
            <w:tcW w:w="9356" w:type="dxa"/>
            <w:shd w:val="clear" w:color="auto" w:fill="auto"/>
          </w:tcPr>
          <w:p w:rsidR="006B7F23" w:rsidRDefault="000B37BC" w:rsidP="00AD178F">
            <w:pPr>
              <w:jc w:val="both"/>
            </w:pPr>
            <w:r>
              <w:t>Nothing further to add from this morning.  EM thanked KDG for the support of the event on the 19</w:t>
            </w:r>
            <w:r w:rsidRPr="000B37BC">
              <w:rPr>
                <w:vertAlign w:val="superscript"/>
              </w:rPr>
              <w:t>th</w:t>
            </w:r>
            <w:r>
              <w:t xml:space="preserve"> September.  RS to develop and share survey with colleagues.  </w:t>
            </w:r>
          </w:p>
          <w:p w:rsidR="000B37BC" w:rsidRPr="00745BAC" w:rsidRDefault="000B37BC" w:rsidP="00AD178F">
            <w:pPr>
              <w:jc w:val="both"/>
            </w:pPr>
          </w:p>
        </w:tc>
        <w:tc>
          <w:tcPr>
            <w:tcW w:w="3543" w:type="dxa"/>
            <w:shd w:val="clear" w:color="auto" w:fill="auto"/>
          </w:tcPr>
          <w:p w:rsidR="00FA72E0" w:rsidRPr="00F4268A" w:rsidRDefault="000B37BC" w:rsidP="00F4268A">
            <w:pPr>
              <w:rPr>
                <w:b/>
              </w:rPr>
            </w:pPr>
            <w:r>
              <w:rPr>
                <w:b/>
              </w:rPr>
              <w:t>RS to share survey</w:t>
            </w:r>
            <w:r w:rsidR="00737910">
              <w:rPr>
                <w:b/>
              </w:rPr>
              <w:t xml:space="preserve">  when completed</w:t>
            </w:r>
          </w:p>
        </w:tc>
        <w:tc>
          <w:tcPr>
            <w:tcW w:w="709" w:type="dxa"/>
            <w:shd w:val="clear" w:color="auto" w:fill="auto"/>
          </w:tcPr>
          <w:p w:rsidR="00FA72E0" w:rsidRPr="0044468F" w:rsidRDefault="000B37BC" w:rsidP="00D131A0">
            <w:pPr>
              <w:jc w:val="both"/>
              <w:rPr>
                <w:b/>
              </w:rPr>
            </w:pPr>
            <w:r>
              <w:rPr>
                <w:b/>
              </w:rPr>
              <w:t>RS</w:t>
            </w:r>
          </w:p>
        </w:tc>
        <w:tc>
          <w:tcPr>
            <w:tcW w:w="851" w:type="dxa"/>
            <w:shd w:val="clear" w:color="auto" w:fill="auto"/>
          </w:tcPr>
          <w:p w:rsidR="00AD178F" w:rsidRPr="0044468F" w:rsidRDefault="000B37BC" w:rsidP="009A1443">
            <w:pPr>
              <w:rPr>
                <w:b/>
                <w:color w:val="FF0000"/>
              </w:rPr>
            </w:pPr>
            <w:r>
              <w:rPr>
                <w:b/>
                <w:color w:val="FF0000"/>
              </w:rPr>
              <w:t>ASAP</w:t>
            </w:r>
          </w:p>
        </w:tc>
      </w:tr>
      <w:tr w:rsidR="00F84C0D" w:rsidRPr="00745BAC" w:rsidTr="00F2546C">
        <w:tc>
          <w:tcPr>
            <w:tcW w:w="1447" w:type="dxa"/>
            <w:gridSpan w:val="2"/>
          </w:tcPr>
          <w:p w:rsidR="00F84C0D" w:rsidRPr="00F84C0D" w:rsidRDefault="00382839" w:rsidP="005B37E2">
            <w:pPr>
              <w:rPr>
                <w:b/>
              </w:rPr>
            </w:pPr>
            <w:r>
              <w:rPr>
                <w:b/>
              </w:rPr>
              <w:t>AOB</w:t>
            </w:r>
          </w:p>
        </w:tc>
        <w:tc>
          <w:tcPr>
            <w:tcW w:w="9356" w:type="dxa"/>
            <w:shd w:val="clear" w:color="auto" w:fill="auto"/>
          </w:tcPr>
          <w:p w:rsidR="00C24E4A" w:rsidRDefault="00C24E4A" w:rsidP="00FA72E0">
            <w:pPr>
              <w:jc w:val="both"/>
            </w:pPr>
            <w:r>
              <w:t xml:space="preserve">SR raised the issue of succession planning for the KHG EXB when some existing members may step down from their current roles and maintaining of overall membership.   There was a discussion about the offer of KHG and legacy work of the group to forward plan for a change in personnel.    For local authorities the focus can be through the Kent Leaders and Chiefs and leadership from top down and </w:t>
            </w:r>
            <w:r>
              <w:lastRenderedPageBreak/>
              <w:t xml:space="preserve">the relevance of the group.  </w:t>
            </w:r>
            <w:r w:rsidR="0053009D">
              <w:t>KMHS development and completion will focus the group and membership.</w:t>
            </w:r>
            <w:r w:rsidR="0026606F">
              <w:t xml:space="preserve">  It is key to deliver on the marketing of the group and delivery of the strategy.  </w:t>
            </w:r>
          </w:p>
          <w:p w:rsidR="0026606F" w:rsidRDefault="0026606F" w:rsidP="00FA72E0">
            <w:pPr>
              <w:jc w:val="both"/>
            </w:pPr>
          </w:p>
          <w:p w:rsidR="00903EEA" w:rsidRDefault="00903EEA" w:rsidP="00FA72E0">
            <w:pPr>
              <w:jc w:val="both"/>
            </w:pPr>
            <w:r>
              <w:t xml:space="preserve">SS agreed to develop a creative brief for KHG to share with contacts in PR.  </w:t>
            </w:r>
          </w:p>
          <w:p w:rsidR="00E13226" w:rsidRDefault="00E13226" w:rsidP="00FA72E0">
            <w:pPr>
              <w:jc w:val="both"/>
            </w:pPr>
          </w:p>
          <w:p w:rsidR="00E13226" w:rsidRDefault="00E13226" w:rsidP="00FA72E0">
            <w:pPr>
              <w:jc w:val="both"/>
            </w:pPr>
            <w:r>
              <w:t xml:space="preserve">Need to commence work around nominations for a new LA Vice Chair.  </w:t>
            </w:r>
          </w:p>
          <w:p w:rsidR="00E13226" w:rsidRDefault="00E13226" w:rsidP="00FA72E0">
            <w:pPr>
              <w:jc w:val="both"/>
            </w:pPr>
          </w:p>
          <w:p w:rsidR="00E13226" w:rsidRPr="00745BAC" w:rsidRDefault="00E13226" w:rsidP="00FA72E0">
            <w:pPr>
              <w:jc w:val="both"/>
            </w:pPr>
            <w:r>
              <w:t>DW mentioned the Increase Project, Optivo are leading on this, Pop Up Business Schools are part of this, through the Increase funding the PUBS only have fundi</w:t>
            </w:r>
            <w:r w:rsidR="008E0E8A">
              <w:t>ng for a one week course, do KHG agree to use the circulation list to ascertain if other organisations would support the project through funding.</w:t>
            </w:r>
          </w:p>
        </w:tc>
        <w:tc>
          <w:tcPr>
            <w:tcW w:w="3543" w:type="dxa"/>
            <w:shd w:val="clear" w:color="auto" w:fill="auto"/>
          </w:tcPr>
          <w:p w:rsidR="006B7F23" w:rsidRDefault="00C24E4A" w:rsidP="00FA72E0">
            <w:pPr>
              <w:rPr>
                <w:b/>
              </w:rPr>
            </w:pPr>
            <w:r>
              <w:rPr>
                <w:b/>
              </w:rPr>
              <w:lastRenderedPageBreak/>
              <w:t>Agreed each KHG EXB member responsible for sharing the benefits of KHG and the role/value of the group</w:t>
            </w:r>
          </w:p>
          <w:p w:rsidR="00F2546C" w:rsidRDefault="00F2546C" w:rsidP="00FA72E0">
            <w:pPr>
              <w:rPr>
                <w:b/>
              </w:rPr>
            </w:pPr>
            <w:r>
              <w:rPr>
                <w:b/>
              </w:rPr>
              <w:lastRenderedPageBreak/>
              <w:t>Agreed to consider working with a PR expert on brand, marketing and website for a small period of time.  Colleagues to share details of contacts for this piece of work.</w:t>
            </w:r>
          </w:p>
          <w:p w:rsidR="00F2546C" w:rsidRDefault="00F2546C" w:rsidP="00FA72E0">
            <w:pPr>
              <w:rPr>
                <w:b/>
              </w:rPr>
            </w:pPr>
          </w:p>
          <w:p w:rsidR="00E13226" w:rsidRDefault="00E13226" w:rsidP="00FA72E0">
            <w:pPr>
              <w:rPr>
                <w:b/>
              </w:rPr>
            </w:pPr>
          </w:p>
          <w:p w:rsidR="008E0E8A" w:rsidRPr="00F4268A" w:rsidRDefault="008E0E8A" w:rsidP="00FA72E0">
            <w:pPr>
              <w:rPr>
                <w:b/>
              </w:rPr>
            </w:pPr>
            <w:r>
              <w:rPr>
                <w:b/>
              </w:rPr>
              <w:t>It was agreed and DW to make contact with RS to get this set up</w:t>
            </w:r>
          </w:p>
        </w:tc>
        <w:tc>
          <w:tcPr>
            <w:tcW w:w="709" w:type="dxa"/>
            <w:shd w:val="clear" w:color="auto" w:fill="auto"/>
          </w:tcPr>
          <w:p w:rsidR="007A3F60" w:rsidRDefault="00C24E4A" w:rsidP="00D131A0">
            <w:pPr>
              <w:jc w:val="both"/>
              <w:rPr>
                <w:b/>
              </w:rPr>
            </w:pPr>
            <w:r>
              <w:rPr>
                <w:b/>
              </w:rPr>
              <w:lastRenderedPageBreak/>
              <w:t>ALL</w:t>
            </w:r>
          </w:p>
          <w:p w:rsidR="00F2546C" w:rsidRDefault="00F2546C" w:rsidP="00D131A0">
            <w:pPr>
              <w:jc w:val="both"/>
              <w:rPr>
                <w:b/>
              </w:rPr>
            </w:pPr>
          </w:p>
          <w:p w:rsidR="00F2546C" w:rsidRDefault="00F2546C" w:rsidP="00D131A0">
            <w:pPr>
              <w:jc w:val="both"/>
              <w:rPr>
                <w:b/>
              </w:rPr>
            </w:pPr>
          </w:p>
          <w:p w:rsidR="00F2546C" w:rsidRDefault="00F2546C" w:rsidP="00D131A0">
            <w:pPr>
              <w:jc w:val="both"/>
              <w:rPr>
                <w:b/>
              </w:rPr>
            </w:pPr>
          </w:p>
          <w:p w:rsidR="00F2546C" w:rsidRDefault="00F2546C" w:rsidP="00D131A0">
            <w:pPr>
              <w:jc w:val="both"/>
              <w:rPr>
                <w:b/>
              </w:rPr>
            </w:pPr>
            <w:r>
              <w:rPr>
                <w:b/>
              </w:rPr>
              <w:lastRenderedPageBreak/>
              <w:t>RS/</w:t>
            </w:r>
          </w:p>
          <w:p w:rsidR="00F2546C" w:rsidRDefault="00F2546C" w:rsidP="00D131A0">
            <w:pPr>
              <w:jc w:val="both"/>
              <w:rPr>
                <w:b/>
              </w:rPr>
            </w:pPr>
            <w:r>
              <w:rPr>
                <w:b/>
              </w:rPr>
              <w:t>SR</w:t>
            </w:r>
          </w:p>
          <w:p w:rsidR="008E0E8A" w:rsidRDefault="008E0E8A" w:rsidP="00D131A0">
            <w:pPr>
              <w:jc w:val="both"/>
              <w:rPr>
                <w:b/>
              </w:rPr>
            </w:pPr>
          </w:p>
          <w:p w:rsidR="008E0E8A" w:rsidRDefault="008E0E8A" w:rsidP="00D131A0">
            <w:pPr>
              <w:jc w:val="both"/>
              <w:rPr>
                <w:b/>
              </w:rPr>
            </w:pPr>
          </w:p>
          <w:p w:rsidR="008E0E8A" w:rsidRDefault="008E0E8A" w:rsidP="00D131A0">
            <w:pPr>
              <w:jc w:val="both"/>
              <w:rPr>
                <w:b/>
              </w:rPr>
            </w:pPr>
          </w:p>
          <w:p w:rsidR="008E0E8A" w:rsidRDefault="008E0E8A" w:rsidP="00D131A0">
            <w:pPr>
              <w:jc w:val="both"/>
              <w:rPr>
                <w:b/>
              </w:rPr>
            </w:pPr>
          </w:p>
          <w:p w:rsidR="008E0E8A" w:rsidRDefault="008E0E8A" w:rsidP="00D131A0">
            <w:pPr>
              <w:jc w:val="both"/>
              <w:rPr>
                <w:b/>
              </w:rPr>
            </w:pPr>
          </w:p>
          <w:p w:rsidR="008E0E8A" w:rsidRPr="0044468F" w:rsidRDefault="008E0E8A" w:rsidP="00D131A0">
            <w:pPr>
              <w:jc w:val="both"/>
              <w:rPr>
                <w:b/>
              </w:rPr>
            </w:pPr>
            <w:r>
              <w:rPr>
                <w:b/>
              </w:rPr>
              <w:t>DW/ RS</w:t>
            </w:r>
          </w:p>
        </w:tc>
        <w:tc>
          <w:tcPr>
            <w:tcW w:w="851" w:type="dxa"/>
            <w:shd w:val="clear" w:color="auto" w:fill="auto"/>
          </w:tcPr>
          <w:p w:rsidR="00446E93" w:rsidRDefault="00446E93" w:rsidP="009A1443">
            <w:pPr>
              <w:rPr>
                <w:b/>
                <w:color w:val="FF0000"/>
              </w:rPr>
            </w:pPr>
          </w:p>
          <w:p w:rsidR="00F2546C" w:rsidRDefault="00F2546C" w:rsidP="009A1443">
            <w:pPr>
              <w:rPr>
                <w:b/>
                <w:color w:val="FF0000"/>
              </w:rPr>
            </w:pPr>
          </w:p>
          <w:p w:rsidR="00F2546C" w:rsidRDefault="00F2546C" w:rsidP="009A1443">
            <w:pPr>
              <w:rPr>
                <w:b/>
                <w:color w:val="FF0000"/>
              </w:rPr>
            </w:pPr>
          </w:p>
          <w:p w:rsidR="00F2546C" w:rsidRDefault="00F2546C" w:rsidP="009A1443">
            <w:pPr>
              <w:rPr>
                <w:b/>
                <w:color w:val="FF0000"/>
              </w:rPr>
            </w:pPr>
          </w:p>
          <w:p w:rsidR="00F2546C" w:rsidRDefault="00F2546C" w:rsidP="009A1443">
            <w:pPr>
              <w:rPr>
                <w:b/>
                <w:color w:val="FF0000"/>
              </w:rPr>
            </w:pPr>
            <w:r>
              <w:rPr>
                <w:b/>
                <w:color w:val="FF0000"/>
              </w:rPr>
              <w:lastRenderedPageBreak/>
              <w:t>By 12</w:t>
            </w:r>
            <w:r w:rsidRPr="00F2546C">
              <w:rPr>
                <w:b/>
                <w:color w:val="FF0000"/>
                <w:vertAlign w:val="superscript"/>
              </w:rPr>
              <w:t>th</w:t>
            </w:r>
            <w:r>
              <w:rPr>
                <w:b/>
                <w:color w:val="FF0000"/>
              </w:rPr>
              <w:t xml:space="preserve"> Oct 18</w:t>
            </w:r>
          </w:p>
          <w:p w:rsidR="008E0E8A" w:rsidRDefault="008E0E8A" w:rsidP="009A1443">
            <w:pPr>
              <w:rPr>
                <w:b/>
                <w:color w:val="FF0000"/>
              </w:rPr>
            </w:pPr>
          </w:p>
          <w:p w:rsidR="008E0E8A" w:rsidRDefault="008E0E8A" w:rsidP="009A1443">
            <w:pPr>
              <w:rPr>
                <w:b/>
                <w:color w:val="FF0000"/>
              </w:rPr>
            </w:pPr>
          </w:p>
          <w:p w:rsidR="008E0E8A" w:rsidRDefault="008E0E8A" w:rsidP="009A1443">
            <w:pPr>
              <w:rPr>
                <w:b/>
                <w:color w:val="FF0000"/>
              </w:rPr>
            </w:pPr>
          </w:p>
          <w:p w:rsidR="008E0E8A" w:rsidRDefault="008E0E8A" w:rsidP="009A1443">
            <w:pPr>
              <w:rPr>
                <w:b/>
                <w:color w:val="FF0000"/>
              </w:rPr>
            </w:pPr>
          </w:p>
          <w:p w:rsidR="008E0E8A" w:rsidRDefault="008E0E8A" w:rsidP="009A1443">
            <w:pPr>
              <w:rPr>
                <w:b/>
                <w:color w:val="FF0000"/>
              </w:rPr>
            </w:pPr>
          </w:p>
          <w:p w:rsidR="008E0E8A" w:rsidRPr="0044468F" w:rsidRDefault="008E0E8A" w:rsidP="009A1443">
            <w:pPr>
              <w:rPr>
                <w:b/>
                <w:color w:val="FF0000"/>
              </w:rPr>
            </w:pPr>
            <w:r>
              <w:rPr>
                <w:b/>
                <w:color w:val="FF0000"/>
              </w:rPr>
              <w:t>By 8</w:t>
            </w:r>
            <w:r w:rsidRPr="008E0E8A">
              <w:rPr>
                <w:b/>
                <w:color w:val="FF0000"/>
                <w:vertAlign w:val="superscript"/>
              </w:rPr>
              <w:t>th</w:t>
            </w:r>
            <w:r>
              <w:rPr>
                <w:b/>
                <w:color w:val="FF0000"/>
              </w:rPr>
              <w:t xml:space="preserve"> Oct 18</w:t>
            </w:r>
          </w:p>
        </w:tc>
      </w:tr>
    </w:tbl>
    <w:p w:rsidR="00946969" w:rsidRDefault="00E42640">
      <w:r>
        <w:lastRenderedPageBreak/>
        <w:t xml:space="preserve"> </w:t>
      </w:r>
    </w:p>
    <w:p w:rsidR="00443F82" w:rsidRPr="00700FF2" w:rsidRDefault="00E42640">
      <w:pPr>
        <w:rPr>
          <w:b/>
          <w:i/>
          <w:sz w:val="24"/>
        </w:rPr>
      </w:pPr>
      <w:r w:rsidRPr="00700FF2">
        <w:rPr>
          <w:b/>
          <w:i/>
          <w:sz w:val="24"/>
        </w:rPr>
        <w:t>Thanks not</w:t>
      </w:r>
      <w:r w:rsidR="00DB38AF" w:rsidRPr="00700FF2">
        <w:rPr>
          <w:b/>
          <w:i/>
          <w:sz w:val="24"/>
        </w:rPr>
        <w:t>ed to</w:t>
      </w:r>
      <w:r w:rsidR="004D48DD">
        <w:rPr>
          <w:b/>
          <w:i/>
          <w:sz w:val="24"/>
        </w:rPr>
        <w:t xml:space="preserve"> Kent County Council </w:t>
      </w:r>
      <w:r w:rsidR="006F3586" w:rsidRPr="00700FF2">
        <w:rPr>
          <w:b/>
          <w:i/>
          <w:sz w:val="24"/>
        </w:rPr>
        <w:t>for hosting</w:t>
      </w:r>
      <w:bookmarkStart w:id="0" w:name="_GoBack"/>
      <w:bookmarkEnd w:id="0"/>
    </w:p>
    <w:sectPr w:rsidR="00443F82" w:rsidRPr="00700FF2" w:rsidSect="00FA72E0">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E3" w:rsidRDefault="008213E3" w:rsidP="001D0582">
      <w:pPr>
        <w:spacing w:after="0" w:line="240" w:lineRule="auto"/>
      </w:pPr>
      <w:r>
        <w:separator/>
      </w:r>
    </w:p>
  </w:endnote>
  <w:endnote w:type="continuationSeparator" w:id="0">
    <w:p w:rsidR="008213E3" w:rsidRDefault="008213E3"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E2" w:rsidRDefault="005B3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5B37E2" w:rsidRDefault="005B37E2">
        <w:pPr>
          <w:pStyle w:val="Footer"/>
          <w:jc w:val="right"/>
        </w:pPr>
        <w:r>
          <w:fldChar w:fldCharType="begin"/>
        </w:r>
        <w:r>
          <w:instrText xml:space="preserve"> PAGE   \* MERGEFORMAT </w:instrText>
        </w:r>
        <w:r>
          <w:fldChar w:fldCharType="separate"/>
        </w:r>
        <w:r w:rsidR="00737910">
          <w:rPr>
            <w:noProof/>
          </w:rPr>
          <w:t>4</w:t>
        </w:r>
        <w:r>
          <w:rPr>
            <w:noProof/>
          </w:rPr>
          <w:fldChar w:fldCharType="end"/>
        </w:r>
      </w:p>
    </w:sdtContent>
  </w:sdt>
  <w:p w:rsidR="005B37E2" w:rsidRDefault="005B3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E2" w:rsidRDefault="005B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E3" w:rsidRDefault="008213E3" w:rsidP="001D0582">
      <w:pPr>
        <w:spacing w:after="0" w:line="240" w:lineRule="auto"/>
      </w:pPr>
      <w:r>
        <w:separator/>
      </w:r>
    </w:p>
  </w:footnote>
  <w:footnote w:type="continuationSeparator" w:id="0">
    <w:p w:rsidR="008213E3" w:rsidRDefault="008213E3"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E2" w:rsidRDefault="005B3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5B37E2" w:rsidRDefault="0073791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E2" w:rsidRDefault="005B3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F6E7B"/>
    <w:multiLevelType w:val="hybridMultilevel"/>
    <w:tmpl w:val="5FA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26015"/>
    <w:rsid w:val="00056E50"/>
    <w:rsid w:val="00061235"/>
    <w:rsid w:val="000718CE"/>
    <w:rsid w:val="0008504B"/>
    <w:rsid w:val="000871E7"/>
    <w:rsid w:val="0009360A"/>
    <w:rsid w:val="00094B7F"/>
    <w:rsid w:val="00094D7E"/>
    <w:rsid w:val="00095958"/>
    <w:rsid w:val="000A0F9B"/>
    <w:rsid w:val="000A51E4"/>
    <w:rsid w:val="000B37BC"/>
    <w:rsid w:val="000B4C89"/>
    <w:rsid w:val="000C09FD"/>
    <w:rsid w:val="000D2680"/>
    <w:rsid w:val="000D6797"/>
    <w:rsid w:val="000D7DC9"/>
    <w:rsid w:val="000E07A2"/>
    <w:rsid w:val="000E09FF"/>
    <w:rsid w:val="000E1AF4"/>
    <w:rsid w:val="000E5093"/>
    <w:rsid w:val="000E6197"/>
    <w:rsid w:val="00111B2B"/>
    <w:rsid w:val="00115336"/>
    <w:rsid w:val="001262F3"/>
    <w:rsid w:val="00127ED4"/>
    <w:rsid w:val="00130B92"/>
    <w:rsid w:val="001439DD"/>
    <w:rsid w:val="001475A9"/>
    <w:rsid w:val="00150D2E"/>
    <w:rsid w:val="00156EA5"/>
    <w:rsid w:val="0015797E"/>
    <w:rsid w:val="001619B8"/>
    <w:rsid w:val="00167755"/>
    <w:rsid w:val="00182CF3"/>
    <w:rsid w:val="001871AC"/>
    <w:rsid w:val="001965ED"/>
    <w:rsid w:val="001A1975"/>
    <w:rsid w:val="001A7B79"/>
    <w:rsid w:val="001D0582"/>
    <w:rsid w:val="001D0BC3"/>
    <w:rsid w:val="001D29B6"/>
    <w:rsid w:val="001D54FF"/>
    <w:rsid w:val="001E2BC1"/>
    <w:rsid w:val="001E64E8"/>
    <w:rsid w:val="001F0061"/>
    <w:rsid w:val="00200B68"/>
    <w:rsid w:val="002147E0"/>
    <w:rsid w:val="00222A5F"/>
    <w:rsid w:val="00243F4C"/>
    <w:rsid w:val="002479D5"/>
    <w:rsid w:val="00262705"/>
    <w:rsid w:val="00263920"/>
    <w:rsid w:val="0026606F"/>
    <w:rsid w:val="002718DD"/>
    <w:rsid w:val="00271F22"/>
    <w:rsid w:val="00274D25"/>
    <w:rsid w:val="00286D9A"/>
    <w:rsid w:val="00293C7B"/>
    <w:rsid w:val="002A3DDB"/>
    <w:rsid w:val="002B184E"/>
    <w:rsid w:val="002C4971"/>
    <w:rsid w:val="002C521E"/>
    <w:rsid w:val="002D5999"/>
    <w:rsid w:val="002E1DBC"/>
    <w:rsid w:val="00301FE5"/>
    <w:rsid w:val="00326228"/>
    <w:rsid w:val="00327C0C"/>
    <w:rsid w:val="0033294D"/>
    <w:rsid w:val="003352B8"/>
    <w:rsid w:val="00336A03"/>
    <w:rsid w:val="00341EA6"/>
    <w:rsid w:val="003636E7"/>
    <w:rsid w:val="00365150"/>
    <w:rsid w:val="00366F8F"/>
    <w:rsid w:val="0037203C"/>
    <w:rsid w:val="003805C2"/>
    <w:rsid w:val="00382839"/>
    <w:rsid w:val="00383D92"/>
    <w:rsid w:val="003900EE"/>
    <w:rsid w:val="00391561"/>
    <w:rsid w:val="003A12E5"/>
    <w:rsid w:val="003C1A94"/>
    <w:rsid w:val="003C7C89"/>
    <w:rsid w:val="003D00ED"/>
    <w:rsid w:val="003E0C3A"/>
    <w:rsid w:val="003E14CE"/>
    <w:rsid w:val="003E3946"/>
    <w:rsid w:val="003F19AE"/>
    <w:rsid w:val="003F5CB0"/>
    <w:rsid w:val="004023DE"/>
    <w:rsid w:val="004048B3"/>
    <w:rsid w:val="004156AB"/>
    <w:rsid w:val="00420F8A"/>
    <w:rsid w:val="004241B5"/>
    <w:rsid w:val="00426472"/>
    <w:rsid w:val="00426A1E"/>
    <w:rsid w:val="00432746"/>
    <w:rsid w:val="004409D4"/>
    <w:rsid w:val="0044178D"/>
    <w:rsid w:val="00443F82"/>
    <w:rsid w:val="0044468F"/>
    <w:rsid w:val="00446E93"/>
    <w:rsid w:val="00447A55"/>
    <w:rsid w:val="00454E00"/>
    <w:rsid w:val="00457DCE"/>
    <w:rsid w:val="00473839"/>
    <w:rsid w:val="00473A8A"/>
    <w:rsid w:val="00475C19"/>
    <w:rsid w:val="00486834"/>
    <w:rsid w:val="004951B9"/>
    <w:rsid w:val="00495785"/>
    <w:rsid w:val="004A500E"/>
    <w:rsid w:val="004C57A0"/>
    <w:rsid w:val="004D1D2D"/>
    <w:rsid w:val="004D48DD"/>
    <w:rsid w:val="004E1D48"/>
    <w:rsid w:val="004E26C4"/>
    <w:rsid w:val="004F3A69"/>
    <w:rsid w:val="004F5847"/>
    <w:rsid w:val="004F7479"/>
    <w:rsid w:val="00510955"/>
    <w:rsid w:val="0051138A"/>
    <w:rsid w:val="0053009D"/>
    <w:rsid w:val="00531C87"/>
    <w:rsid w:val="00540DE2"/>
    <w:rsid w:val="00553E4A"/>
    <w:rsid w:val="00557253"/>
    <w:rsid w:val="0057197C"/>
    <w:rsid w:val="00571F35"/>
    <w:rsid w:val="005755F2"/>
    <w:rsid w:val="00596291"/>
    <w:rsid w:val="005A1A04"/>
    <w:rsid w:val="005A7FF7"/>
    <w:rsid w:val="005B37E2"/>
    <w:rsid w:val="005B73CD"/>
    <w:rsid w:val="005C39F5"/>
    <w:rsid w:val="005C6B6B"/>
    <w:rsid w:val="005D1AB8"/>
    <w:rsid w:val="005D31FF"/>
    <w:rsid w:val="005D68EF"/>
    <w:rsid w:val="00627C17"/>
    <w:rsid w:val="00634F85"/>
    <w:rsid w:val="00640FCB"/>
    <w:rsid w:val="00647CA0"/>
    <w:rsid w:val="00647E0B"/>
    <w:rsid w:val="0066063C"/>
    <w:rsid w:val="00672006"/>
    <w:rsid w:val="00673545"/>
    <w:rsid w:val="006835C0"/>
    <w:rsid w:val="006A001F"/>
    <w:rsid w:val="006A0F46"/>
    <w:rsid w:val="006B3562"/>
    <w:rsid w:val="006B7F23"/>
    <w:rsid w:val="006C0B0E"/>
    <w:rsid w:val="006C22BA"/>
    <w:rsid w:val="006C2977"/>
    <w:rsid w:val="006C353E"/>
    <w:rsid w:val="006C598D"/>
    <w:rsid w:val="006D52CE"/>
    <w:rsid w:val="006E0065"/>
    <w:rsid w:val="006F3586"/>
    <w:rsid w:val="006F3BD7"/>
    <w:rsid w:val="006F73A7"/>
    <w:rsid w:val="00700FF2"/>
    <w:rsid w:val="00702D6B"/>
    <w:rsid w:val="00707E57"/>
    <w:rsid w:val="00730D8F"/>
    <w:rsid w:val="00735129"/>
    <w:rsid w:val="00737910"/>
    <w:rsid w:val="00741436"/>
    <w:rsid w:val="007453CE"/>
    <w:rsid w:val="00745BAC"/>
    <w:rsid w:val="00745EEE"/>
    <w:rsid w:val="007539E7"/>
    <w:rsid w:val="00755AD6"/>
    <w:rsid w:val="007649CC"/>
    <w:rsid w:val="007652BA"/>
    <w:rsid w:val="00766463"/>
    <w:rsid w:val="00790C1F"/>
    <w:rsid w:val="00791545"/>
    <w:rsid w:val="007920E9"/>
    <w:rsid w:val="0079363C"/>
    <w:rsid w:val="007A3F60"/>
    <w:rsid w:val="007A4261"/>
    <w:rsid w:val="007A5862"/>
    <w:rsid w:val="007C081A"/>
    <w:rsid w:val="007D358C"/>
    <w:rsid w:val="007D3984"/>
    <w:rsid w:val="007F0729"/>
    <w:rsid w:val="00804E5C"/>
    <w:rsid w:val="0082091E"/>
    <w:rsid w:val="008213E3"/>
    <w:rsid w:val="00823D16"/>
    <w:rsid w:val="008319F8"/>
    <w:rsid w:val="0083657E"/>
    <w:rsid w:val="00843F80"/>
    <w:rsid w:val="00862957"/>
    <w:rsid w:val="00863010"/>
    <w:rsid w:val="008634D4"/>
    <w:rsid w:val="0087426F"/>
    <w:rsid w:val="00874C16"/>
    <w:rsid w:val="00882841"/>
    <w:rsid w:val="0088348D"/>
    <w:rsid w:val="00883656"/>
    <w:rsid w:val="008B1CA5"/>
    <w:rsid w:val="008B438C"/>
    <w:rsid w:val="008B52B2"/>
    <w:rsid w:val="008D5210"/>
    <w:rsid w:val="008D6278"/>
    <w:rsid w:val="008E0E8A"/>
    <w:rsid w:val="008E2978"/>
    <w:rsid w:val="008E7E63"/>
    <w:rsid w:val="008F2C58"/>
    <w:rsid w:val="008F7807"/>
    <w:rsid w:val="00903EEA"/>
    <w:rsid w:val="00905451"/>
    <w:rsid w:val="009060F9"/>
    <w:rsid w:val="00911690"/>
    <w:rsid w:val="0092551E"/>
    <w:rsid w:val="00933209"/>
    <w:rsid w:val="00935121"/>
    <w:rsid w:val="00942A41"/>
    <w:rsid w:val="00946969"/>
    <w:rsid w:val="00951585"/>
    <w:rsid w:val="00957B5B"/>
    <w:rsid w:val="00961AEB"/>
    <w:rsid w:val="009724CF"/>
    <w:rsid w:val="00985443"/>
    <w:rsid w:val="00996D1A"/>
    <w:rsid w:val="009A10A2"/>
    <w:rsid w:val="009A1443"/>
    <w:rsid w:val="009A59AF"/>
    <w:rsid w:val="009A6D5F"/>
    <w:rsid w:val="009A7BEE"/>
    <w:rsid w:val="009D06FB"/>
    <w:rsid w:val="009D5CF9"/>
    <w:rsid w:val="009D6110"/>
    <w:rsid w:val="009E732B"/>
    <w:rsid w:val="009F6A91"/>
    <w:rsid w:val="00A04CDE"/>
    <w:rsid w:val="00A0569E"/>
    <w:rsid w:val="00A20A77"/>
    <w:rsid w:val="00A242DE"/>
    <w:rsid w:val="00A2502B"/>
    <w:rsid w:val="00A274D3"/>
    <w:rsid w:val="00A41B69"/>
    <w:rsid w:val="00A74FDB"/>
    <w:rsid w:val="00A7735F"/>
    <w:rsid w:val="00A91826"/>
    <w:rsid w:val="00AA336E"/>
    <w:rsid w:val="00AB264A"/>
    <w:rsid w:val="00AC1941"/>
    <w:rsid w:val="00AC5535"/>
    <w:rsid w:val="00AD178F"/>
    <w:rsid w:val="00AD242F"/>
    <w:rsid w:val="00AD4213"/>
    <w:rsid w:val="00AD4D11"/>
    <w:rsid w:val="00AD5B06"/>
    <w:rsid w:val="00AF7A24"/>
    <w:rsid w:val="00B35E38"/>
    <w:rsid w:val="00B439C4"/>
    <w:rsid w:val="00B469BF"/>
    <w:rsid w:val="00B60719"/>
    <w:rsid w:val="00B645A0"/>
    <w:rsid w:val="00B666CB"/>
    <w:rsid w:val="00B77576"/>
    <w:rsid w:val="00B8529C"/>
    <w:rsid w:val="00B85D47"/>
    <w:rsid w:val="00BA4C5F"/>
    <w:rsid w:val="00BB2AAD"/>
    <w:rsid w:val="00BC4715"/>
    <w:rsid w:val="00BC7803"/>
    <w:rsid w:val="00BD3568"/>
    <w:rsid w:val="00BE1B39"/>
    <w:rsid w:val="00BE5D7D"/>
    <w:rsid w:val="00BF07DA"/>
    <w:rsid w:val="00BF1298"/>
    <w:rsid w:val="00BF31E9"/>
    <w:rsid w:val="00BF76C5"/>
    <w:rsid w:val="00C04AB6"/>
    <w:rsid w:val="00C06557"/>
    <w:rsid w:val="00C127AE"/>
    <w:rsid w:val="00C12F1B"/>
    <w:rsid w:val="00C14626"/>
    <w:rsid w:val="00C15B6E"/>
    <w:rsid w:val="00C15D03"/>
    <w:rsid w:val="00C24E4A"/>
    <w:rsid w:val="00C25D6D"/>
    <w:rsid w:val="00C3309B"/>
    <w:rsid w:val="00C3693C"/>
    <w:rsid w:val="00C662A8"/>
    <w:rsid w:val="00C70D27"/>
    <w:rsid w:val="00C9361D"/>
    <w:rsid w:val="00C968FD"/>
    <w:rsid w:val="00CA27E0"/>
    <w:rsid w:val="00CC5D2C"/>
    <w:rsid w:val="00CD3142"/>
    <w:rsid w:val="00CE0030"/>
    <w:rsid w:val="00CF109C"/>
    <w:rsid w:val="00D039DC"/>
    <w:rsid w:val="00D06BDB"/>
    <w:rsid w:val="00D131A0"/>
    <w:rsid w:val="00D22817"/>
    <w:rsid w:val="00D3313F"/>
    <w:rsid w:val="00D4564F"/>
    <w:rsid w:val="00D458A0"/>
    <w:rsid w:val="00D55D11"/>
    <w:rsid w:val="00D55EE3"/>
    <w:rsid w:val="00D5721B"/>
    <w:rsid w:val="00D75B11"/>
    <w:rsid w:val="00D766BE"/>
    <w:rsid w:val="00D8088B"/>
    <w:rsid w:val="00D86C0A"/>
    <w:rsid w:val="00D942B4"/>
    <w:rsid w:val="00DA6DBA"/>
    <w:rsid w:val="00DB192B"/>
    <w:rsid w:val="00DB2E80"/>
    <w:rsid w:val="00DB38AF"/>
    <w:rsid w:val="00DB7928"/>
    <w:rsid w:val="00DC3FBE"/>
    <w:rsid w:val="00DC5AC6"/>
    <w:rsid w:val="00DE6832"/>
    <w:rsid w:val="00DF2FAC"/>
    <w:rsid w:val="00DF3888"/>
    <w:rsid w:val="00DF74F2"/>
    <w:rsid w:val="00E06139"/>
    <w:rsid w:val="00E12356"/>
    <w:rsid w:val="00E128D7"/>
    <w:rsid w:val="00E13226"/>
    <w:rsid w:val="00E42640"/>
    <w:rsid w:val="00E45720"/>
    <w:rsid w:val="00E71FF5"/>
    <w:rsid w:val="00E763C8"/>
    <w:rsid w:val="00E80552"/>
    <w:rsid w:val="00E805A7"/>
    <w:rsid w:val="00E87B2C"/>
    <w:rsid w:val="00E87E27"/>
    <w:rsid w:val="00E97198"/>
    <w:rsid w:val="00E97F02"/>
    <w:rsid w:val="00EB1CF0"/>
    <w:rsid w:val="00EB3174"/>
    <w:rsid w:val="00EB462A"/>
    <w:rsid w:val="00EC0889"/>
    <w:rsid w:val="00EC3E5A"/>
    <w:rsid w:val="00EC630B"/>
    <w:rsid w:val="00ED7102"/>
    <w:rsid w:val="00EE0E30"/>
    <w:rsid w:val="00F059F1"/>
    <w:rsid w:val="00F2546C"/>
    <w:rsid w:val="00F25D3B"/>
    <w:rsid w:val="00F4268A"/>
    <w:rsid w:val="00F42D58"/>
    <w:rsid w:val="00F4695A"/>
    <w:rsid w:val="00F47DC4"/>
    <w:rsid w:val="00F513B0"/>
    <w:rsid w:val="00F5727A"/>
    <w:rsid w:val="00F5735D"/>
    <w:rsid w:val="00F84C0D"/>
    <w:rsid w:val="00FA72E0"/>
    <w:rsid w:val="00FB113B"/>
    <w:rsid w:val="00FB16A2"/>
    <w:rsid w:val="00FB47D9"/>
    <w:rsid w:val="00FC1D08"/>
    <w:rsid w:val="00FC297D"/>
    <w:rsid w:val="00FC77C1"/>
    <w:rsid w:val="00FD0151"/>
    <w:rsid w:val="00FD5B84"/>
    <w:rsid w:val="00FD7444"/>
    <w:rsid w:val="00FE4392"/>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1B8899"/>
  <w15:docId w15:val="{EBA61F5E-76F6-4F7F-9815-E5CE9261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a.guthrie@kent.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3915564.dotm</Template>
  <TotalTime>1</TotalTime>
  <Pages>4</Pages>
  <Words>1521</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2018-10-04T08:19:00Z</dcterms:created>
  <dcterms:modified xsi:type="dcterms:W3CDTF">2018-10-04T08:19:00Z</dcterms:modified>
</cp:coreProperties>
</file>