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82" w:rsidRPr="00AD0CA6" w:rsidRDefault="004F4E82" w:rsidP="003E0B3B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870"/>
        <w:gridCol w:w="3012"/>
        <w:gridCol w:w="3006"/>
        <w:gridCol w:w="5286"/>
      </w:tblGrid>
      <w:tr w:rsidR="004F4E82" w:rsidRPr="00AD0CA6" w:rsidTr="004F4E82">
        <w:tc>
          <w:tcPr>
            <w:tcW w:w="3543" w:type="dxa"/>
          </w:tcPr>
          <w:p w:rsidR="004F4E82" w:rsidRPr="00AD0CA6" w:rsidRDefault="004F4E82" w:rsidP="003E0B3B">
            <w:pPr>
              <w:rPr>
                <w:b/>
                <w:sz w:val="28"/>
                <w:szCs w:val="28"/>
              </w:rPr>
            </w:pPr>
            <w:r w:rsidRPr="00AD0CA6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543" w:type="dxa"/>
          </w:tcPr>
          <w:p w:rsidR="004F4E82" w:rsidRPr="00AD0CA6" w:rsidRDefault="004F4E82" w:rsidP="003E0B3B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F4E82" w:rsidRPr="00AD0CA6" w:rsidRDefault="004F4E82" w:rsidP="00AD0CA6">
            <w:pPr>
              <w:rPr>
                <w:b/>
                <w:sz w:val="28"/>
                <w:szCs w:val="28"/>
              </w:rPr>
            </w:pPr>
            <w:r w:rsidRPr="00AD0CA6">
              <w:rPr>
                <w:b/>
                <w:sz w:val="28"/>
                <w:szCs w:val="28"/>
              </w:rPr>
              <w:t>WHAT ACTION IS REQUIRED</w:t>
            </w:r>
            <w:r w:rsidR="0068684D" w:rsidRPr="00AD0CA6">
              <w:rPr>
                <w:b/>
                <w:sz w:val="28"/>
                <w:szCs w:val="28"/>
              </w:rPr>
              <w:t xml:space="preserve"> &amp; </w:t>
            </w:r>
            <w:r w:rsidR="00AD0CA6">
              <w:rPr>
                <w:b/>
                <w:sz w:val="28"/>
                <w:szCs w:val="28"/>
              </w:rPr>
              <w:t>BY WHO</w:t>
            </w:r>
          </w:p>
        </w:tc>
        <w:tc>
          <w:tcPr>
            <w:tcW w:w="3544" w:type="dxa"/>
          </w:tcPr>
          <w:p w:rsidR="004F4E82" w:rsidRPr="00AD0CA6" w:rsidRDefault="00AD0CA6" w:rsidP="003E0B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UPDATES  &amp; </w:t>
            </w:r>
            <w:r w:rsidRPr="00AD0CA6">
              <w:rPr>
                <w:b/>
                <w:sz w:val="28"/>
                <w:szCs w:val="28"/>
              </w:rPr>
              <w:t>ACTION COMPLTED</w:t>
            </w:r>
          </w:p>
        </w:tc>
      </w:tr>
      <w:tr w:rsidR="004F4E82" w:rsidTr="004F4E82">
        <w:tc>
          <w:tcPr>
            <w:tcW w:w="3543" w:type="dxa"/>
          </w:tcPr>
          <w:p w:rsidR="007826A7" w:rsidRPr="002B1572" w:rsidRDefault="007826A7" w:rsidP="007826A7">
            <w:pPr>
              <w:rPr>
                <w:b/>
                <w:u w:val="single"/>
              </w:rPr>
            </w:pPr>
            <w:r w:rsidRPr="002B1572">
              <w:rPr>
                <w:b/>
                <w:u w:val="single"/>
              </w:rPr>
              <w:t>SET UP</w:t>
            </w:r>
          </w:p>
          <w:p w:rsidR="004F4E82" w:rsidRDefault="004F4E82" w:rsidP="003E0B3B"/>
        </w:tc>
        <w:tc>
          <w:tcPr>
            <w:tcW w:w="3543" w:type="dxa"/>
          </w:tcPr>
          <w:p w:rsidR="004F4E82" w:rsidRDefault="0068684D" w:rsidP="003E0B3B">
            <w:r>
              <w:t xml:space="preserve">Identify the local need. </w:t>
            </w:r>
            <w:r w:rsidR="004F4E82">
              <w:t>Check Housing register</w:t>
            </w:r>
            <w:r w:rsidR="00D11DCC">
              <w:t xml:space="preserve"> data.  Place a general </w:t>
            </w:r>
            <w:r w:rsidR="00486710">
              <w:t>advert</w:t>
            </w:r>
            <w:r w:rsidR="00D11DCC">
              <w:t xml:space="preserve"> for sharers on the CBL system.  </w:t>
            </w:r>
            <w:r w:rsidR="00486710">
              <w:t xml:space="preserve">Check data from the LA regarding numbers of presentations as homeless.  </w:t>
            </w:r>
            <w:r w:rsidR="00D11DCC">
              <w:t xml:space="preserve">Have conversations with </w:t>
            </w:r>
            <w:r w:rsidR="00486710">
              <w:t>local</w:t>
            </w:r>
            <w:r w:rsidR="00D11DCC">
              <w:t xml:space="preserve"> support agencies. </w:t>
            </w:r>
            <w:r w:rsidR="004F4E82">
              <w:t xml:space="preserve"> </w:t>
            </w:r>
          </w:p>
        </w:tc>
        <w:tc>
          <w:tcPr>
            <w:tcW w:w="3544" w:type="dxa"/>
          </w:tcPr>
          <w:p w:rsidR="004F4E82" w:rsidRDefault="00D11DCC" w:rsidP="00D76E59">
            <w:r>
              <w:t xml:space="preserve">Meeting with LA </w:t>
            </w:r>
            <w:r w:rsidR="00486710">
              <w:t>Allocations</w:t>
            </w:r>
            <w:r>
              <w:t xml:space="preserve"> team.</w:t>
            </w:r>
            <w:r w:rsidR="00754228">
              <w:t xml:space="preserve"> </w:t>
            </w:r>
          </w:p>
        </w:tc>
        <w:tc>
          <w:tcPr>
            <w:tcW w:w="3544" w:type="dxa"/>
          </w:tcPr>
          <w:p w:rsidR="004F4E82" w:rsidRDefault="00BF21D2" w:rsidP="00E50DA8">
            <w:r>
              <w:t>Had a meeting with Tracey Chambers &amp; Chris Giles at Medaway Council on 27</w:t>
            </w:r>
            <w:r w:rsidRPr="00BF21D2">
              <w:rPr>
                <w:vertAlign w:val="superscript"/>
              </w:rPr>
              <w:t>th</w:t>
            </w:r>
            <w:r>
              <w:t xml:space="preserve"> July 2017.</w:t>
            </w:r>
            <w:r w:rsidR="009A2D6F">
              <w:t xml:space="preserve">Tracey and Chris both </w:t>
            </w:r>
            <w:r w:rsidR="00E50DA8">
              <w:t xml:space="preserve">are </w:t>
            </w:r>
            <w:r w:rsidR="009A2D6F">
              <w:t>supporting the project and they are keen to see initiatives like this to tackle welfare reform.</w:t>
            </w:r>
          </w:p>
        </w:tc>
      </w:tr>
      <w:tr w:rsidR="004F4E82" w:rsidTr="004F4E82">
        <w:tc>
          <w:tcPr>
            <w:tcW w:w="3543" w:type="dxa"/>
          </w:tcPr>
          <w:p w:rsidR="004F4E82" w:rsidRDefault="004F4E82" w:rsidP="003E0B3B"/>
        </w:tc>
        <w:tc>
          <w:tcPr>
            <w:tcW w:w="3543" w:type="dxa"/>
          </w:tcPr>
          <w:p w:rsidR="004F4E82" w:rsidRDefault="00D11DCC" w:rsidP="003E0B3B">
            <w:r>
              <w:t xml:space="preserve">Establish move options and provision for young </w:t>
            </w:r>
            <w:r w:rsidR="00486710">
              <w:t>people</w:t>
            </w:r>
            <w:r>
              <w:t xml:space="preserve"> by other social housing providers.</w:t>
            </w:r>
          </w:p>
        </w:tc>
        <w:tc>
          <w:tcPr>
            <w:tcW w:w="3544" w:type="dxa"/>
          </w:tcPr>
          <w:p w:rsidR="004F4E82" w:rsidRDefault="00AD0CA6" w:rsidP="003E0B3B">
            <w:r>
              <w:t>Check with LA /SHP</w:t>
            </w:r>
          </w:p>
        </w:tc>
        <w:tc>
          <w:tcPr>
            <w:tcW w:w="3544" w:type="dxa"/>
          </w:tcPr>
          <w:p w:rsidR="004F4E82" w:rsidRDefault="00285AB6" w:rsidP="003E0B3B">
            <w:r>
              <w:t xml:space="preserve">Agreed to get nomination from Medway Council. </w:t>
            </w:r>
          </w:p>
        </w:tc>
      </w:tr>
      <w:tr w:rsidR="004F4E82" w:rsidTr="004F4E82">
        <w:tc>
          <w:tcPr>
            <w:tcW w:w="3543" w:type="dxa"/>
          </w:tcPr>
          <w:p w:rsidR="004F4E82" w:rsidRDefault="004F4E82" w:rsidP="003E0B3B"/>
        </w:tc>
        <w:tc>
          <w:tcPr>
            <w:tcW w:w="3543" w:type="dxa"/>
          </w:tcPr>
          <w:p w:rsidR="004F4E82" w:rsidRDefault="00486710" w:rsidP="003E0B3B">
            <w:r>
              <w:t xml:space="preserve">Assess the local appetite for sharing through conversations with other providers and by conducting focus groups with potential tenant groups. </w:t>
            </w:r>
          </w:p>
        </w:tc>
        <w:tc>
          <w:tcPr>
            <w:tcW w:w="3544" w:type="dxa"/>
          </w:tcPr>
          <w:p w:rsidR="004F4E82" w:rsidRDefault="00D11DCC" w:rsidP="00B44032">
            <w:r>
              <w:t xml:space="preserve"> Focus group for </w:t>
            </w:r>
            <w:r w:rsidR="00B44032">
              <w:t>under</w:t>
            </w:r>
            <w:r>
              <w:t xml:space="preserve"> 35 </w:t>
            </w:r>
            <w:r w:rsidR="00B44032">
              <w:t xml:space="preserve">category </w:t>
            </w:r>
            <w:r w:rsidR="00486710">
              <w:t>residents</w:t>
            </w:r>
            <w:r>
              <w:t>.</w:t>
            </w:r>
          </w:p>
        </w:tc>
        <w:tc>
          <w:tcPr>
            <w:tcW w:w="3544" w:type="dxa"/>
          </w:tcPr>
          <w:p w:rsidR="004F4E82" w:rsidRDefault="00285AB6" w:rsidP="003E0B3B">
            <w:r>
              <w:t>This may be suitable for future projects.</w:t>
            </w:r>
          </w:p>
        </w:tc>
      </w:tr>
      <w:tr w:rsidR="004F4E82" w:rsidTr="004F4E82">
        <w:tc>
          <w:tcPr>
            <w:tcW w:w="3543" w:type="dxa"/>
          </w:tcPr>
          <w:p w:rsidR="004F4E82" w:rsidRDefault="004F4E82" w:rsidP="003E0B3B"/>
        </w:tc>
        <w:tc>
          <w:tcPr>
            <w:tcW w:w="3543" w:type="dxa"/>
          </w:tcPr>
          <w:p w:rsidR="004F4E82" w:rsidRDefault="00486710" w:rsidP="00285AB6">
            <w:r>
              <w:t xml:space="preserve">Establish the model of </w:t>
            </w:r>
            <w:r>
              <w:lastRenderedPageBreak/>
              <w:t xml:space="preserve">sharing </w:t>
            </w:r>
            <w:r w:rsidR="00285AB6">
              <w:t xml:space="preserve">you will use </w:t>
            </w:r>
            <w:r>
              <w:t>(depending on the local need) for training flats and or stranger shares.</w:t>
            </w:r>
          </w:p>
        </w:tc>
        <w:tc>
          <w:tcPr>
            <w:tcW w:w="3544" w:type="dxa"/>
          </w:tcPr>
          <w:p w:rsidR="004F4E82" w:rsidRDefault="00754228" w:rsidP="003E0B3B">
            <w:r>
              <w:lastRenderedPageBreak/>
              <w:t xml:space="preserve">Low support with </w:t>
            </w:r>
            <w:r>
              <w:lastRenderedPageBreak/>
              <w:t>Tenancy Support Officer.</w:t>
            </w:r>
          </w:p>
        </w:tc>
        <w:tc>
          <w:tcPr>
            <w:tcW w:w="3544" w:type="dxa"/>
          </w:tcPr>
          <w:p w:rsidR="004F4E82" w:rsidRDefault="00285AB6" w:rsidP="003E0B3B">
            <w:r>
              <w:lastRenderedPageBreak/>
              <w:t xml:space="preserve">Decided to offer tenancy plus support to </w:t>
            </w:r>
            <w:r>
              <w:lastRenderedPageBreak/>
              <w:t>find employment.</w:t>
            </w:r>
          </w:p>
        </w:tc>
      </w:tr>
      <w:tr w:rsidR="004F4E82" w:rsidTr="004F4E82">
        <w:tc>
          <w:tcPr>
            <w:tcW w:w="3543" w:type="dxa"/>
          </w:tcPr>
          <w:p w:rsidR="004F4E82" w:rsidRDefault="004F4E82" w:rsidP="003E0B3B"/>
        </w:tc>
        <w:tc>
          <w:tcPr>
            <w:tcW w:w="3543" w:type="dxa"/>
          </w:tcPr>
          <w:p w:rsidR="004F4E82" w:rsidRDefault="00D11DCC" w:rsidP="003E0B3B">
            <w:r>
              <w:t xml:space="preserve">Make links with external organisations and specific departments.  These should include Help to Rent </w:t>
            </w:r>
            <w:r w:rsidR="00486710">
              <w:t>Projects</w:t>
            </w:r>
            <w:r>
              <w:t xml:space="preserve">, local advice ad support agencies, local authority housing and </w:t>
            </w:r>
            <w:r w:rsidR="00486710">
              <w:t>homeless</w:t>
            </w:r>
            <w:r>
              <w:t xml:space="preserve"> </w:t>
            </w:r>
            <w:r w:rsidR="00486710">
              <w:t>departments</w:t>
            </w:r>
            <w:r>
              <w:t xml:space="preserve"> and HB/DWP.</w:t>
            </w:r>
          </w:p>
        </w:tc>
        <w:tc>
          <w:tcPr>
            <w:tcW w:w="3544" w:type="dxa"/>
          </w:tcPr>
          <w:p w:rsidR="004F4E82" w:rsidRDefault="00D11DCC" w:rsidP="002B1572">
            <w:r>
              <w:t>Meeting with HB/DWP team</w:t>
            </w:r>
            <w:r w:rsidR="00754228">
              <w:t xml:space="preserve">.  </w:t>
            </w:r>
          </w:p>
        </w:tc>
        <w:tc>
          <w:tcPr>
            <w:tcW w:w="3544" w:type="dxa"/>
          </w:tcPr>
          <w:p w:rsidR="004F4E82" w:rsidRDefault="0088611B" w:rsidP="003E0B3B">
            <w:r>
              <w:t>Discussed with HB and they advised that Russet homes has done similar projects.</w:t>
            </w:r>
            <w:r w:rsidR="00285AB6">
              <w:t xml:space="preserve">  Medway council is happy to support the project.</w:t>
            </w:r>
          </w:p>
        </w:tc>
      </w:tr>
      <w:tr w:rsidR="004F4E82" w:rsidTr="004F4E82">
        <w:tc>
          <w:tcPr>
            <w:tcW w:w="3543" w:type="dxa"/>
          </w:tcPr>
          <w:p w:rsidR="004F4E82" w:rsidRDefault="004F4E82" w:rsidP="003E0B3B"/>
        </w:tc>
        <w:tc>
          <w:tcPr>
            <w:tcW w:w="3543" w:type="dxa"/>
          </w:tcPr>
          <w:p w:rsidR="004F4E82" w:rsidRDefault="00D11DCC" w:rsidP="003E0B3B">
            <w:r>
              <w:t xml:space="preserve">Identify and agree your </w:t>
            </w:r>
            <w:r w:rsidR="00486710">
              <w:t>monitoring</w:t>
            </w:r>
            <w:r>
              <w:t xml:space="preserve"> practice – what hard and soft </w:t>
            </w:r>
            <w:r w:rsidR="00486710">
              <w:t>outcomes</w:t>
            </w:r>
            <w:r>
              <w:t xml:space="preserve"> for reporting</w:t>
            </w:r>
          </w:p>
        </w:tc>
        <w:tc>
          <w:tcPr>
            <w:tcW w:w="3544" w:type="dxa"/>
          </w:tcPr>
          <w:p w:rsidR="004F4E82" w:rsidRDefault="00AD0CA6" w:rsidP="003E0B3B">
            <w:r>
              <w:t>Set up</w:t>
            </w:r>
            <w:r w:rsidR="00D11DCC">
              <w:t xml:space="preserve"> LPI for HMO.</w:t>
            </w:r>
          </w:p>
        </w:tc>
        <w:tc>
          <w:tcPr>
            <w:tcW w:w="3544" w:type="dxa"/>
          </w:tcPr>
          <w:p w:rsidR="00F30A77" w:rsidRPr="00F30A77" w:rsidRDefault="00E50DA8" w:rsidP="00F30A77">
            <w:pPr>
              <w:numPr>
                <w:ilvl w:val="0"/>
                <w:numId w:val="1"/>
              </w:numPr>
              <w:spacing w:after="160" w:line="288" w:lineRule="auto"/>
              <w:contextualSpacing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Customer engagement</w:t>
            </w:r>
          </w:p>
          <w:p w:rsidR="00F30A77" w:rsidRPr="00F30A77" w:rsidRDefault="00F30A77" w:rsidP="00F30A77">
            <w:pPr>
              <w:numPr>
                <w:ilvl w:val="0"/>
                <w:numId w:val="1"/>
              </w:numPr>
              <w:spacing w:after="160" w:line="288" w:lineRule="auto"/>
              <w:contextualSpacing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30A77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Level of ASB</w:t>
            </w:r>
          </w:p>
          <w:p w:rsidR="00F30A77" w:rsidRPr="00F30A77" w:rsidRDefault="00F30A77" w:rsidP="00F30A77">
            <w:pPr>
              <w:numPr>
                <w:ilvl w:val="0"/>
                <w:numId w:val="1"/>
              </w:numPr>
              <w:spacing w:after="160" w:line="288" w:lineRule="auto"/>
              <w:contextualSpacing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30A77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Lettings</w:t>
            </w:r>
          </w:p>
          <w:p w:rsidR="00F30A77" w:rsidRPr="00F30A77" w:rsidRDefault="00F30A77" w:rsidP="00F30A77">
            <w:pPr>
              <w:numPr>
                <w:ilvl w:val="0"/>
                <w:numId w:val="1"/>
              </w:numPr>
              <w:spacing w:after="160" w:line="288" w:lineRule="auto"/>
              <w:contextualSpacing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30A77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Employment support and outcomes</w:t>
            </w:r>
          </w:p>
          <w:p w:rsidR="00F30A77" w:rsidRPr="00F30A77" w:rsidRDefault="00F30A77" w:rsidP="00F30A77">
            <w:pPr>
              <w:numPr>
                <w:ilvl w:val="0"/>
                <w:numId w:val="1"/>
              </w:numPr>
              <w:spacing w:after="160" w:line="288" w:lineRule="auto"/>
              <w:contextualSpacing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30A77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Income collection</w:t>
            </w:r>
          </w:p>
          <w:p w:rsidR="00F30A77" w:rsidRPr="00F30A77" w:rsidRDefault="00F30A77" w:rsidP="00F30A77">
            <w:pPr>
              <w:numPr>
                <w:ilvl w:val="0"/>
                <w:numId w:val="1"/>
              </w:numPr>
              <w:spacing w:after="160" w:line="288" w:lineRule="auto"/>
              <w:contextualSpacing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30A77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Lettings turnaround time.</w:t>
            </w:r>
          </w:p>
          <w:p w:rsidR="004F4E82" w:rsidRDefault="004F4E82" w:rsidP="003E0B3B"/>
        </w:tc>
      </w:tr>
      <w:tr w:rsidR="004F4E82" w:rsidTr="004F4E82">
        <w:tc>
          <w:tcPr>
            <w:tcW w:w="3543" w:type="dxa"/>
          </w:tcPr>
          <w:p w:rsidR="004F4E82" w:rsidRDefault="004F4E82" w:rsidP="003E0B3B"/>
        </w:tc>
        <w:tc>
          <w:tcPr>
            <w:tcW w:w="3543" w:type="dxa"/>
          </w:tcPr>
          <w:p w:rsidR="004F4E82" w:rsidRDefault="00D11DCC" w:rsidP="003E0B3B">
            <w:r>
              <w:t xml:space="preserve">Establish through record keeping </w:t>
            </w:r>
            <w:r w:rsidR="00486710">
              <w:t>practise</w:t>
            </w:r>
            <w:r>
              <w:t xml:space="preserve"> and set regular intervals for reporting.</w:t>
            </w:r>
          </w:p>
        </w:tc>
        <w:tc>
          <w:tcPr>
            <w:tcW w:w="3544" w:type="dxa"/>
          </w:tcPr>
          <w:p w:rsidR="004F4E82" w:rsidRDefault="00D11DCC" w:rsidP="003E0B3B">
            <w:r>
              <w:t>Open housing reports.</w:t>
            </w:r>
          </w:p>
        </w:tc>
        <w:tc>
          <w:tcPr>
            <w:tcW w:w="3544" w:type="dxa"/>
          </w:tcPr>
          <w:p w:rsidR="004F4E82" w:rsidRDefault="00F30A77" w:rsidP="00F30A77">
            <w:r>
              <w:t>Clearview &amp; open housing reports</w:t>
            </w:r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D11DCC" w:rsidP="00D11DCC">
            <w:r>
              <w:t xml:space="preserve">Identify </w:t>
            </w:r>
            <w:r w:rsidR="00486710">
              <w:t>existing</w:t>
            </w:r>
            <w:r>
              <w:t xml:space="preserve"> stock </w:t>
            </w:r>
            <w:r>
              <w:lastRenderedPageBreak/>
              <w:t>which s empty or co</w:t>
            </w:r>
            <w:r w:rsidR="00AD0CA6">
              <w:t>ul</w:t>
            </w:r>
            <w:r>
              <w:t xml:space="preserve">d be reconfigured </w:t>
            </w:r>
            <w:r w:rsidR="00486710">
              <w:t>for</w:t>
            </w:r>
            <w:r>
              <w:t xml:space="preserve"> sharing.  Take into </w:t>
            </w:r>
            <w:r w:rsidR="00486710">
              <w:t>consideration</w:t>
            </w:r>
            <w:r>
              <w:t xml:space="preserve"> any article 4 </w:t>
            </w:r>
            <w:r w:rsidR="00486710">
              <w:t>direction</w:t>
            </w:r>
            <w:r>
              <w:t xml:space="preserve"> restrictions, and </w:t>
            </w:r>
            <w:r w:rsidR="00486710">
              <w:t>location</w:t>
            </w:r>
            <w:r>
              <w:t>, room sizes and layout.</w:t>
            </w:r>
          </w:p>
        </w:tc>
        <w:tc>
          <w:tcPr>
            <w:tcW w:w="3544" w:type="dxa"/>
          </w:tcPr>
          <w:p w:rsidR="00D11DCC" w:rsidRDefault="00A3392A" w:rsidP="00D11DCC">
            <w:r>
              <w:lastRenderedPageBreak/>
              <w:t xml:space="preserve">Identified one </w:t>
            </w:r>
            <w:r w:rsidR="00486710">
              <w:lastRenderedPageBreak/>
              <w:t>property</w:t>
            </w:r>
            <w:r w:rsidR="00754228">
              <w:t>.</w:t>
            </w:r>
          </w:p>
          <w:p w:rsidR="00754228" w:rsidRDefault="00754228" w:rsidP="00D11DCC"/>
          <w:p w:rsidR="00754228" w:rsidRDefault="00754228" w:rsidP="00D11DCC"/>
        </w:tc>
        <w:tc>
          <w:tcPr>
            <w:tcW w:w="3544" w:type="dxa"/>
          </w:tcPr>
          <w:p w:rsidR="00D11DCC" w:rsidRDefault="0088611B" w:rsidP="00F30A77">
            <w:r w:rsidRPr="0088611B">
              <w:rPr>
                <w:color w:val="000000" w:themeColor="text1"/>
              </w:rPr>
              <w:lastRenderedPageBreak/>
              <w:t>Selected 81 Shorts Way</w:t>
            </w:r>
            <w:r w:rsidR="00F30A77">
              <w:rPr>
                <w:color w:val="000000" w:themeColor="text1"/>
              </w:rPr>
              <w:t xml:space="preserve">. 2 bed room, </w:t>
            </w:r>
            <w:r w:rsidR="00F30A77">
              <w:rPr>
                <w:color w:val="000000" w:themeColor="text1"/>
              </w:rPr>
              <w:lastRenderedPageBreak/>
              <w:t xml:space="preserve">second floor flat converting to a 3 bed shared accommodation.  Sharing </w:t>
            </w:r>
            <w:r w:rsidR="00E50DA8">
              <w:rPr>
                <w:color w:val="000000" w:themeColor="text1"/>
              </w:rPr>
              <w:t>kitchen, bathroom/WC facilities and breakfast area.</w:t>
            </w:r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A3392A" w:rsidP="00D11DCC">
            <w:r>
              <w:t xml:space="preserve">Check costs of any conversion works and explore grant </w:t>
            </w:r>
            <w:r w:rsidR="00486710">
              <w:t>possibilities</w:t>
            </w:r>
            <w:r>
              <w:t>.</w:t>
            </w:r>
          </w:p>
        </w:tc>
        <w:tc>
          <w:tcPr>
            <w:tcW w:w="3544" w:type="dxa"/>
          </w:tcPr>
          <w:p w:rsidR="00D11DCC" w:rsidRDefault="0088611B" w:rsidP="00040D5E">
            <w:r>
              <w:t>Organise site visit</w:t>
            </w:r>
          </w:p>
        </w:tc>
        <w:tc>
          <w:tcPr>
            <w:tcW w:w="3544" w:type="dxa"/>
          </w:tcPr>
          <w:p w:rsidR="00D11DCC" w:rsidRDefault="00F30A77" w:rsidP="00D11DCC">
            <w:r>
              <w:t>No grants available for this project, perhaps try for future projects.</w:t>
            </w:r>
          </w:p>
          <w:p w:rsidR="00F30A77" w:rsidRDefault="00F30A77" w:rsidP="00D11DCC"/>
          <w:p w:rsidR="00F30A77" w:rsidRDefault="00E50DA8" w:rsidP="00E50DA8">
            <w:r>
              <w:t>Total c</w:t>
            </w:r>
            <w:r w:rsidR="00F30A77">
              <w:t>ost is around 12K</w:t>
            </w:r>
            <w:r>
              <w:t xml:space="preserve"> including void works.</w:t>
            </w:r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A3392A" w:rsidP="00D11DCC">
            <w:r>
              <w:t xml:space="preserve">Set your rents taking into </w:t>
            </w:r>
            <w:r w:rsidR="00486710">
              <w:t>consideration</w:t>
            </w:r>
            <w:r>
              <w:t xml:space="preserve"> of the overall cost of living for our </w:t>
            </w:r>
            <w:r w:rsidR="00486710">
              <w:t>tenants</w:t>
            </w:r>
            <w:r>
              <w:t>.</w:t>
            </w:r>
          </w:p>
        </w:tc>
        <w:tc>
          <w:tcPr>
            <w:tcW w:w="3544" w:type="dxa"/>
          </w:tcPr>
          <w:p w:rsidR="00D11DCC" w:rsidRDefault="00A3392A" w:rsidP="00D11DCC">
            <w:r>
              <w:t xml:space="preserve">Check the shared </w:t>
            </w:r>
            <w:r w:rsidR="00486710">
              <w:t>accommodation</w:t>
            </w:r>
            <w:r>
              <w:t xml:space="preserve"> rate.</w:t>
            </w:r>
          </w:p>
        </w:tc>
        <w:tc>
          <w:tcPr>
            <w:tcW w:w="3544" w:type="dxa"/>
          </w:tcPr>
          <w:p w:rsidR="00D11DCC" w:rsidRDefault="00F30A77" w:rsidP="00D11DC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The maximum rent would be the LHA rate, which currently stands at £65.66, plus service charge, which would need to be affordable.</w:t>
            </w:r>
          </w:p>
          <w:p w:rsidR="00DD44F4" w:rsidRDefault="00DD44F4" w:rsidP="00D11DC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Largest room (R1) - £65.00</w:t>
            </w:r>
          </w:p>
          <w:p w:rsidR="00DD44F4" w:rsidRDefault="00DD44F4" w:rsidP="00D11DCC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Medium room (R2) - £63.00</w:t>
            </w:r>
          </w:p>
          <w:p w:rsidR="00DD44F4" w:rsidRDefault="00DD44F4" w:rsidP="00D11DCC">
            <w:r>
              <w:rPr>
                <w:rFonts w:ascii="Arial" w:hAnsi="Arial" w:cs="Arial"/>
                <w:color w:val="000000"/>
                <w:szCs w:val="24"/>
              </w:rPr>
              <w:t>Smallest room – (R3) £61.00</w:t>
            </w:r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486710" w:rsidP="00D11DCC">
            <w:r>
              <w:t>Consider and set service charges if applicable.</w:t>
            </w:r>
          </w:p>
        </w:tc>
        <w:tc>
          <w:tcPr>
            <w:tcW w:w="3544" w:type="dxa"/>
          </w:tcPr>
          <w:p w:rsidR="00D11DCC" w:rsidRDefault="00A3392A" w:rsidP="00D11DCC">
            <w:r>
              <w:t xml:space="preserve">Produce service charge schedule with eligible </w:t>
            </w:r>
            <w:r w:rsidR="00486710">
              <w:t>and</w:t>
            </w:r>
            <w:r>
              <w:t xml:space="preserve"> non eligible service charges.</w:t>
            </w:r>
          </w:p>
          <w:p w:rsidR="00A3392A" w:rsidRDefault="00A3392A" w:rsidP="00D11DCC"/>
          <w:p w:rsidR="00A3392A" w:rsidRDefault="00A3392A" w:rsidP="00D11DCC">
            <w:r>
              <w:t xml:space="preserve">Include Intensive </w:t>
            </w:r>
            <w:r w:rsidR="00486710">
              <w:t>Housing</w:t>
            </w:r>
            <w:r>
              <w:t xml:space="preserve"> management charges?</w:t>
            </w:r>
          </w:p>
          <w:p w:rsidR="00A3392A" w:rsidRDefault="00A3392A" w:rsidP="00D11DCC"/>
          <w:p w:rsidR="00754228" w:rsidRDefault="00754228" w:rsidP="00D11DCC">
            <w:r>
              <w:t xml:space="preserve">Discussed with Service </w:t>
            </w:r>
            <w:r>
              <w:lastRenderedPageBreak/>
              <w:t>charge Officer  about service charge schedule.</w:t>
            </w:r>
          </w:p>
        </w:tc>
        <w:tc>
          <w:tcPr>
            <w:tcW w:w="3544" w:type="dxa"/>
          </w:tcPr>
          <w:p w:rsidR="00F30A77" w:rsidRDefault="00F30A77" w:rsidP="00D11DCC">
            <w:r>
              <w:lastRenderedPageBreak/>
              <w:t xml:space="preserve">Draft </w:t>
            </w:r>
            <w:r w:rsidR="00EE71CC">
              <w:t>Service charge template produced.</w:t>
            </w:r>
          </w:p>
          <w:tbl>
            <w:tblPr>
              <w:tblW w:w="5060" w:type="dxa"/>
              <w:tblLook w:val="04A0"/>
            </w:tblPr>
            <w:tblGrid>
              <w:gridCol w:w="2480"/>
              <w:gridCol w:w="2580"/>
            </w:tblGrid>
            <w:tr w:rsidR="00F30A77" w:rsidRPr="00F30A77" w:rsidTr="00F30A77">
              <w:trPr>
                <w:trHeight w:val="315"/>
              </w:trPr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bottom"/>
                  <w:hideMark/>
                </w:tcPr>
                <w:p w:rsidR="00F30A77" w:rsidRPr="00F30A77" w:rsidRDefault="00DD44F4" w:rsidP="00F30A7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n-GB"/>
                    </w:rPr>
                    <w:t>HB eligible £</w:t>
                  </w:r>
                  <w:r w:rsidR="00F30A77" w:rsidRPr="00F30A7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n-GB"/>
                    </w:rPr>
                    <w:t>11.92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:rsidR="00F30A77" w:rsidRPr="00F30A77" w:rsidRDefault="00DD44F4" w:rsidP="00F30A7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n-GB"/>
                    </w:rPr>
                    <w:t>Non eligible (personal charges) £</w:t>
                  </w:r>
                  <w:r w:rsidR="00F30A77" w:rsidRPr="00F30A77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4"/>
                      <w:lang w:eastAsia="en-GB"/>
                    </w:rPr>
                    <w:t>14.85</w:t>
                  </w:r>
                </w:p>
              </w:tc>
            </w:tr>
          </w:tbl>
          <w:p w:rsidR="00D11DCC" w:rsidRDefault="00D11DCC" w:rsidP="00D11DCC"/>
          <w:p w:rsidR="00DD44F4" w:rsidRDefault="00DD44F4" w:rsidP="00DD44F4">
            <w:r>
              <w:t>Tenants</w:t>
            </w:r>
            <w:r w:rsidR="00E50DA8">
              <w:t xml:space="preserve"> to </w:t>
            </w:r>
            <w:r>
              <w:t xml:space="preserve"> pay council tax directly to council.</w:t>
            </w:r>
          </w:p>
          <w:p w:rsidR="00E50DA8" w:rsidRDefault="000C07A3" w:rsidP="00DD44F4">
            <w:hyperlink r:id="rId8" w:history="1">
              <w:r w:rsidR="00E50DA8" w:rsidRPr="00E50DA8">
                <w:rPr>
                  <w:rStyle w:val="Hyperlink"/>
                </w:rPr>
                <w:t>Copy of Potential Statement 81 Shorts Way docx.xlsx</w:t>
              </w:r>
            </w:hyperlink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AD0CA6" w:rsidP="00D11DCC">
            <w:r>
              <w:t>Establish how</w:t>
            </w:r>
            <w:r w:rsidR="00486710">
              <w:t xml:space="preserve"> you will manage bills in your shared house</w:t>
            </w:r>
            <w:r>
              <w:t>.</w:t>
            </w:r>
          </w:p>
        </w:tc>
        <w:tc>
          <w:tcPr>
            <w:tcW w:w="3544" w:type="dxa"/>
          </w:tcPr>
          <w:p w:rsidR="00D11DCC" w:rsidRDefault="00A3392A" w:rsidP="00D11DCC">
            <w:r>
              <w:t xml:space="preserve">Via </w:t>
            </w:r>
            <w:r w:rsidR="00486710">
              <w:t>Landlord</w:t>
            </w:r>
            <w:r>
              <w:t xml:space="preserve"> </w:t>
            </w:r>
          </w:p>
        </w:tc>
        <w:tc>
          <w:tcPr>
            <w:tcW w:w="3544" w:type="dxa"/>
          </w:tcPr>
          <w:p w:rsidR="00D11DCC" w:rsidRDefault="00F04BDE" w:rsidP="00D11DCC">
            <w:r>
              <w:t>Tenants pay council tax directly to council.  All other bills via mhs and charge tenants personal charges.</w:t>
            </w:r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A3392A" w:rsidP="00D11DCC">
            <w:r>
              <w:t xml:space="preserve">Consider how you will fund any additional support requirements of your </w:t>
            </w:r>
            <w:r w:rsidR="00486710">
              <w:t>shared</w:t>
            </w:r>
            <w:r>
              <w:t xml:space="preserve"> housing projects.  Explore whether you may be eligible for enhanced HB, </w:t>
            </w:r>
            <w:r w:rsidR="00486710">
              <w:t>ensuring</w:t>
            </w:r>
            <w:r>
              <w:t xml:space="preserve"> this has no </w:t>
            </w:r>
            <w:r w:rsidR="00486710">
              <w:t>detrimental</w:t>
            </w:r>
            <w:r>
              <w:t xml:space="preserve"> impact of your </w:t>
            </w:r>
            <w:r w:rsidR="00486710">
              <w:t>tenant’s</w:t>
            </w:r>
            <w:r>
              <w:t xml:space="preserve"> </w:t>
            </w:r>
            <w:r w:rsidR="00486710">
              <w:t>ability</w:t>
            </w:r>
            <w:r>
              <w:t xml:space="preserve"> to move into employment or move on.</w:t>
            </w:r>
          </w:p>
        </w:tc>
        <w:tc>
          <w:tcPr>
            <w:tcW w:w="3544" w:type="dxa"/>
          </w:tcPr>
          <w:p w:rsidR="00D11DCC" w:rsidRDefault="00F04BDE" w:rsidP="00D11DCC">
            <w:r>
              <w:t>Charge intensive housing management cost for additional support for tenancy sustainment and employment support.</w:t>
            </w:r>
          </w:p>
        </w:tc>
        <w:tc>
          <w:tcPr>
            <w:tcW w:w="3544" w:type="dxa"/>
          </w:tcPr>
          <w:p w:rsidR="00D11DCC" w:rsidRDefault="00F04BDE" w:rsidP="005E0817">
            <w:r>
              <w:t>Proposed to charge £5.00 per week per tenant.</w:t>
            </w:r>
            <w:r w:rsidR="005E0817">
              <w:t xml:space="preserve">  Also Medway council indicated that we are already getting some support funding (Sue’s team) perhaps we can use some towards this service.</w:t>
            </w:r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A3392A" w:rsidP="00D11DCC">
            <w:r>
              <w:t xml:space="preserve">Decide </w:t>
            </w:r>
            <w:r w:rsidR="00486710">
              <w:t>which</w:t>
            </w:r>
            <w:r>
              <w:t xml:space="preserve"> occupancy agreements </w:t>
            </w:r>
            <w:r w:rsidR="00486710">
              <w:t>you</w:t>
            </w:r>
            <w:r>
              <w:t xml:space="preserve"> will be </w:t>
            </w:r>
            <w:r w:rsidR="00486710">
              <w:t>using</w:t>
            </w:r>
            <w:r>
              <w:t xml:space="preserve">, and </w:t>
            </w:r>
            <w:r w:rsidR="00486710">
              <w:t>whether</w:t>
            </w:r>
            <w:r>
              <w:t xml:space="preserve"> these will be joint or individual ones.</w:t>
            </w:r>
          </w:p>
        </w:tc>
        <w:tc>
          <w:tcPr>
            <w:tcW w:w="3544" w:type="dxa"/>
          </w:tcPr>
          <w:p w:rsidR="00D11DCC" w:rsidRDefault="005064D4" w:rsidP="00D11DC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Fixed term 6 months tenancy rolling into a periodic tenancy. </w:t>
            </w:r>
          </w:p>
          <w:p w:rsidR="005064D4" w:rsidRDefault="005064D4" w:rsidP="00D11DCC">
            <w:r>
              <w:rPr>
                <w:rFonts w:ascii="Arial" w:hAnsi="Arial" w:cs="Arial"/>
                <w:szCs w:val="24"/>
              </w:rPr>
              <w:t xml:space="preserve">Discussed with Thelma at Bachelors.  </w:t>
            </w:r>
          </w:p>
        </w:tc>
        <w:tc>
          <w:tcPr>
            <w:tcW w:w="3544" w:type="dxa"/>
          </w:tcPr>
          <w:p w:rsidR="00D11DCC" w:rsidRDefault="00F04BDE" w:rsidP="00D11DCC">
            <w:r>
              <w:t>Discussed the terms and conditions with Thelma and she is re-drafting the AST.</w:t>
            </w:r>
            <w:hyperlink r:id="rId9" w:history="1">
              <w:r w:rsidR="0035751A" w:rsidRPr="0035751A">
                <w:rPr>
                  <w:rStyle w:val="Hyperlink"/>
                </w:rPr>
                <w:t>Draft AST.doc</w:t>
              </w:r>
            </w:hyperlink>
          </w:p>
        </w:tc>
      </w:tr>
      <w:tr w:rsidR="00D11DCC" w:rsidTr="00D11DCC">
        <w:tc>
          <w:tcPr>
            <w:tcW w:w="3543" w:type="dxa"/>
          </w:tcPr>
          <w:p w:rsidR="00D11DCC" w:rsidRDefault="00D11DCC" w:rsidP="00D11DCC"/>
        </w:tc>
        <w:tc>
          <w:tcPr>
            <w:tcW w:w="3543" w:type="dxa"/>
          </w:tcPr>
          <w:p w:rsidR="00D11DCC" w:rsidRDefault="00A3392A" w:rsidP="00D11DCC">
            <w:r>
              <w:t xml:space="preserve">Ensure your IT </w:t>
            </w:r>
            <w:r w:rsidR="00486710">
              <w:t>systems</w:t>
            </w:r>
            <w:r>
              <w:t xml:space="preserve"> are </w:t>
            </w:r>
            <w:r w:rsidR="00486710">
              <w:t>able</w:t>
            </w:r>
            <w:r>
              <w:t xml:space="preserve"> to </w:t>
            </w:r>
            <w:r w:rsidR="00486710">
              <w:t>reflect</w:t>
            </w:r>
            <w:r>
              <w:t xml:space="preserve"> the </w:t>
            </w:r>
            <w:r w:rsidR="00486710">
              <w:t>make</w:t>
            </w:r>
            <w:r>
              <w:t xml:space="preserve"> up of your shared provision.  </w:t>
            </w:r>
            <w:r w:rsidR="00486710">
              <w:t xml:space="preserve">Rooms, for example </w:t>
            </w:r>
            <w:r w:rsidR="00486710">
              <w:lastRenderedPageBreak/>
              <w:t>will need to be individually allocated and you should have the ability to attribute rent accounts to each individual room.</w:t>
            </w:r>
          </w:p>
        </w:tc>
        <w:tc>
          <w:tcPr>
            <w:tcW w:w="3544" w:type="dxa"/>
          </w:tcPr>
          <w:p w:rsidR="00D11DCC" w:rsidRDefault="00B92EC0" w:rsidP="00D11DCC">
            <w:r>
              <w:lastRenderedPageBreak/>
              <w:t>Open housing property set up.</w:t>
            </w:r>
          </w:p>
        </w:tc>
        <w:tc>
          <w:tcPr>
            <w:tcW w:w="3544" w:type="dxa"/>
          </w:tcPr>
          <w:p w:rsidR="00D11DCC" w:rsidRDefault="00F04BDE" w:rsidP="0035751A">
            <w:r>
              <w:t xml:space="preserve">Shelley to instruct IT to make sure the rooms </w:t>
            </w:r>
            <w:r w:rsidR="0035751A">
              <w:t>are</w:t>
            </w:r>
            <w:r>
              <w:t xml:space="preserve"> set up correctly.</w:t>
            </w:r>
            <w:r w:rsidR="0035751A">
              <w:t xml:space="preserve"> Room1, Room2 &amp; Room 3</w:t>
            </w:r>
          </w:p>
        </w:tc>
      </w:tr>
      <w:tr w:rsidR="003F15EE" w:rsidTr="00D11DCC">
        <w:tc>
          <w:tcPr>
            <w:tcW w:w="3543" w:type="dxa"/>
          </w:tcPr>
          <w:p w:rsidR="003F15EE" w:rsidRPr="003F15EE" w:rsidRDefault="003F15EE" w:rsidP="003F15EE">
            <w:pPr>
              <w:rPr>
                <w:b/>
                <w:szCs w:val="24"/>
              </w:rPr>
            </w:pPr>
          </w:p>
          <w:p w:rsidR="003F15EE" w:rsidRPr="00D97395" w:rsidRDefault="003F15EE" w:rsidP="003F15EE">
            <w:pPr>
              <w:rPr>
                <w:b/>
                <w:szCs w:val="24"/>
                <w:u w:val="single"/>
              </w:rPr>
            </w:pPr>
            <w:r w:rsidRPr="00D97395">
              <w:rPr>
                <w:b/>
                <w:szCs w:val="24"/>
                <w:u w:val="single"/>
              </w:rPr>
              <w:t>Allocating shared Tenancies</w:t>
            </w:r>
          </w:p>
          <w:p w:rsidR="003F15EE" w:rsidRDefault="003F15EE" w:rsidP="003F15EE">
            <w:pPr>
              <w:rPr>
                <w:b/>
                <w:szCs w:val="24"/>
              </w:rPr>
            </w:pPr>
          </w:p>
          <w:p w:rsidR="003F15EE" w:rsidRPr="003F15EE" w:rsidRDefault="003F15EE" w:rsidP="003F15EE">
            <w:pPr>
              <w:rPr>
                <w:b/>
                <w:szCs w:val="24"/>
              </w:rPr>
            </w:pPr>
          </w:p>
        </w:tc>
        <w:tc>
          <w:tcPr>
            <w:tcW w:w="3543" w:type="dxa"/>
          </w:tcPr>
          <w:p w:rsidR="003F15EE" w:rsidRPr="003F15EE" w:rsidRDefault="003F15EE" w:rsidP="003F15EE">
            <w:pPr>
              <w:rPr>
                <w:b/>
              </w:rPr>
            </w:pPr>
          </w:p>
        </w:tc>
        <w:tc>
          <w:tcPr>
            <w:tcW w:w="3544" w:type="dxa"/>
          </w:tcPr>
          <w:p w:rsidR="003F15EE" w:rsidRDefault="003F15EE" w:rsidP="00D11DCC"/>
        </w:tc>
        <w:tc>
          <w:tcPr>
            <w:tcW w:w="3544" w:type="dxa"/>
          </w:tcPr>
          <w:p w:rsidR="003F15EE" w:rsidRDefault="003F15EE" w:rsidP="00D11DCC"/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3F15EE" w:rsidP="00D11DCC">
            <w:r>
              <w:t xml:space="preserve">Review your </w:t>
            </w:r>
            <w:r w:rsidR="00743F59">
              <w:t>existing</w:t>
            </w:r>
            <w:r>
              <w:t xml:space="preserve"> allocations </w:t>
            </w:r>
            <w:r w:rsidR="00743F59">
              <w:t>policies</w:t>
            </w:r>
            <w:r>
              <w:t xml:space="preserve"> and co</w:t>
            </w:r>
            <w:r w:rsidR="00AD0CA6">
              <w:t>nsi</w:t>
            </w:r>
            <w:r>
              <w:t xml:space="preserve">der reviewing these to </w:t>
            </w:r>
            <w:r w:rsidR="00743F59">
              <w:t>accommodate</w:t>
            </w:r>
            <w:r>
              <w:t xml:space="preserve"> </w:t>
            </w:r>
            <w:r w:rsidR="00743F59">
              <w:t>sharing</w:t>
            </w:r>
            <w:r>
              <w:t xml:space="preserve"> </w:t>
            </w:r>
            <w:r w:rsidR="00743F59">
              <w:t>as housing</w:t>
            </w:r>
            <w:r>
              <w:t xml:space="preserve"> option.</w:t>
            </w:r>
          </w:p>
        </w:tc>
        <w:tc>
          <w:tcPr>
            <w:tcW w:w="3544" w:type="dxa"/>
          </w:tcPr>
          <w:p w:rsidR="003F15EE" w:rsidRDefault="003F15EE" w:rsidP="00D11DCC">
            <w:r>
              <w:t>Review allocations policy</w:t>
            </w:r>
          </w:p>
        </w:tc>
        <w:tc>
          <w:tcPr>
            <w:tcW w:w="3544" w:type="dxa"/>
          </w:tcPr>
          <w:p w:rsidR="003F15EE" w:rsidRDefault="00F04BDE" w:rsidP="00D11DCC">
            <w:r>
              <w:t>Shelley to review policy.</w:t>
            </w:r>
          </w:p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3F15EE" w:rsidP="00D11DCC">
            <w:r>
              <w:t xml:space="preserve">Ensure your allocation policy </w:t>
            </w:r>
            <w:r w:rsidR="00743F59">
              <w:t>is</w:t>
            </w:r>
            <w:r>
              <w:t xml:space="preserve"> inline wit </w:t>
            </w:r>
            <w:r w:rsidR="00743F59">
              <w:t>your</w:t>
            </w:r>
            <w:r>
              <w:t xml:space="preserve"> </w:t>
            </w:r>
            <w:r w:rsidR="00743F59">
              <w:t>model</w:t>
            </w:r>
            <w:r>
              <w:t xml:space="preserve"> of </w:t>
            </w:r>
            <w:r w:rsidR="00743F59">
              <w:t>shared</w:t>
            </w:r>
            <w:r>
              <w:t xml:space="preserve"> housing.</w:t>
            </w:r>
          </w:p>
        </w:tc>
        <w:tc>
          <w:tcPr>
            <w:tcW w:w="3544" w:type="dxa"/>
          </w:tcPr>
          <w:p w:rsidR="003F15EE" w:rsidRDefault="003F15EE" w:rsidP="00D11DCC"/>
        </w:tc>
        <w:tc>
          <w:tcPr>
            <w:tcW w:w="3544" w:type="dxa"/>
          </w:tcPr>
          <w:p w:rsidR="003F15EE" w:rsidRDefault="00F04BDE" w:rsidP="00D11DCC">
            <w:r>
              <w:t>Same as above.</w:t>
            </w:r>
          </w:p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3F15EE" w:rsidP="00D11DCC">
            <w:r>
              <w:t xml:space="preserve">Ensure you have buy-in from all staff </w:t>
            </w:r>
            <w:r w:rsidR="00743F59">
              <w:t>and</w:t>
            </w:r>
            <w:r>
              <w:t xml:space="preserve"> </w:t>
            </w:r>
            <w:r w:rsidR="00743F59">
              <w:t>departments</w:t>
            </w:r>
            <w:r>
              <w:t xml:space="preserve"> and there is regular </w:t>
            </w:r>
            <w:r w:rsidR="00743F59">
              <w:t>communication</w:t>
            </w:r>
            <w:r>
              <w:t xml:space="preserve"> between them. </w:t>
            </w:r>
          </w:p>
        </w:tc>
        <w:tc>
          <w:tcPr>
            <w:tcW w:w="3544" w:type="dxa"/>
          </w:tcPr>
          <w:p w:rsidR="003F15EE" w:rsidRDefault="00873771" w:rsidP="00D11DCC">
            <w:r>
              <w:t>Internal external comms</w:t>
            </w:r>
          </w:p>
        </w:tc>
        <w:tc>
          <w:tcPr>
            <w:tcW w:w="3544" w:type="dxa"/>
          </w:tcPr>
          <w:p w:rsidR="003F15EE" w:rsidRDefault="00F04BDE" w:rsidP="00D11DCC">
            <w:r>
              <w:t>Needs to brief communications team.</w:t>
            </w:r>
          </w:p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743F59" w:rsidP="00D11DCC">
            <w:r>
              <w:t>Establish</w:t>
            </w:r>
            <w:r w:rsidR="00873771">
              <w:t xml:space="preserve"> and regularly review </w:t>
            </w:r>
            <w:r>
              <w:t>affordability</w:t>
            </w:r>
            <w:r w:rsidR="00873771">
              <w:t xml:space="preserve">, risk and needs </w:t>
            </w:r>
            <w:r>
              <w:lastRenderedPageBreak/>
              <w:t>assessments</w:t>
            </w:r>
            <w:r w:rsidR="00873771">
              <w:t xml:space="preserve"> for </w:t>
            </w:r>
            <w:r>
              <w:t>potential</w:t>
            </w:r>
            <w:r w:rsidR="00873771">
              <w:t xml:space="preserve"> </w:t>
            </w:r>
            <w:r>
              <w:t>applicants</w:t>
            </w:r>
            <w:r w:rsidR="00873771">
              <w:t>.</w:t>
            </w:r>
          </w:p>
        </w:tc>
        <w:tc>
          <w:tcPr>
            <w:tcW w:w="3544" w:type="dxa"/>
          </w:tcPr>
          <w:p w:rsidR="003F15EE" w:rsidRDefault="003F15EE" w:rsidP="00D11DCC"/>
        </w:tc>
        <w:tc>
          <w:tcPr>
            <w:tcW w:w="3544" w:type="dxa"/>
          </w:tcPr>
          <w:p w:rsidR="003F15EE" w:rsidRDefault="00DA38AD" w:rsidP="00F04BDE">
            <w:r>
              <w:t>Shelley and M</w:t>
            </w:r>
            <w:r w:rsidR="00F04BDE">
              <w:t>edway council to s</w:t>
            </w:r>
            <w:r>
              <w:t>ele</w:t>
            </w:r>
            <w:r w:rsidR="00F04BDE">
              <w:t xml:space="preserve">ct the appropriate nominees for this </w:t>
            </w:r>
            <w:r>
              <w:t>scheme</w:t>
            </w:r>
            <w:r w:rsidR="00F04BDE">
              <w:t>.</w:t>
            </w:r>
            <w:r w:rsidR="004F3784">
              <w:t xml:space="preserve"> The advertisement should clearly </w:t>
            </w:r>
            <w:r w:rsidR="004F3784">
              <w:lastRenderedPageBreak/>
              <w:t>represent the objectives of this service and the expectation form tenants.</w:t>
            </w:r>
          </w:p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873771" w:rsidP="00D11DCC">
            <w:r>
              <w:t xml:space="preserve">Ensure </w:t>
            </w:r>
            <w:r w:rsidR="00743F59">
              <w:t>staffs are</w:t>
            </w:r>
            <w:r>
              <w:t xml:space="preserve"> </w:t>
            </w:r>
            <w:r w:rsidR="00743F59">
              <w:t>knowledgeable</w:t>
            </w:r>
            <w:r>
              <w:t xml:space="preserve"> about exemptions to the Shared </w:t>
            </w:r>
            <w:r w:rsidR="00743F59">
              <w:t>Accommodation</w:t>
            </w:r>
            <w:r>
              <w:t xml:space="preserve"> Rate and what supporting documents are needed.</w:t>
            </w:r>
          </w:p>
        </w:tc>
        <w:tc>
          <w:tcPr>
            <w:tcW w:w="3544" w:type="dxa"/>
          </w:tcPr>
          <w:p w:rsidR="003F15EE" w:rsidRDefault="00DA38AD" w:rsidP="00DA38AD">
            <w:r>
              <w:t>Produced briefing, AST and additional documents</w:t>
            </w:r>
          </w:p>
        </w:tc>
        <w:tc>
          <w:tcPr>
            <w:tcW w:w="3544" w:type="dxa"/>
          </w:tcPr>
          <w:p w:rsidR="003F15EE" w:rsidRDefault="00DA38AD" w:rsidP="00D11DCC">
            <w:r>
              <w:t>Produced  report, service charge schedule, Appendixes (good neighbour agreement and support agreement)</w:t>
            </w:r>
            <w:r w:rsidR="00B01593">
              <w:t>.</w:t>
            </w:r>
            <w:hyperlink r:id="rId10" w:history="1">
              <w:r w:rsidR="00B01593" w:rsidRPr="00B01593">
                <w:rPr>
                  <w:rStyle w:val="Hyperlink"/>
                </w:rPr>
                <w:t>HMO Pilot Scheme - report 14th August.doc</w:t>
              </w:r>
            </w:hyperlink>
          </w:p>
          <w:p w:rsidR="00B01593" w:rsidRDefault="000C07A3" w:rsidP="00D11DCC">
            <w:hyperlink r:id="rId11" w:history="1">
              <w:r w:rsidR="00B01593" w:rsidRPr="00B01593">
                <w:rPr>
                  <w:rStyle w:val="Hyperlink"/>
                </w:rPr>
                <w:t>HMO Pilot Scheme - Appendix 2 &amp; 3.doc</w:t>
              </w:r>
            </w:hyperlink>
          </w:p>
          <w:p w:rsidR="00B01593" w:rsidRDefault="000C07A3" w:rsidP="00D11DCC">
            <w:hyperlink r:id="rId12" w:history="1">
              <w:r w:rsidR="00B01593" w:rsidRPr="00B01593">
                <w:rPr>
                  <w:rStyle w:val="Hyperlink"/>
                </w:rPr>
                <w:t>HMO CHECK LIST.docx</w:t>
              </w:r>
            </w:hyperlink>
          </w:p>
          <w:p w:rsidR="00B01593" w:rsidRDefault="000C07A3" w:rsidP="00D11DCC">
            <w:hyperlink r:id="rId13" w:history="1">
              <w:r w:rsidR="00B01593" w:rsidRPr="00B01593">
                <w:rPr>
                  <w:rStyle w:val="Hyperlink"/>
                </w:rPr>
                <w:t>Copy of Potential Statement 81 Shorts Way docx.xlsx</w:t>
              </w:r>
            </w:hyperlink>
          </w:p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743F59" w:rsidP="009A08E2">
            <w:r>
              <w:t>Ensure you have</w:t>
            </w:r>
            <w:r w:rsidR="00873771">
              <w:t xml:space="preserve"> a </w:t>
            </w:r>
            <w:r w:rsidR="009A08E2">
              <w:t>suitable</w:t>
            </w:r>
            <w:r w:rsidR="00873771">
              <w:t xml:space="preserve"> alternative pathway </w:t>
            </w:r>
            <w:r w:rsidR="009A08E2">
              <w:t>available</w:t>
            </w:r>
            <w:r w:rsidR="00873771">
              <w:t xml:space="preserve"> for those for whom sharing is not a suitable option. </w:t>
            </w:r>
          </w:p>
        </w:tc>
        <w:tc>
          <w:tcPr>
            <w:tcW w:w="3544" w:type="dxa"/>
          </w:tcPr>
          <w:p w:rsidR="003F15EE" w:rsidRDefault="003F15EE" w:rsidP="00D11DCC"/>
        </w:tc>
        <w:tc>
          <w:tcPr>
            <w:tcW w:w="3544" w:type="dxa"/>
          </w:tcPr>
          <w:p w:rsidR="003F15EE" w:rsidRDefault="00DA38AD" w:rsidP="00D11DCC">
            <w:r>
              <w:t>Explore other options</w:t>
            </w:r>
          </w:p>
        </w:tc>
      </w:tr>
      <w:tr w:rsidR="003F15EE" w:rsidTr="00D11DCC">
        <w:tc>
          <w:tcPr>
            <w:tcW w:w="3543" w:type="dxa"/>
          </w:tcPr>
          <w:p w:rsidR="003F15EE" w:rsidRDefault="003F15EE" w:rsidP="00D11DCC"/>
        </w:tc>
        <w:tc>
          <w:tcPr>
            <w:tcW w:w="3543" w:type="dxa"/>
          </w:tcPr>
          <w:p w:rsidR="003F15EE" w:rsidRDefault="00873771" w:rsidP="00D11DCC">
            <w:r>
              <w:t xml:space="preserve">Consider setting up a </w:t>
            </w:r>
            <w:r w:rsidR="00693B8E">
              <w:t>register</w:t>
            </w:r>
            <w:r>
              <w:t xml:space="preserve"> of under 35 year old </w:t>
            </w:r>
            <w:r w:rsidR="00693B8E">
              <w:t>applicants</w:t>
            </w:r>
            <w:r>
              <w:t>.</w:t>
            </w:r>
          </w:p>
        </w:tc>
        <w:tc>
          <w:tcPr>
            <w:tcW w:w="3544" w:type="dxa"/>
          </w:tcPr>
          <w:p w:rsidR="003F15EE" w:rsidRDefault="00AD0CA6" w:rsidP="00D11DCC">
            <w:r>
              <w:t>Under 35 list.</w:t>
            </w:r>
          </w:p>
        </w:tc>
        <w:tc>
          <w:tcPr>
            <w:tcW w:w="3544" w:type="dxa"/>
          </w:tcPr>
          <w:p w:rsidR="003F15EE" w:rsidRDefault="00DA38AD" w:rsidP="00D11DCC">
            <w:r>
              <w:t>Shelley to set up a waiting list for under 35.</w:t>
            </w:r>
          </w:p>
        </w:tc>
      </w:tr>
      <w:tr w:rsidR="00873771" w:rsidTr="00873771">
        <w:tc>
          <w:tcPr>
            <w:tcW w:w="3543" w:type="dxa"/>
          </w:tcPr>
          <w:p w:rsidR="00873771" w:rsidRDefault="00873771" w:rsidP="00873771"/>
        </w:tc>
        <w:tc>
          <w:tcPr>
            <w:tcW w:w="3543" w:type="dxa"/>
          </w:tcPr>
          <w:p w:rsidR="00873771" w:rsidRDefault="00693B8E" w:rsidP="00873771">
            <w:r>
              <w:t>Ensure</w:t>
            </w:r>
            <w:r w:rsidR="00873771">
              <w:t xml:space="preserve"> </w:t>
            </w:r>
            <w:r>
              <w:t>staff in your own organisation and within referral partners is</w:t>
            </w:r>
            <w:r w:rsidR="00873771">
              <w:t xml:space="preserve"> promoting sharing positively to </w:t>
            </w:r>
            <w:r>
              <w:t>potential</w:t>
            </w:r>
            <w:r w:rsidR="00873771">
              <w:t xml:space="preserve"> </w:t>
            </w:r>
            <w:r>
              <w:t>applicants</w:t>
            </w:r>
            <w:r w:rsidR="00873771">
              <w:t xml:space="preserve">. </w:t>
            </w:r>
            <w:r>
              <w:t>Consider</w:t>
            </w:r>
            <w:r w:rsidR="00873771">
              <w:t xml:space="preserve"> offering </w:t>
            </w:r>
            <w:r>
              <w:t>training</w:t>
            </w:r>
            <w:r w:rsidR="00873771">
              <w:t xml:space="preserve"> to internal and external staff.</w:t>
            </w:r>
          </w:p>
        </w:tc>
        <w:tc>
          <w:tcPr>
            <w:tcW w:w="3544" w:type="dxa"/>
          </w:tcPr>
          <w:p w:rsidR="00873771" w:rsidRDefault="00873771" w:rsidP="00873771">
            <w:r>
              <w:t>Lunch and learn for staff</w:t>
            </w:r>
          </w:p>
        </w:tc>
        <w:tc>
          <w:tcPr>
            <w:tcW w:w="3544" w:type="dxa"/>
          </w:tcPr>
          <w:p w:rsidR="00873771" w:rsidRDefault="00DA38AD" w:rsidP="00881A95">
            <w:r>
              <w:t>Briefing</w:t>
            </w:r>
            <w:r w:rsidR="00881A95">
              <w:t>s,</w:t>
            </w:r>
            <w:r w:rsidR="001B45F7">
              <w:t xml:space="preserve"> lunch</w:t>
            </w:r>
            <w:r w:rsidR="00881A95">
              <w:t xml:space="preserve"> &amp;</w:t>
            </w:r>
            <w:r w:rsidR="001B45F7">
              <w:t xml:space="preserve"> learn</w:t>
            </w:r>
            <w:r w:rsidR="00881A95">
              <w:t xml:space="preserve">, </w:t>
            </w:r>
            <w:r w:rsidR="001B45F7">
              <w:t>team me</w:t>
            </w:r>
            <w:r w:rsidR="00881A95">
              <w:t>e</w:t>
            </w:r>
            <w:r w:rsidR="001B45F7">
              <w:t>tings</w:t>
            </w:r>
            <w:r w:rsidR="00881A95">
              <w:t>, connect news</w:t>
            </w:r>
          </w:p>
        </w:tc>
      </w:tr>
      <w:tr w:rsidR="00873771" w:rsidTr="00873771">
        <w:tc>
          <w:tcPr>
            <w:tcW w:w="3543" w:type="dxa"/>
          </w:tcPr>
          <w:p w:rsidR="00873771" w:rsidRDefault="00873771" w:rsidP="00873771"/>
        </w:tc>
        <w:tc>
          <w:tcPr>
            <w:tcW w:w="3543" w:type="dxa"/>
          </w:tcPr>
          <w:p w:rsidR="00873771" w:rsidRDefault="00873771" w:rsidP="00873771">
            <w:r>
              <w:t xml:space="preserve">Establish ways of advertising your </w:t>
            </w:r>
            <w:r>
              <w:lastRenderedPageBreak/>
              <w:t xml:space="preserve">property – for </w:t>
            </w:r>
            <w:r w:rsidR="00693B8E">
              <w:t>example</w:t>
            </w:r>
            <w:r>
              <w:t xml:space="preserve"> through a </w:t>
            </w:r>
            <w:r w:rsidR="00693B8E">
              <w:t>Choice</w:t>
            </w:r>
            <w:r>
              <w:t xml:space="preserve"> Based letting </w:t>
            </w:r>
            <w:r w:rsidR="00693B8E">
              <w:t>system</w:t>
            </w:r>
            <w:r>
              <w:t xml:space="preserve">.  </w:t>
            </w:r>
          </w:p>
        </w:tc>
        <w:tc>
          <w:tcPr>
            <w:tcW w:w="3544" w:type="dxa"/>
          </w:tcPr>
          <w:p w:rsidR="00873771" w:rsidRDefault="00873771" w:rsidP="00873771">
            <w:r>
              <w:lastRenderedPageBreak/>
              <w:t xml:space="preserve">Also </w:t>
            </w:r>
            <w:r w:rsidR="00693B8E">
              <w:t>consider</w:t>
            </w:r>
            <w:r>
              <w:t xml:space="preserve"> spare room.com, gum tree</w:t>
            </w:r>
            <w:r w:rsidR="00AD0CA6">
              <w:t xml:space="preserve"> </w:t>
            </w:r>
            <w:r w:rsidR="00AD0CA6">
              <w:lastRenderedPageBreak/>
              <w:t>etc</w:t>
            </w:r>
          </w:p>
        </w:tc>
        <w:tc>
          <w:tcPr>
            <w:tcW w:w="3544" w:type="dxa"/>
          </w:tcPr>
          <w:p w:rsidR="00873771" w:rsidRDefault="00881A95" w:rsidP="00873771">
            <w:r>
              <w:lastRenderedPageBreak/>
              <w:t xml:space="preserve">Medway council to advertise </w:t>
            </w:r>
            <w:r w:rsidR="00B01593">
              <w:t>the vacancy.</w:t>
            </w:r>
          </w:p>
        </w:tc>
      </w:tr>
      <w:tr w:rsidR="00873771" w:rsidTr="00873771">
        <w:tc>
          <w:tcPr>
            <w:tcW w:w="3543" w:type="dxa"/>
          </w:tcPr>
          <w:p w:rsidR="00873771" w:rsidRDefault="00873771" w:rsidP="00873771"/>
        </w:tc>
        <w:tc>
          <w:tcPr>
            <w:tcW w:w="3543" w:type="dxa"/>
          </w:tcPr>
          <w:p w:rsidR="00873771" w:rsidRDefault="00873771" w:rsidP="00873771">
            <w:r>
              <w:t xml:space="preserve">Establish a tenancy matching policy – using for </w:t>
            </w:r>
            <w:r w:rsidR="00693B8E">
              <w:t>example</w:t>
            </w:r>
            <w:r>
              <w:t xml:space="preserve"> questionnaires or hosting events where potential flatmates can meet.</w:t>
            </w:r>
          </w:p>
        </w:tc>
        <w:tc>
          <w:tcPr>
            <w:tcW w:w="3544" w:type="dxa"/>
          </w:tcPr>
          <w:p w:rsidR="00873771" w:rsidRDefault="00873771" w:rsidP="00873771"/>
        </w:tc>
        <w:tc>
          <w:tcPr>
            <w:tcW w:w="3544" w:type="dxa"/>
          </w:tcPr>
          <w:p w:rsidR="00873771" w:rsidRDefault="00881A95" w:rsidP="00873771">
            <w:r>
              <w:t>For future</w:t>
            </w:r>
          </w:p>
        </w:tc>
      </w:tr>
      <w:tr w:rsidR="00873771" w:rsidTr="00873771">
        <w:tc>
          <w:tcPr>
            <w:tcW w:w="3543" w:type="dxa"/>
          </w:tcPr>
          <w:p w:rsidR="00873771" w:rsidRDefault="00873771" w:rsidP="00873771"/>
        </w:tc>
        <w:tc>
          <w:tcPr>
            <w:tcW w:w="3543" w:type="dxa"/>
          </w:tcPr>
          <w:p w:rsidR="00873771" w:rsidRDefault="00823C5D" w:rsidP="00873771">
            <w:r>
              <w:t xml:space="preserve">Stay in touch with </w:t>
            </w:r>
            <w:r w:rsidR="00693B8E">
              <w:t>applicants</w:t>
            </w:r>
            <w:r>
              <w:t xml:space="preserve"> on your register to ensure you have a pipeline </w:t>
            </w:r>
            <w:r w:rsidR="00693B8E">
              <w:t>of</w:t>
            </w:r>
            <w:r>
              <w:t xml:space="preserve"> potential tenants.</w:t>
            </w:r>
          </w:p>
        </w:tc>
        <w:tc>
          <w:tcPr>
            <w:tcW w:w="3544" w:type="dxa"/>
          </w:tcPr>
          <w:p w:rsidR="00873771" w:rsidRDefault="00873771" w:rsidP="00873771"/>
        </w:tc>
        <w:tc>
          <w:tcPr>
            <w:tcW w:w="3544" w:type="dxa"/>
          </w:tcPr>
          <w:p w:rsidR="00873771" w:rsidRDefault="00881A95" w:rsidP="00873771">
            <w:r>
              <w:t>Same as above</w:t>
            </w:r>
          </w:p>
        </w:tc>
      </w:tr>
      <w:tr w:rsidR="00823C5D" w:rsidTr="00823C5D">
        <w:tc>
          <w:tcPr>
            <w:tcW w:w="3543" w:type="dxa"/>
          </w:tcPr>
          <w:p w:rsidR="00823C5D" w:rsidRPr="00D97395" w:rsidRDefault="005D47CD" w:rsidP="00743F59">
            <w:pPr>
              <w:rPr>
                <w:b/>
                <w:u w:val="single"/>
              </w:rPr>
            </w:pPr>
            <w:r w:rsidRPr="00D97395">
              <w:rPr>
                <w:b/>
                <w:u w:val="single"/>
              </w:rPr>
              <w:t>Managing shared tenancies</w:t>
            </w:r>
          </w:p>
          <w:p w:rsidR="005D47CD" w:rsidRDefault="005D47CD" w:rsidP="00743F59"/>
        </w:tc>
        <w:tc>
          <w:tcPr>
            <w:tcW w:w="3543" w:type="dxa"/>
          </w:tcPr>
          <w:p w:rsidR="00823C5D" w:rsidRDefault="00823C5D" w:rsidP="00743F59"/>
        </w:tc>
        <w:tc>
          <w:tcPr>
            <w:tcW w:w="3544" w:type="dxa"/>
          </w:tcPr>
          <w:p w:rsidR="00823C5D" w:rsidRDefault="00823C5D" w:rsidP="00743F59"/>
        </w:tc>
        <w:tc>
          <w:tcPr>
            <w:tcW w:w="3544" w:type="dxa"/>
          </w:tcPr>
          <w:p w:rsidR="00823C5D" w:rsidRDefault="00823C5D" w:rsidP="00743F59"/>
        </w:tc>
      </w:tr>
      <w:tr w:rsidR="00823C5D" w:rsidTr="00823C5D">
        <w:tc>
          <w:tcPr>
            <w:tcW w:w="3543" w:type="dxa"/>
          </w:tcPr>
          <w:p w:rsidR="00823C5D" w:rsidRDefault="00823C5D" w:rsidP="00743F59"/>
        </w:tc>
        <w:tc>
          <w:tcPr>
            <w:tcW w:w="3543" w:type="dxa"/>
          </w:tcPr>
          <w:p w:rsidR="00823C5D" w:rsidRDefault="005D47CD" w:rsidP="00743F59">
            <w:r>
              <w:t xml:space="preserve">Establish how you </w:t>
            </w:r>
            <w:r w:rsidR="00512673">
              <w:t>shared</w:t>
            </w:r>
            <w:r>
              <w:t xml:space="preserve"> houses will be managed and by whom</w:t>
            </w:r>
          </w:p>
        </w:tc>
        <w:tc>
          <w:tcPr>
            <w:tcW w:w="3544" w:type="dxa"/>
          </w:tcPr>
          <w:p w:rsidR="00823C5D" w:rsidRDefault="005D47CD" w:rsidP="00743F59">
            <w:r>
              <w:t>Discuss with Colette</w:t>
            </w:r>
            <w:r w:rsidR="00881A95">
              <w:t xml:space="preserve"> &amp; Ian</w:t>
            </w:r>
          </w:p>
        </w:tc>
        <w:tc>
          <w:tcPr>
            <w:tcW w:w="3544" w:type="dxa"/>
          </w:tcPr>
          <w:p w:rsidR="00823C5D" w:rsidRDefault="00881A95" w:rsidP="00B01593">
            <w:r>
              <w:t xml:space="preserve">Briefed Colette </w:t>
            </w:r>
            <w:r w:rsidR="00B01593">
              <w:t>, Shelley and Ian. And produced guidance for information</w:t>
            </w:r>
            <w:r>
              <w:t xml:space="preserve">  report</w:t>
            </w:r>
          </w:p>
        </w:tc>
      </w:tr>
      <w:tr w:rsidR="005D47CD" w:rsidTr="005D47CD">
        <w:tc>
          <w:tcPr>
            <w:tcW w:w="3543" w:type="dxa"/>
          </w:tcPr>
          <w:p w:rsidR="005D47CD" w:rsidRDefault="005D47CD" w:rsidP="001D39E2"/>
        </w:tc>
        <w:tc>
          <w:tcPr>
            <w:tcW w:w="3543" w:type="dxa"/>
          </w:tcPr>
          <w:p w:rsidR="005D47CD" w:rsidRDefault="005D47CD" w:rsidP="001D39E2">
            <w:r>
              <w:t xml:space="preserve">Establish who will be responsible for repairs and maintenance, rent collection and </w:t>
            </w:r>
            <w:r w:rsidR="00512673">
              <w:t>void</w:t>
            </w:r>
            <w:r>
              <w:t xml:space="preserve"> turnover.</w:t>
            </w:r>
          </w:p>
        </w:tc>
        <w:tc>
          <w:tcPr>
            <w:tcW w:w="3544" w:type="dxa"/>
          </w:tcPr>
          <w:p w:rsidR="005D47CD" w:rsidRDefault="005D47CD" w:rsidP="001D39E2"/>
        </w:tc>
        <w:tc>
          <w:tcPr>
            <w:tcW w:w="3544" w:type="dxa"/>
          </w:tcPr>
          <w:p w:rsidR="005D47CD" w:rsidRDefault="00881A95" w:rsidP="001D39E2">
            <w:r>
              <w:t>mhs</w:t>
            </w:r>
          </w:p>
        </w:tc>
      </w:tr>
      <w:tr w:rsidR="005D47CD" w:rsidTr="005D47CD">
        <w:tc>
          <w:tcPr>
            <w:tcW w:w="3543" w:type="dxa"/>
          </w:tcPr>
          <w:p w:rsidR="005D47CD" w:rsidRDefault="005D47CD" w:rsidP="001D39E2"/>
        </w:tc>
        <w:tc>
          <w:tcPr>
            <w:tcW w:w="3543" w:type="dxa"/>
          </w:tcPr>
          <w:p w:rsidR="005D47CD" w:rsidRDefault="005D47CD" w:rsidP="001D39E2">
            <w:r>
              <w:t xml:space="preserve">Consider </w:t>
            </w:r>
            <w:r w:rsidR="00512673">
              <w:t>commissioning</w:t>
            </w:r>
            <w:r>
              <w:t xml:space="preserve"> </w:t>
            </w:r>
            <w:r w:rsidR="00512673">
              <w:t>support agencies</w:t>
            </w:r>
            <w:r>
              <w:t xml:space="preserve"> to </w:t>
            </w:r>
            <w:r w:rsidR="00512673">
              <w:t>deliver</w:t>
            </w:r>
            <w:r>
              <w:t xml:space="preserve"> </w:t>
            </w:r>
            <w:r w:rsidR="00512673">
              <w:lastRenderedPageBreak/>
              <w:t>support</w:t>
            </w:r>
            <w:r>
              <w:t xml:space="preserve"> to </w:t>
            </w:r>
            <w:r w:rsidR="00512673">
              <w:t>households</w:t>
            </w:r>
            <w:r>
              <w:t xml:space="preserve"> and </w:t>
            </w:r>
            <w:r w:rsidR="00512673">
              <w:t>individuals</w:t>
            </w:r>
            <w:r>
              <w:t>.</w:t>
            </w:r>
          </w:p>
        </w:tc>
        <w:tc>
          <w:tcPr>
            <w:tcW w:w="3544" w:type="dxa"/>
          </w:tcPr>
          <w:p w:rsidR="005D47CD" w:rsidRDefault="005D47CD" w:rsidP="001D39E2">
            <w:r>
              <w:lastRenderedPageBreak/>
              <w:t xml:space="preserve">Any floating support service </w:t>
            </w:r>
            <w:r w:rsidR="00512673">
              <w:t>available</w:t>
            </w:r>
            <w:r>
              <w:t>?</w:t>
            </w:r>
          </w:p>
        </w:tc>
        <w:tc>
          <w:tcPr>
            <w:tcW w:w="3544" w:type="dxa"/>
          </w:tcPr>
          <w:p w:rsidR="005D47CD" w:rsidRDefault="00881A95" w:rsidP="001D39E2">
            <w:r>
              <w:t>Tenancy Sustainment Officer support</w:t>
            </w:r>
          </w:p>
        </w:tc>
      </w:tr>
      <w:tr w:rsidR="005D47CD" w:rsidTr="005D47CD">
        <w:tc>
          <w:tcPr>
            <w:tcW w:w="3543" w:type="dxa"/>
          </w:tcPr>
          <w:p w:rsidR="005D47CD" w:rsidRDefault="005D47CD" w:rsidP="001D39E2"/>
        </w:tc>
        <w:tc>
          <w:tcPr>
            <w:tcW w:w="3543" w:type="dxa"/>
          </w:tcPr>
          <w:p w:rsidR="005D47CD" w:rsidRDefault="005D47CD" w:rsidP="001D39E2">
            <w:r>
              <w:t xml:space="preserve">Set up a pre-tenancy training programme.  </w:t>
            </w:r>
            <w:r w:rsidR="00512673">
              <w:t>Will you deliver it in-house with an external partner or commission another service to deliver it to your clients?</w:t>
            </w:r>
          </w:p>
        </w:tc>
        <w:tc>
          <w:tcPr>
            <w:tcW w:w="3544" w:type="dxa"/>
          </w:tcPr>
          <w:p w:rsidR="005D47CD" w:rsidRDefault="005D47CD" w:rsidP="001D39E2"/>
        </w:tc>
        <w:tc>
          <w:tcPr>
            <w:tcW w:w="3544" w:type="dxa"/>
          </w:tcPr>
          <w:p w:rsidR="005D47CD" w:rsidRDefault="00450E3A" w:rsidP="001D39E2">
            <w:r>
              <w:t>Community investment Team</w:t>
            </w:r>
          </w:p>
        </w:tc>
      </w:tr>
      <w:tr w:rsidR="005D47CD" w:rsidTr="005D47CD">
        <w:tc>
          <w:tcPr>
            <w:tcW w:w="3543" w:type="dxa"/>
          </w:tcPr>
          <w:p w:rsidR="005D47CD" w:rsidRDefault="005D47CD" w:rsidP="001D39E2"/>
        </w:tc>
        <w:tc>
          <w:tcPr>
            <w:tcW w:w="3543" w:type="dxa"/>
          </w:tcPr>
          <w:p w:rsidR="005D47CD" w:rsidRDefault="005D47CD" w:rsidP="001D39E2">
            <w:r>
              <w:t xml:space="preserve">Ensure </w:t>
            </w:r>
            <w:r w:rsidR="00512673">
              <w:t>there</w:t>
            </w:r>
            <w:r>
              <w:t xml:space="preserve"> is suitable and </w:t>
            </w:r>
            <w:r w:rsidR="00512673">
              <w:t>adequate</w:t>
            </w:r>
            <w:r>
              <w:t xml:space="preserve"> tenancy </w:t>
            </w:r>
            <w:r w:rsidR="00512673">
              <w:t>sustainment</w:t>
            </w:r>
            <w:r>
              <w:t xml:space="preserve"> support available; if delivering this in house ensure staff have </w:t>
            </w:r>
            <w:r w:rsidR="00512673">
              <w:t>capacity</w:t>
            </w:r>
            <w:r>
              <w:t xml:space="preserve">. </w:t>
            </w:r>
          </w:p>
        </w:tc>
        <w:tc>
          <w:tcPr>
            <w:tcW w:w="3544" w:type="dxa"/>
          </w:tcPr>
          <w:p w:rsidR="005D47CD" w:rsidRDefault="005D47CD" w:rsidP="001D39E2"/>
        </w:tc>
        <w:tc>
          <w:tcPr>
            <w:tcW w:w="3544" w:type="dxa"/>
          </w:tcPr>
          <w:p w:rsidR="005D47CD" w:rsidRDefault="00450E3A" w:rsidP="001D39E2">
            <w:r>
              <w:t>Community Investment Team</w:t>
            </w:r>
          </w:p>
        </w:tc>
      </w:tr>
      <w:tr w:rsidR="005D47CD" w:rsidTr="005D47CD">
        <w:tc>
          <w:tcPr>
            <w:tcW w:w="3543" w:type="dxa"/>
          </w:tcPr>
          <w:p w:rsidR="005D47CD" w:rsidRDefault="005D47CD" w:rsidP="001D39E2"/>
        </w:tc>
        <w:tc>
          <w:tcPr>
            <w:tcW w:w="3543" w:type="dxa"/>
          </w:tcPr>
          <w:p w:rsidR="005D47CD" w:rsidRDefault="005D47CD" w:rsidP="001D39E2">
            <w:r>
              <w:t xml:space="preserve">Consider a range of models </w:t>
            </w:r>
            <w:r w:rsidR="00512673">
              <w:t>which</w:t>
            </w:r>
            <w:r>
              <w:t xml:space="preserve"> </w:t>
            </w:r>
            <w:r w:rsidR="00512673">
              <w:t>could</w:t>
            </w:r>
            <w:r>
              <w:t xml:space="preserve"> help ensure smooth running of your shared houses for </w:t>
            </w:r>
            <w:r w:rsidR="00512673">
              <w:t>example</w:t>
            </w:r>
            <w:r>
              <w:t xml:space="preserve"> by </w:t>
            </w:r>
            <w:r w:rsidR="00512673">
              <w:t>employing</w:t>
            </w:r>
            <w:r>
              <w:t xml:space="preserve"> lead tenants or per mentors.</w:t>
            </w:r>
          </w:p>
        </w:tc>
        <w:tc>
          <w:tcPr>
            <w:tcW w:w="3544" w:type="dxa"/>
          </w:tcPr>
          <w:p w:rsidR="005D47CD" w:rsidRDefault="005D47CD" w:rsidP="001D39E2"/>
        </w:tc>
        <w:tc>
          <w:tcPr>
            <w:tcW w:w="3544" w:type="dxa"/>
          </w:tcPr>
          <w:p w:rsidR="005D47CD" w:rsidRDefault="005D47CD" w:rsidP="001D39E2"/>
        </w:tc>
      </w:tr>
      <w:tr w:rsidR="005D47CD" w:rsidTr="005D47CD">
        <w:tc>
          <w:tcPr>
            <w:tcW w:w="3543" w:type="dxa"/>
          </w:tcPr>
          <w:p w:rsidR="005D47CD" w:rsidRDefault="005D47CD" w:rsidP="001D39E2"/>
        </w:tc>
        <w:tc>
          <w:tcPr>
            <w:tcW w:w="3543" w:type="dxa"/>
          </w:tcPr>
          <w:p w:rsidR="005D47CD" w:rsidRDefault="005D47CD" w:rsidP="001D39E2">
            <w:r>
              <w:t xml:space="preserve">Establish </w:t>
            </w:r>
            <w:r w:rsidR="00512673">
              <w:t>a clear</w:t>
            </w:r>
            <w:r>
              <w:t xml:space="preserve"> and robust policy for </w:t>
            </w:r>
            <w:r w:rsidR="00512673">
              <w:t>dealing</w:t>
            </w:r>
            <w:r>
              <w:t xml:space="preserve"> with anti-</w:t>
            </w:r>
            <w:r w:rsidR="00512673">
              <w:t>social</w:t>
            </w:r>
            <w:r>
              <w:t xml:space="preserve"> </w:t>
            </w:r>
            <w:r w:rsidR="00512673">
              <w:t>behaviour</w:t>
            </w:r>
            <w:r>
              <w:t xml:space="preserve"> or any other </w:t>
            </w:r>
            <w:r w:rsidR="00512673">
              <w:t>behaviour</w:t>
            </w:r>
            <w:r>
              <w:t xml:space="preserve"> which cold </w:t>
            </w:r>
            <w:r>
              <w:lastRenderedPageBreak/>
              <w:t>lead to eviction.</w:t>
            </w:r>
          </w:p>
        </w:tc>
        <w:tc>
          <w:tcPr>
            <w:tcW w:w="3544" w:type="dxa"/>
          </w:tcPr>
          <w:p w:rsidR="005D47CD" w:rsidRDefault="005D47CD" w:rsidP="001D39E2"/>
        </w:tc>
        <w:tc>
          <w:tcPr>
            <w:tcW w:w="3544" w:type="dxa"/>
          </w:tcPr>
          <w:p w:rsidR="005D47CD" w:rsidRDefault="005D47CD" w:rsidP="001D39E2"/>
        </w:tc>
      </w:tr>
      <w:tr w:rsidR="001D39E2" w:rsidTr="001D39E2">
        <w:tc>
          <w:tcPr>
            <w:tcW w:w="3543" w:type="dxa"/>
          </w:tcPr>
          <w:p w:rsidR="001D39E2" w:rsidRPr="00D97395" w:rsidRDefault="00281A7F" w:rsidP="001D39E2">
            <w:pPr>
              <w:rPr>
                <w:b/>
                <w:u w:val="single"/>
              </w:rPr>
            </w:pPr>
            <w:r w:rsidRPr="00D97395">
              <w:rPr>
                <w:b/>
                <w:u w:val="single"/>
              </w:rPr>
              <w:lastRenderedPageBreak/>
              <w:t xml:space="preserve">Ending tenancies and helping tenants move on </w:t>
            </w:r>
          </w:p>
        </w:tc>
        <w:tc>
          <w:tcPr>
            <w:tcW w:w="3543" w:type="dxa"/>
          </w:tcPr>
          <w:p w:rsidR="001D39E2" w:rsidRDefault="00920562" w:rsidP="001D39E2">
            <w:r>
              <w:t>Ensure tenants have flexibility to move on if their personal or employment circumstances change.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Default="001D39E2" w:rsidP="001D39E2"/>
        </w:tc>
        <w:tc>
          <w:tcPr>
            <w:tcW w:w="3543" w:type="dxa"/>
          </w:tcPr>
          <w:p w:rsidR="001D39E2" w:rsidRDefault="00281A7F" w:rsidP="001D39E2">
            <w:r>
              <w:t xml:space="preserve">Have a range of move on options </w:t>
            </w:r>
            <w:r w:rsidR="00920562">
              <w:t>available</w:t>
            </w:r>
            <w:r>
              <w:t xml:space="preserve">.  </w:t>
            </w:r>
            <w:r w:rsidR="00920562">
              <w:t>For example you could help facilitate moves within your own stock or support tenants to move into the private rented sector.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Default="001D39E2" w:rsidP="007826A7"/>
        </w:tc>
        <w:tc>
          <w:tcPr>
            <w:tcW w:w="3543" w:type="dxa"/>
          </w:tcPr>
          <w:p w:rsidR="001D39E2" w:rsidRDefault="00281A7F" w:rsidP="001D39E2">
            <w:r>
              <w:t xml:space="preserve">Ensure tenants are directed to </w:t>
            </w:r>
            <w:r w:rsidR="00920562">
              <w:t>suitable</w:t>
            </w:r>
            <w:r>
              <w:t xml:space="preserve"> organisations that may be able to help in the case of tenancy breakdown, for example </w:t>
            </w:r>
            <w:r w:rsidR="00920562">
              <w:t>Housing</w:t>
            </w:r>
            <w:r>
              <w:t xml:space="preserve"> Options, Citizens Advice Bureau and help to Rent </w:t>
            </w:r>
            <w:r w:rsidR="00920562">
              <w:t>projects</w:t>
            </w:r>
            <w:r>
              <w:t>.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Default="001D39E2" w:rsidP="001D39E2"/>
        </w:tc>
        <w:tc>
          <w:tcPr>
            <w:tcW w:w="3543" w:type="dxa"/>
          </w:tcPr>
          <w:p w:rsidR="001D39E2" w:rsidRDefault="00920562" w:rsidP="001D39E2">
            <w:r>
              <w:t>Ensure</w:t>
            </w:r>
            <w:r w:rsidR="00281A7F">
              <w:t xml:space="preserve"> your eviction </w:t>
            </w:r>
            <w:r>
              <w:t>policies</w:t>
            </w:r>
            <w:r w:rsidR="00281A7F">
              <w:t xml:space="preserve"> and procedures are appropriate and that </w:t>
            </w:r>
            <w:r>
              <w:t>all</w:t>
            </w:r>
            <w:r w:rsidR="00281A7F">
              <w:t xml:space="preserve"> relevant staff </w:t>
            </w:r>
            <w:r>
              <w:t>is</w:t>
            </w:r>
            <w:r w:rsidR="00281A7F">
              <w:t xml:space="preserve"> briefed and trained on </w:t>
            </w:r>
            <w:r>
              <w:lastRenderedPageBreak/>
              <w:t>these</w:t>
            </w:r>
            <w:r w:rsidR="00281A7F">
              <w:t>.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Default="001D39E2" w:rsidP="001D39E2"/>
        </w:tc>
        <w:tc>
          <w:tcPr>
            <w:tcW w:w="3543" w:type="dxa"/>
          </w:tcPr>
          <w:p w:rsidR="001D39E2" w:rsidRDefault="00281A7F" w:rsidP="001D39E2">
            <w:r>
              <w:t xml:space="preserve">To minimise voids, ensure you have a pool of </w:t>
            </w:r>
            <w:r w:rsidR="00920562">
              <w:t>prospective</w:t>
            </w:r>
            <w:r>
              <w:t xml:space="preserve"> tenancy ready applicants waiting to </w:t>
            </w:r>
            <w:r w:rsidR="00920562">
              <w:t>access</w:t>
            </w:r>
            <w:r>
              <w:t xml:space="preserve"> shared housing.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Pr="00D97395" w:rsidRDefault="00281A7F" w:rsidP="001D39E2">
            <w:pPr>
              <w:rPr>
                <w:b/>
                <w:u w:val="single"/>
              </w:rPr>
            </w:pPr>
            <w:r w:rsidRPr="00D97395">
              <w:rPr>
                <w:b/>
                <w:u w:val="single"/>
              </w:rPr>
              <w:t xml:space="preserve">Evaluating your shared house project and </w:t>
            </w:r>
            <w:r w:rsidR="00920562" w:rsidRPr="00D97395">
              <w:rPr>
                <w:b/>
                <w:u w:val="single"/>
              </w:rPr>
              <w:t>feeding</w:t>
            </w:r>
            <w:r w:rsidRPr="00D97395">
              <w:rPr>
                <w:b/>
                <w:u w:val="single"/>
              </w:rPr>
              <w:t xml:space="preserve"> back.</w:t>
            </w:r>
          </w:p>
        </w:tc>
        <w:tc>
          <w:tcPr>
            <w:tcW w:w="3543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Default="001D39E2" w:rsidP="001D39E2"/>
        </w:tc>
        <w:tc>
          <w:tcPr>
            <w:tcW w:w="3543" w:type="dxa"/>
          </w:tcPr>
          <w:p w:rsidR="001D39E2" w:rsidRDefault="00281A7F" w:rsidP="001D39E2">
            <w:r>
              <w:t xml:space="preserve">Identify the true cost of running your </w:t>
            </w:r>
            <w:r w:rsidR="00920562">
              <w:t>project</w:t>
            </w:r>
            <w:r>
              <w:t xml:space="preserve"> and establish the </w:t>
            </w:r>
            <w:r w:rsidR="00920562">
              <w:t>potential</w:t>
            </w:r>
            <w:r>
              <w:t xml:space="preserve"> costs of not </w:t>
            </w:r>
            <w:r w:rsidR="00920562">
              <w:t>operating</w:t>
            </w:r>
            <w:r>
              <w:t xml:space="preserve"> a shared </w:t>
            </w:r>
            <w:r w:rsidR="00920562">
              <w:t>scheme</w:t>
            </w:r>
            <w:r>
              <w:t xml:space="preserve">. The cost can be critical </w:t>
            </w:r>
            <w:r w:rsidR="00920562">
              <w:t>if</w:t>
            </w:r>
            <w:r>
              <w:t xml:space="preserve"> </w:t>
            </w:r>
            <w:r w:rsidR="00920562">
              <w:t>choosing</w:t>
            </w:r>
            <w:r>
              <w:t xml:space="preserve"> to make a case internally or externally for </w:t>
            </w:r>
            <w:r w:rsidR="00920562">
              <w:t>continued</w:t>
            </w:r>
            <w:r>
              <w:t xml:space="preserve"> </w:t>
            </w:r>
            <w:r w:rsidR="00920562">
              <w:t>funding</w:t>
            </w:r>
            <w:r>
              <w:t xml:space="preserve"> or support. 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1D39E2" w:rsidTr="001D39E2">
        <w:tc>
          <w:tcPr>
            <w:tcW w:w="3543" w:type="dxa"/>
          </w:tcPr>
          <w:p w:rsidR="001D39E2" w:rsidRDefault="001D39E2" w:rsidP="001D39E2"/>
        </w:tc>
        <w:tc>
          <w:tcPr>
            <w:tcW w:w="3543" w:type="dxa"/>
          </w:tcPr>
          <w:p w:rsidR="001D39E2" w:rsidRDefault="00920562" w:rsidP="001D39E2">
            <w:r>
              <w:t xml:space="preserve">If running a pilot model establish an exit strategy.  Will you continue running a pilot model/develop and increase shared housing project or </w:t>
            </w:r>
            <w:r>
              <w:lastRenderedPageBreak/>
              <w:t>stop at the pilot?  If you are not continuing your pilot what will your service look like when you end?  Where possible run a Skelton service to ensure tenants are supported to the end o f their tenancies.</w:t>
            </w:r>
          </w:p>
        </w:tc>
        <w:tc>
          <w:tcPr>
            <w:tcW w:w="3544" w:type="dxa"/>
          </w:tcPr>
          <w:p w:rsidR="001D39E2" w:rsidRDefault="001D39E2" w:rsidP="001D39E2"/>
        </w:tc>
        <w:tc>
          <w:tcPr>
            <w:tcW w:w="3544" w:type="dxa"/>
          </w:tcPr>
          <w:p w:rsidR="001D39E2" w:rsidRDefault="001D39E2" w:rsidP="001D39E2"/>
        </w:tc>
      </w:tr>
      <w:tr w:rsidR="00281A7F" w:rsidTr="00281A7F">
        <w:tc>
          <w:tcPr>
            <w:tcW w:w="3543" w:type="dxa"/>
          </w:tcPr>
          <w:p w:rsidR="00281A7F" w:rsidRDefault="00281A7F" w:rsidP="00281A7F"/>
        </w:tc>
        <w:tc>
          <w:tcPr>
            <w:tcW w:w="3543" w:type="dxa"/>
          </w:tcPr>
          <w:p w:rsidR="00281A7F" w:rsidRDefault="00920562" w:rsidP="00281A7F">
            <w:r>
              <w:t>Establish what will happen to your stock if your pilot doesn’t continue and identify how you will bring back into use for individual households.</w:t>
            </w:r>
          </w:p>
        </w:tc>
        <w:tc>
          <w:tcPr>
            <w:tcW w:w="3544" w:type="dxa"/>
          </w:tcPr>
          <w:p w:rsidR="00281A7F" w:rsidRDefault="00281A7F" w:rsidP="00281A7F"/>
        </w:tc>
        <w:tc>
          <w:tcPr>
            <w:tcW w:w="3544" w:type="dxa"/>
          </w:tcPr>
          <w:p w:rsidR="00281A7F" w:rsidRDefault="00281A7F" w:rsidP="00281A7F"/>
        </w:tc>
      </w:tr>
      <w:tr w:rsidR="00281A7F" w:rsidTr="00281A7F">
        <w:tc>
          <w:tcPr>
            <w:tcW w:w="3543" w:type="dxa"/>
          </w:tcPr>
          <w:p w:rsidR="00281A7F" w:rsidRDefault="00281A7F" w:rsidP="00281A7F"/>
        </w:tc>
        <w:tc>
          <w:tcPr>
            <w:tcW w:w="3543" w:type="dxa"/>
          </w:tcPr>
          <w:p w:rsidR="00281A7F" w:rsidRDefault="00920562" w:rsidP="00281A7F">
            <w:r>
              <w:t>Identify and build links with other organisations or providers who could take eon your project or provide on-going support to your teams if you do decide not to continue.</w:t>
            </w:r>
          </w:p>
        </w:tc>
        <w:tc>
          <w:tcPr>
            <w:tcW w:w="3544" w:type="dxa"/>
          </w:tcPr>
          <w:p w:rsidR="00281A7F" w:rsidRDefault="00281A7F" w:rsidP="00281A7F"/>
        </w:tc>
        <w:tc>
          <w:tcPr>
            <w:tcW w:w="3544" w:type="dxa"/>
          </w:tcPr>
          <w:p w:rsidR="00281A7F" w:rsidRDefault="00281A7F" w:rsidP="00281A7F"/>
        </w:tc>
      </w:tr>
    </w:tbl>
    <w:p w:rsidR="004F4E82" w:rsidRPr="003E0B3B" w:rsidRDefault="004F4E82" w:rsidP="003E0B3B"/>
    <w:sectPr w:rsidR="004F4E82" w:rsidRPr="003E0B3B" w:rsidSect="004F4E82">
      <w:headerReference w:type="default" r:id="rId14"/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57" w:rsidRDefault="00761157" w:rsidP="007826A7">
      <w:r>
        <w:separator/>
      </w:r>
    </w:p>
  </w:endnote>
  <w:endnote w:type="continuationSeparator" w:id="0">
    <w:p w:rsidR="00761157" w:rsidRDefault="00761157" w:rsidP="0078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603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F3784" w:rsidRDefault="000C07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C07A3">
          <w:fldChar w:fldCharType="begin"/>
        </w:r>
        <w:r w:rsidR="004F3784">
          <w:instrText xml:space="preserve"> PAGE   \* MERGEFORMAT </w:instrText>
        </w:r>
        <w:r w:rsidRPr="000C07A3">
          <w:fldChar w:fldCharType="separate"/>
        </w:r>
        <w:r w:rsidR="004224BA" w:rsidRPr="004224B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4F3784">
          <w:rPr>
            <w:b/>
            <w:bCs/>
          </w:rPr>
          <w:t xml:space="preserve"> | </w:t>
        </w:r>
        <w:r w:rsidR="004F3784">
          <w:rPr>
            <w:color w:val="808080" w:themeColor="background1" w:themeShade="80"/>
            <w:spacing w:val="60"/>
          </w:rPr>
          <w:t>Page</w:t>
        </w:r>
      </w:p>
    </w:sdtContent>
  </w:sdt>
  <w:p w:rsidR="004F3784" w:rsidRDefault="004F3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57" w:rsidRDefault="00761157" w:rsidP="007826A7">
      <w:r>
        <w:separator/>
      </w:r>
    </w:p>
  </w:footnote>
  <w:footnote w:type="continuationSeparator" w:id="0">
    <w:p w:rsidR="00761157" w:rsidRDefault="00761157" w:rsidP="00782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haroni"/>
        <w:b/>
        <w:sz w:val="36"/>
        <w:szCs w:val="36"/>
      </w:rPr>
      <w:alias w:val="Title"/>
      <w:id w:val="77738743"/>
      <w:placeholder>
        <w:docPart w:val="762A1A6DD5004C459E0CC84D182034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3784" w:rsidRDefault="004F37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A2D6F">
          <w:rPr>
            <w:rFonts w:cs="Aharoni"/>
            <w:b/>
            <w:sz w:val="36"/>
            <w:szCs w:val="36"/>
          </w:rPr>
          <w:t>HMO CHECK LIST</w:t>
        </w:r>
      </w:p>
    </w:sdtContent>
  </w:sdt>
  <w:p w:rsidR="004F3784" w:rsidRDefault="004F3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A1C26"/>
    <w:multiLevelType w:val="multilevel"/>
    <w:tmpl w:val="4A6A1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4E82"/>
    <w:rsid w:val="00040D5E"/>
    <w:rsid w:val="00057B6C"/>
    <w:rsid w:val="000C07A3"/>
    <w:rsid w:val="000E0FFC"/>
    <w:rsid w:val="001031A2"/>
    <w:rsid w:val="00197C53"/>
    <w:rsid w:val="001B45F7"/>
    <w:rsid w:val="001D39E2"/>
    <w:rsid w:val="00281A7F"/>
    <w:rsid w:val="00285AB6"/>
    <w:rsid w:val="002B1572"/>
    <w:rsid w:val="0035751A"/>
    <w:rsid w:val="003E0B3B"/>
    <w:rsid w:val="003F15EE"/>
    <w:rsid w:val="004102E4"/>
    <w:rsid w:val="004224BA"/>
    <w:rsid w:val="00450E3A"/>
    <w:rsid w:val="00486710"/>
    <w:rsid w:val="004F3784"/>
    <w:rsid w:val="004F4E82"/>
    <w:rsid w:val="005064D4"/>
    <w:rsid w:val="00512673"/>
    <w:rsid w:val="0057238B"/>
    <w:rsid w:val="005D47CD"/>
    <w:rsid w:val="005E0817"/>
    <w:rsid w:val="0068684D"/>
    <w:rsid w:val="00693B8E"/>
    <w:rsid w:val="006B0BC8"/>
    <w:rsid w:val="006E0A4C"/>
    <w:rsid w:val="00743F59"/>
    <w:rsid w:val="00754228"/>
    <w:rsid w:val="00761157"/>
    <w:rsid w:val="007826A7"/>
    <w:rsid w:val="007A084E"/>
    <w:rsid w:val="00823C5D"/>
    <w:rsid w:val="00873771"/>
    <w:rsid w:val="00881A95"/>
    <w:rsid w:val="0088611B"/>
    <w:rsid w:val="00920562"/>
    <w:rsid w:val="00920792"/>
    <w:rsid w:val="009A08E2"/>
    <w:rsid w:val="009A2D6F"/>
    <w:rsid w:val="00A23938"/>
    <w:rsid w:val="00A3392A"/>
    <w:rsid w:val="00A90A2A"/>
    <w:rsid w:val="00AD0CA6"/>
    <w:rsid w:val="00B01593"/>
    <w:rsid w:val="00B44032"/>
    <w:rsid w:val="00B92EC0"/>
    <w:rsid w:val="00BF21D2"/>
    <w:rsid w:val="00D11DCC"/>
    <w:rsid w:val="00D76E59"/>
    <w:rsid w:val="00D97395"/>
    <w:rsid w:val="00DA38AD"/>
    <w:rsid w:val="00DD44F4"/>
    <w:rsid w:val="00E50DA8"/>
    <w:rsid w:val="00E71B2E"/>
    <w:rsid w:val="00EE71CC"/>
    <w:rsid w:val="00F04BDE"/>
    <w:rsid w:val="00F3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92"/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1A2"/>
    <w:pPr>
      <w:keepNext/>
      <w:keepLines/>
      <w:spacing w:after="24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A2"/>
    <w:pPr>
      <w:keepNext/>
      <w:keepLines/>
      <w:spacing w:after="120"/>
      <w:outlineLvl w:val="1"/>
    </w:pPr>
    <w:rPr>
      <w:rFonts w:eastAsia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1A2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1A2"/>
    <w:rPr>
      <w:rFonts w:ascii="Verdana" w:eastAsia="Times New Roman" w:hAnsi="Verdana" w:cs="Times New Roman"/>
      <w:b/>
      <w:bCs/>
      <w:i/>
      <w:color w:val="00000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1031A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31A2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031A2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31A2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031A2"/>
    <w:rPr>
      <w:rFonts w:ascii="Verdana" w:hAnsi="Verdana"/>
      <w:i/>
      <w:iCs/>
      <w:color w:val="808080"/>
    </w:rPr>
  </w:style>
  <w:style w:type="character" w:styleId="Emphasis">
    <w:name w:val="Emphasis"/>
    <w:uiPriority w:val="20"/>
    <w:rsid w:val="001031A2"/>
    <w:rPr>
      <w:rFonts w:ascii="Verdana" w:hAnsi="Verdana"/>
      <w:i/>
      <w:iCs/>
    </w:rPr>
  </w:style>
  <w:style w:type="character" w:styleId="IntenseEmphasis">
    <w:name w:val="Intense Emphasis"/>
    <w:uiPriority w:val="21"/>
    <w:rsid w:val="001031A2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rsid w:val="001031A2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1031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31A2"/>
    <w:rPr>
      <w:rFonts w:ascii="Verdana" w:hAnsi="Verdana"/>
      <w:i/>
      <w:iCs/>
      <w:color w:val="000000"/>
      <w:sz w:val="24"/>
    </w:rPr>
  </w:style>
  <w:style w:type="character" w:styleId="SubtleReference">
    <w:name w:val="Subtle Reference"/>
    <w:uiPriority w:val="31"/>
    <w:rsid w:val="001031A2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rsid w:val="001031A2"/>
    <w:rPr>
      <w:rFonts w:ascii="Verdana" w:hAnsi="Verdana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1031A2"/>
    <w:pPr>
      <w:ind w:left="720"/>
      <w:contextualSpacing/>
    </w:pPr>
  </w:style>
  <w:style w:type="paragraph" w:customStyle="1" w:styleId="HeadingCommercial1">
    <w:name w:val="Heading Commercial 1"/>
    <w:basedOn w:val="Normal"/>
    <w:qFormat/>
    <w:rsid w:val="00920792"/>
    <w:rPr>
      <w:b/>
      <w:color w:val="7A1E99"/>
      <w:sz w:val="28"/>
      <w:szCs w:val="24"/>
    </w:rPr>
  </w:style>
  <w:style w:type="paragraph" w:customStyle="1" w:styleId="HeadingCommercial2">
    <w:name w:val="Heading Commercial 2"/>
    <w:basedOn w:val="Normal"/>
    <w:qFormat/>
    <w:rsid w:val="00920792"/>
    <w:rPr>
      <w:b/>
      <w:i/>
      <w:color w:val="7A1E99"/>
    </w:rPr>
  </w:style>
  <w:style w:type="paragraph" w:customStyle="1" w:styleId="HeadingHomes1">
    <w:name w:val="Heading Homes 1"/>
    <w:basedOn w:val="Normal"/>
    <w:qFormat/>
    <w:rsid w:val="00920792"/>
    <w:rPr>
      <w:b/>
      <w:color w:val="185241"/>
      <w:sz w:val="28"/>
    </w:rPr>
  </w:style>
  <w:style w:type="paragraph" w:customStyle="1" w:styleId="HeadingHomes2">
    <w:name w:val="Heading Homes 2"/>
    <w:basedOn w:val="Normal"/>
    <w:qFormat/>
    <w:rsid w:val="00920792"/>
    <w:rPr>
      <w:b/>
      <w:i/>
      <w:color w:val="185241"/>
    </w:rPr>
  </w:style>
  <w:style w:type="table" w:styleId="TableGrid">
    <w:name w:val="Table Grid"/>
    <w:basedOn w:val="TableNormal"/>
    <w:uiPriority w:val="59"/>
    <w:rsid w:val="004F4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A7"/>
    <w:rPr>
      <w:rFonts w:ascii="Verdana" w:hAnsi="Verdan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A7"/>
    <w:rPr>
      <w:rFonts w:ascii="Verdana" w:hAnsi="Verdan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5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92"/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1A2"/>
    <w:pPr>
      <w:keepNext/>
      <w:keepLines/>
      <w:spacing w:after="24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1A2"/>
    <w:pPr>
      <w:keepNext/>
      <w:keepLines/>
      <w:spacing w:after="120"/>
      <w:outlineLvl w:val="1"/>
    </w:pPr>
    <w:rPr>
      <w:rFonts w:eastAsia="Times New Roman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31A2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031A2"/>
    <w:rPr>
      <w:rFonts w:ascii="Verdana" w:eastAsia="Times New Roman" w:hAnsi="Verdana" w:cs="Times New Roman"/>
      <w:b/>
      <w:bCs/>
      <w:i/>
      <w:color w:val="00000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1031A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031A2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031A2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031A2"/>
    <w:rPr>
      <w:rFonts w:ascii="Verdana" w:eastAsia="Times New Roman" w:hAnsi="Verdan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1031A2"/>
    <w:rPr>
      <w:rFonts w:ascii="Verdana" w:hAnsi="Verdana"/>
      <w:i/>
      <w:iCs/>
      <w:color w:val="808080"/>
    </w:rPr>
  </w:style>
  <w:style w:type="character" w:styleId="Emphasis">
    <w:name w:val="Emphasis"/>
    <w:uiPriority w:val="20"/>
    <w:rsid w:val="001031A2"/>
    <w:rPr>
      <w:rFonts w:ascii="Verdana" w:hAnsi="Verdana"/>
      <w:i/>
      <w:iCs/>
    </w:rPr>
  </w:style>
  <w:style w:type="character" w:styleId="IntenseEmphasis">
    <w:name w:val="Intense Emphasis"/>
    <w:uiPriority w:val="21"/>
    <w:rsid w:val="001031A2"/>
    <w:rPr>
      <w:rFonts w:ascii="Verdana" w:hAnsi="Verdana"/>
      <w:b/>
      <w:bCs/>
      <w:i/>
      <w:iCs/>
      <w:color w:val="4F81BD"/>
    </w:rPr>
  </w:style>
  <w:style w:type="character" w:styleId="Strong">
    <w:name w:val="Strong"/>
    <w:uiPriority w:val="22"/>
    <w:rsid w:val="001031A2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1031A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031A2"/>
    <w:rPr>
      <w:rFonts w:ascii="Verdana" w:hAnsi="Verdana"/>
      <w:i/>
      <w:iCs/>
      <w:color w:val="000000"/>
      <w:sz w:val="24"/>
    </w:rPr>
  </w:style>
  <w:style w:type="character" w:styleId="SubtleReference">
    <w:name w:val="Subtle Reference"/>
    <w:uiPriority w:val="31"/>
    <w:rsid w:val="001031A2"/>
    <w:rPr>
      <w:rFonts w:ascii="Verdana" w:hAnsi="Verdana"/>
      <w:smallCaps/>
      <w:color w:val="C0504D"/>
      <w:u w:val="single"/>
    </w:rPr>
  </w:style>
  <w:style w:type="character" w:styleId="IntenseReference">
    <w:name w:val="Intense Reference"/>
    <w:uiPriority w:val="32"/>
    <w:rsid w:val="001031A2"/>
    <w:rPr>
      <w:rFonts w:ascii="Verdana" w:hAnsi="Verdana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1031A2"/>
    <w:pPr>
      <w:ind w:left="720"/>
      <w:contextualSpacing/>
    </w:pPr>
  </w:style>
  <w:style w:type="paragraph" w:customStyle="1" w:styleId="HeadingCommercial1">
    <w:name w:val="Heading Commercial 1"/>
    <w:basedOn w:val="Normal"/>
    <w:qFormat/>
    <w:rsid w:val="00920792"/>
    <w:rPr>
      <w:b/>
      <w:color w:val="7A1E99"/>
      <w:sz w:val="28"/>
      <w:szCs w:val="24"/>
    </w:rPr>
  </w:style>
  <w:style w:type="paragraph" w:customStyle="1" w:styleId="HeadingCommercial2">
    <w:name w:val="Heading Commercial 2"/>
    <w:basedOn w:val="Normal"/>
    <w:qFormat/>
    <w:rsid w:val="00920792"/>
    <w:rPr>
      <w:b/>
      <w:i/>
      <w:color w:val="7A1E99"/>
    </w:rPr>
  </w:style>
  <w:style w:type="paragraph" w:customStyle="1" w:styleId="HeadingHomes1">
    <w:name w:val="Heading Homes 1"/>
    <w:basedOn w:val="Normal"/>
    <w:qFormat/>
    <w:rsid w:val="00920792"/>
    <w:rPr>
      <w:b/>
      <w:color w:val="185241"/>
      <w:sz w:val="28"/>
    </w:rPr>
  </w:style>
  <w:style w:type="paragraph" w:customStyle="1" w:styleId="HeadingHomes2">
    <w:name w:val="Heading Homes 2"/>
    <w:basedOn w:val="Normal"/>
    <w:qFormat/>
    <w:rsid w:val="00920792"/>
    <w:rPr>
      <w:b/>
      <w:i/>
      <w:color w:val="185241"/>
    </w:rPr>
  </w:style>
  <w:style w:type="table" w:styleId="TableGrid">
    <w:name w:val="Table Grid"/>
    <w:basedOn w:val="TableNormal"/>
    <w:uiPriority w:val="59"/>
    <w:rsid w:val="004F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A7"/>
    <w:rPr>
      <w:rFonts w:ascii="Verdana" w:hAnsi="Verdana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A7"/>
    <w:rPr>
      <w:rFonts w:ascii="Verdana" w:hAnsi="Verdana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A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50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hewe\AppData\Local\Microsoft\Windows\Temporary%20Internet%20Files\Content.Outlook\3QPCHI2N\Copy%20of%20Potential%20Statement%2081%20Shorts%20Way%20docx.xlsx" TargetMode="External"/><Relationship Id="rId13" Type="http://schemas.openxmlformats.org/officeDocument/2006/relationships/hyperlink" Target="file:///C:\Users\matthewe\AppData\Local\Microsoft\Windows\Temporary%20Internet%20Files\Content.Outlook\3QPCHI2N\Copy%20of%20Potential%20Statement%2081%20Shorts%20Way%20docx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tthewe\AppData\Local\Microsoft\Windows\Temporary%20Internet%20Files\Content.Outlook\3QPCHI2N\HMO%20CHECK%20LIST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tthewe\AppData\Local\Microsoft\Windows\Temporary%20Internet%20Files\Content.Outlook\3QPCHI2N\HMO%20Pilot%20Scheme%20-%20Appendix%202%20&amp;%203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matthewe\AppData\Local\Microsoft\Windows\Temporary%20Internet%20Files\Content.Outlook\3QPCHI2N\HMO%20Pilot%20Scheme%20-%20report%2014th%20August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matthewe\AppData\Local\Microsoft\Windows\Temporary%20Internet%20Files\Content.Outlook\3QPCHI2N\Draft%20AST.doc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2A1A6DD5004C459E0CC84D1820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55C3-F37A-45D2-B2DE-FA1BAA22A79E}"/>
      </w:docPartPr>
      <w:docPartBody>
        <w:p w:rsidR="000E11CF" w:rsidRDefault="00CF7D47" w:rsidP="00CF7D47">
          <w:pPr>
            <w:pStyle w:val="762A1A6DD5004C459E0CC84D182034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7D47"/>
    <w:rsid w:val="000E11CF"/>
    <w:rsid w:val="00164C14"/>
    <w:rsid w:val="00C36BD1"/>
    <w:rsid w:val="00C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A1A6DD5004C459E0CC84D182034B9">
    <w:name w:val="762A1A6DD5004C459E0CC84D182034B9"/>
    <w:rsid w:val="00CF7D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93BD5D-7536-4FB8-B75B-A7D08A1C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 CHECK LIST</vt:lpstr>
    </vt:vector>
  </TitlesOfParts>
  <Company>MHS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CHECK LIST</dc:title>
  <dc:creator>Hony Premlal</dc:creator>
  <cp:lastModifiedBy>jpells</cp:lastModifiedBy>
  <cp:revision>2</cp:revision>
  <cp:lastPrinted>2017-08-17T09:02:00Z</cp:lastPrinted>
  <dcterms:created xsi:type="dcterms:W3CDTF">2017-10-02T15:09:00Z</dcterms:created>
  <dcterms:modified xsi:type="dcterms:W3CDTF">2017-10-02T15:09:00Z</dcterms:modified>
</cp:coreProperties>
</file>