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39" w:rsidRPr="00B86DFE" w:rsidRDefault="00824839" w:rsidP="00824839">
      <w:pPr>
        <w:spacing w:before="60" w:afterLines="60" w:after="144"/>
        <w:jc w:val="both"/>
        <w:rPr>
          <w:rFonts w:ascii="Arial" w:eastAsiaTheme="minorHAnsi" w:hAnsi="Arial" w:cs="Arial"/>
          <w:b/>
          <w:lang w:eastAsia="en-US"/>
        </w:rPr>
      </w:pPr>
      <w:r w:rsidRPr="00B86DFE">
        <w:rPr>
          <w:rFonts w:ascii="Arial" w:eastAsiaTheme="minorHAnsi" w:hAnsi="Arial" w:cs="Arial"/>
          <w:b/>
          <w:lang w:eastAsia="en-US"/>
        </w:rPr>
        <w:t xml:space="preserve">Report to: </w:t>
      </w:r>
      <w:r w:rsidRPr="00B86DFE">
        <w:rPr>
          <w:rFonts w:ascii="Arial" w:eastAsiaTheme="minorHAnsi" w:hAnsi="Arial" w:cs="Arial"/>
          <w:b/>
          <w:lang w:eastAsia="en-US"/>
        </w:rPr>
        <w:tab/>
      </w:r>
      <w:r w:rsidR="007F5CC6">
        <w:rPr>
          <w:rFonts w:ascii="Arial" w:eastAsiaTheme="minorHAnsi" w:hAnsi="Arial" w:cs="Arial"/>
          <w:b/>
          <w:lang w:eastAsia="en-US"/>
        </w:rPr>
        <w:t>Kent Housing Group</w:t>
      </w:r>
    </w:p>
    <w:p w:rsidR="00824839" w:rsidRPr="00B86DFE" w:rsidRDefault="00824839" w:rsidP="00824839">
      <w:pPr>
        <w:spacing w:before="60" w:afterLines="60" w:after="144"/>
        <w:jc w:val="both"/>
        <w:rPr>
          <w:rFonts w:ascii="Arial" w:eastAsiaTheme="minorHAnsi" w:hAnsi="Arial" w:cs="Arial"/>
          <w:b/>
          <w:lang w:eastAsia="en-US"/>
        </w:rPr>
      </w:pPr>
      <w:r w:rsidRPr="00B86DFE">
        <w:rPr>
          <w:rFonts w:ascii="Arial" w:eastAsiaTheme="minorHAnsi" w:hAnsi="Arial" w:cs="Arial"/>
          <w:b/>
          <w:lang w:eastAsia="en-US"/>
        </w:rPr>
        <w:t xml:space="preserve">From: </w:t>
      </w:r>
      <w:r w:rsidRPr="00B86DFE">
        <w:rPr>
          <w:rFonts w:ascii="Arial" w:eastAsiaTheme="minorHAnsi" w:hAnsi="Arial" w:cs="Arial"/>
          <w:b/>
          <w:lang w:eastAsia="en-US"/>
        </w:rPr>
        <w:tab/>
        <w:t xml:space="preserve">Homes &amp; Communities Agency </w:t>
      </w:r>
    </w:p>
    <w:p w:rsidR="00824839" w:rsidRPr="00B86DFE" w:rsidRDefault="00824839" w:rsidP="00824839">
      <w:pPr>
        <w:spacing w:before="60" w:afterLines="60" w:after="144"/>
        <w:jc w:val="both"/>
        <w:rPr>
          <w:rFonts w:ascii="Arial" w:eastAsiaTheme="minorHAnsi" w:hAnsi="Arial" w:cs="Arial"/>
          <w:b/>
          <w:lang w:eastAsia="en-US"/>
        </w:rPr>
      </w:pPr>
      <w:r w:rsidRPr="00B86DFE">
        <w:rPr>
          <w:rFonts w:ascii="Arial" w:eastAsiaTheme="minorHAnsi" w:hAnsi="Arial" w:cs="Arial"/>
          <w:b/>
          <w:lang w:eastAsia="en-US"/>
        </w:rPr>
        <w:t xml:space="preserve">Date: </w:t>
      </w:r>
      <w:r w:rsidRPr="00B86DFE">
        <w:rPr>
          <w:rFonts w:ascii="Arial" w:eastAsiaTheme="minorHAnsi" w:hAnsi="Arial" w:cs="Arial"/>
          <w:b/>
          <w:lang w:eastAsia="en-US"/>
        </w:rPr>
        <w:tab/>
      </w:r>
      <w:r w:rsidRPr="00B86DFE">
        <w:rPr>
          <w:rFonts w:ascii="Arial" w:eastAsiaTheme="minorHAnsi" w:hAnsi="Arial" w:cs="Arial"/>
          <w:b/>
          <w:lang w:eastAsia="en-US"/>
        </w:rPr>
        <w:tab/>
      </w:r>
      <w:r w:rsidR="003B3588">
        <w:rPr>
          <w:rFonts w:ascii="Arial" w:eastAsiaTheme="minorHAnsi" w:hAnsi="Arial" w:cs="Arial"/>
          <w:b/>
          <w:lang w:eastAsia="en-US"/>
        </w:rPr>
        <w:t>January 2016</w:t>
      </w:r>
    </w:p>
    <w:p w:rsidR="00824839" w:rsidRPr="00B86DFE" w:rsidRDefault="00824839" w:rsidP="00824839">
      <w:pPr>
        <w:spacing w:before="60" w:afterLines="60" w:after="144"/>
        <w:jc w:val="both"/>
        <w:rPr>
          <w:rFonts w:ascii="Arial" w:eastAsiaTheme="minorHAnsi" w:hAnsi="Arial" w:cs="Arial"/>
          <w:b/>
          <w:lang w:eastAsia="en-US"/>
        </w:rPr>
      </w:pPr>
      <w:r w:rsidRPr="00B86DFE">
        <w:rPr>
          <w:rFonts w:ascii="Arial" w:eastAsiaTheme="minorHAnsi" w:hAnsi="Arial" w:cs="Arial"/>
          <w:b/>
          <w:lang w:eastAsia="en-US"/>
        </w:rPr>
        <w:t>Subject:</w:t>
      </w:r>
      <w:r w:rsidRPr="00B86DFE">
        <w:rPr>
          <w:rFonts w:ascii="Arial" w:eastAsiaTheme="minorHAnsi" w:hAnsi="Arial" w:cs="Arial"/>
          <w:b/>
          <w:lang w:eastAsia="en-US"/>
        </w:rPr>
        <w:tab/>
        <w:t xml:space="preserve"> HCA update  </w:t>
      </w:r>
    </w:p>
    <w:bookmarkStart w:id="0" w:name="_GoBack"/>
    <w:bookmarkEnd w:id="0"/>
    <w:p w:rsidR="00824839" w:rsidRPr="00B86DFE" w:rsidRDefault="00824839" w:rsidP="00824839">
      <w:pPr>
        <w:spacing w:before="60" w:afterLines="60" w:after="144"/>
        <w:jc w:val="both"/>
        <w:rPr>
          <w:rFonts w:ascii="Arial" w:eastAsiaTheme="minorHAnsi" w:hAnsi="Arial" w:cs="Arial"/>
          <w:b/>
          <w:lang w:eastAsia="en-US"/>
        </w:rPr>
      </w:pPr>
      <w:r w:rsidRPr="00B86DFE">
        <w:rPr>
          <w:rFonts w:ascii="Arial" w:eastAsiaTheme="minorHAnsi" w:hAnsi="Arial" w:cs="Arial"/>
          <w:b/>
          <w:noProof/>
        </w:rPr>
        <mc:AlternateContent>
          <mc:Choice Requires="wps">
            <w:drawing>
              <wp:anchor distT="0" distB="0" distL="114300" distR="114300" simplePos="0" relativeHeight="251659264" behindDoc="0" locked="0" layoutInCell="1" allowOverlap="1" wp14:anchorId="4C08A71F" wp14:editId="03003B57">
                <wp:simplePos x="0" y="0"/>
                <wp:positionH relativeFrom="column">
                  <wp:posOffset>-9525</wp:posOffset>
                </wp:positionH>
                <wp:positionV relativeFrom="paragraph">
                  <wp:posOffset>45085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55pt" to="462.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" strokecolor="#4a7ebb"/>
            </w:pict>
          </mc:Fallback>
        </mc:AlternateContent>
      </w:r>
    </w:p>
    <w:p w:rsidR="00824839" w:rsidRDefault="00824839" w:rsidP="00824839">
      <w:pPr>
        <w:spacing w:before="60" w:afterLines="60" w:after="144"/>
        <w:jc w:val="both"/>
        <w:rPr>
          <w:rFonts w:ascii="Arial" w:eastAsiaTheme="minorHAnsi" w:hAnsi="Arial" w:cs="Arial"/>
          <w:sz w:val="22"/>
          <w:szCs w:val="22"/>
          <w:lang w:eastAsia="en-US"/>
        </w:rPr>
      </w:pPr>
      <w:r w:rsidRPr="00B5139C">
        <w:rPr>
          <w:rFonts w:ascii="Arial" w:eastAsiaTheme="minorHAnsi" w:hAnsi="Arial" w:cs="Arial"/>
          <w:sz w:val="22"/>
          <w:szCs w:val="22"/>
          <w:lang w:eastAsia="en-US"/>
        </w:rPr>
        <w:t>Th</w:t>
      </w:r>
      <w:r w:rsidR="00846D35">
        <w:rPr>
          <w:rFonts w:ascii="Arial" w:eastAsiaTheme="minorHAnsi" w:hAnsi="Arial" w:cs="Arial"/>
          <w:sz w:val="22"/>
          <w:szCs w:val="22"/>
          <w:lang w:eastAsia="en-US"/>
        </w:rPr>
        <w:t xml:space="preserve">is report provides an update </w:t>
      </w:r>
      <w:r w:rsidRPr="00B5139C">
        <w:rPr>
          <w:rFonts w:ascii="Arial" w:eastAsiaTheme="minorHAnsi" w:hAnsi="Arial" w:cs="Arial"/>
          <w:sz w:val="22"/>
          <w:szCs w:val="22"/>
          <w:lang w:eastAsia="en-US"/>
        </w:rPr>
        <w:t xml:space="preserve">on the various programmes that have been available to Local Authorities, Registered Providers and Developers. The programmes are national but the report indicates where bids have been received within the Kent. </w:t>
      </w:r>
      <w:r w:rsidR="00846D35">
        <w:rPr>
          <w:rFonts w:ascii="Arial" w:eastAsiaTheme="minorHAnsi" w:hAnsi="Arial" w:cs="Arial"/>
          <w:sz w:val="22"/>
          <w:szCs w:val="22"/>
          <w:lang w:eastAsia="en-US"/>
        </w:rPr>
        <w:t>On some programmes</w:t>
      </w:r>
      <w:r w:rsidRPr="00B5139C">
        <w:rPr>
          <w:rFonts w:ascii="Arial" w:eastAsiaTheme="minorHAnsi" w:hAnsi="Arial" w:cs="Arial"/>
          <w:sz w:val="22"/>
          <w:szCs w:val="22"/>
          <w:lang w:eastAsia="en-US"/>
        </w:rPr>
        <w:t xml:space="preserve"> the deadline for applications has passed, however, </w:t>
      </w:r>
      <w:r w:rsidR="00846D35">
        <w:rPr>
          <w:rFonts w:ascii="Arial" w:eastAsiaTheme="minorHAnsi" w:hAnsi="Arial" w:cs="Arial"/>
          <w:sz w:val="22"/>
          <w:szCs w:val="22"/>
          <w:lang w:eastAsia="en-US"/>
        </w:rPr>
        <w:t xml:space="preserve">where </w:t>
      </w:r>
      <w:r w:rsidRPr="00B5139C">
        <w:rPr>
          <w:rFonts w:ascii="Arial" w:eastAsiaTheme="minorHAnsi" w:hAnsi="Arial" w:cs="Arial"/>
          <w:sz w:val="22"/>
          <w:szCs w:val="22"/>
          <w:lang w:eastAsia="en-US"/>
        </w:rPr>
        <w:t xml:space="preserve">there are still opportunities to bid under the Continuous Market Assessment (CME) </w:t>
      </w:r>
      <w:r w:rsidR="00846D35">
        <w:rPr>
          <w:rFonts w:ascii="Arial" w:eastAsiaTheme="minorHAnsi" w:hAnsi="Arial" w:cs="Arial"/>
          <w:sz w:val="22"/>
          <w:szCs w:val="22"/>
          <w:lang w:eastAsia="en-US"/>
        </w:rPr>
        <w:t>this is highlighted.</w:t>
      </w:r>
    </w:p>
    <w:p w:rsidR="00651A9F" w:rsidRDefault="00651A9F" w:rsidP="00651A9F">
      <w:pPr>
        <w:pStyle w:val="Heading1"/>
        <w:rPr>
          <w:vertAlign w:val="superscript"/>
        </w:rPr>
      </w:pPr>
      <w:r>
        <w:t xml:space="preserve">Spending Review and Autumn Statement </w:t>
      </w:r>
    </w:p>
    <w:p w:rsidR="00651A9F" w:rsidRDefault="00651A9F" w:rsidP="00651A9F">
      <w:pPr>
        <w:pStyle w:val="BodyText"/>
        <w:spacing w:after="0"/>
      </w:pPr>
      <w:r>
        <w:t xml:space="preserve">Spending Review and Autumn Statement 2015 document: </w:t>
      </w:r>
      <w:hyperlink r:id="rId9" w:history="1">
        <w:r>
          <w:rPr>
            <w:rStyle w:val="Hyperlink"/>
          </w:rPr>
          <w:t>https://www.gov.uk/government/uploads/system/uploads/attachment_data/file/479749/52229_Blue_Book_PU1865_Web_Accessible.pdf</w:t>
        </w:r>
      </w:hyperlink>
      <w:r>
        <w:t xml:space="preserve"> </w:t>
      </w:r>
    </w:p>
    <w:p w:rsidR="00651A9F" w:rsidRDefault="00651A9F" w:rsidP="00651A9F">
      <w:pPr>
        <w:pStyle w:val="BodyText"/>
        <w:spacing w:after="0"/>
      </w:pPr>
    </w:p>
    <w:p w:rsidR="00651A9F" w:rsidRDefault="00651A9F" w:rsidP="00651A9F">
      <w:pPr>
        <w:pStyle w:val="BodyText"/>
        <w:spacing w:after="0"/>
      </w:pPr>
      <w:r>
        <w:t>Office for Budget Responsibility Economic and Fiscal outlook – November 2015:</w:t>
      </w:r>
    </w:p>
    <w:p w:rsidR="00651A9F" w:rsidRDefault="007F5CC6" w:rsidP="00651A9F">
      <w:pPr>
        <w:pStyle w:val="BodyText"/>
        <w:spacing w:after="0"/>
      </w:pPr>
      <w:hyperlink r:id="rId10" w:history="1">
        <w:r w:rsidR="00651A9F">
          <w:rPr>
            <w:rStyle w:val="Hyperlink"/>
          </w:rPr>
          <w:t>http://cdn.budgetresponsibility.independent.gov.uk/EFO_November__2015.pdf</w:t>
        </w:r>
      </w:hyperlink>
      <w:r w:rsidR="00651A9F">
        <w:t xml:space="preserve"> </w:t>
      </w:r>
    </w:p>
    <w:p w:rsidR="00651A9F" w:rsidRDefault="00651A9F" w:rsidP="00651A9F">
      <w:pPr>
        <w:pStyle w:val="BodyText"/>
        <w:spacing w:after="0"/>
      </w:pPr>
    </w:p>
    <w:p w:rsidR="00651A9F" w:rsidRDefault="00651A9F" w:rsidP="00651A9F">
      <w:pPr>
        <w:pStyle w:val="Heading2"/>
        <w:spacing w:before="0" w:after="0"/>
        <w:rPr>
          <w:rFonts w:cs="Arial"/>
          <w:sz w:val="24"/>
          <w:szCs w:val="24"/>
        </w:rPr>
      </w:pPr>
    </w:p>
    <w:p w:rsidR="00207D5F" w:rsidRPr="00207D5F" w:rsidRDefault="00207D5F" w:rsidP="00207D5F">
      <w:pPr>
        <w:pStyle w:val="ListParagraph"/>
        <w:numPr>
          <w:ilvl w:val="0"/>
          <w:numId w:val="25"/>
        </w:numPr>
        <w:spacing w:line="276" w:lineRule="auto"/>
        <w:rPr>
          <w:rFonts w:ascii="Arial" w:hAnsi="Arial" w:cs="Arial"/>
          <w:sz w:val="22"/>
          <w:szCs w:val="22"/>
        </w:rPr>
      </w:pPr>
      <w:r w:rsidRPr="00207D5F">
        <w:rPr>
          <w:rFonts w:ascii="Arial" w:hAnsi="Arial" w:cs="Arial"/>
          <w:sz w:val="22"/>
          <w:szCs w:val="22"/>
        </w:rPr>
        <w:t>The Chancellor confirmed the Government’s commitment to the housing industry, with investment to build the homes local communities want, and to support people into a home of their own</w:t>
      </w:r>
    </w:p>
    <w:p w:rsidR="00207D5F" w:rsidRPr="00207D5F" w:rsidRDefault="00207D5F" w:rsidP="00207D5F">
      <w:pPr>
        <w:pStyle w:val="ListParagraph"/>
        <w:rPr>
          <w:rFonts w:ascii="Arial" w:hAnsi="Arial" w:cs="Arial"/>
          <w:sz w:val="22"/>
          <w:szCs w:val="22"/>
        </w:rPr>
      </w:pPr>
    </w:p>
    <w:p w:rsidR="00207D5F" w:rsidRPr="00207D5F" w:rsidRDefault="00207D5F" w:rsidP="00207D5F">
      <w:pPr>
        <w:pStyle w:val="NoSpacing"/>
        <w:numPr>
          <w:ilvl w:val="0"/>
          <w:numId w:val="25"/>
        </w:numPr>
        <w:jc w:val="both"/>
        <w:rPr>
          <w:rFonts w:ascii="Arial" w:hAnsi="Arial" w:cs="Arial"/>
          <w:sz w:val="22"/>
          <w:szCs w:val="22"/>
        </w:rPr>
      </w:pPr>
      <w:r w:rsidRPr="00207D5F">
        <w:rPr>
          <w:rFonts w:ascii="Arial" w:hAnsi="Arial" w:cs="Arial"/>
          <w:sz w:val="22"/>
          <w:szCs w:val="22"/>
        </w:rPr>
        <w:t xml:space="preserve">Overall the housing package totals around £20bn, including £8bn to deliver over 400,000 affordable starts, and a further £12bn to provide many more homes </w:t>
      </w:r>
    </w:p>
    <w:p w:rsidR="00207D5F" w:rsidRPr="00207D5F" w:rsidRDefault="00207D5F" w:rsidP="00207D5F">
      <w:pPr>
        <w:pStyle w:val="NoSpacing"/>
        <w:jc w:val="both"/>
        <w:rPr>
          <w:rFonts w:ascii="Arial" w:hAnsi="Arial" w:cs="Arial"/>
          <w:sz w:val="22"/>
          <w:szCs w:val="22"/>
        </w:rPr>
      </w:pPr>
    </w:p>
    <w:p w:rsidR="00207D5F" w:rsidRPr="00207D5F" w:rsidRDefault="00207D5F" w:rsidP="00207D5F">
      <w:pPr>
        <w:pStyle w:val="ListParagraph"/>
        <w:numPr>
          <w:ilvl w:val="0"/>
          <w:numId w:val="25"/>
        </w:numPr>
        <w:spacing w:line="276" w:lineRule="auto"/>
        <w:rPr>
          <w:rFonts w:ascii="Arial" w:hAnsi="Arial" w:cs="Arial"/>
          <w:sz w:val="22"/>
          <w:szCs w:val="22"/>
        </w:rPr>
      </w:pPr>
      <w:r w:rsidRPr="00207D5F">
        <w:rPr>
          <w:rFonts w:ascii="Arial" w:hAnsi="Arial" w:cs="Arial"/>
          <w:sz w:val="22"/>
          <w:szCs w:val="22"/>
        </w:rPr>
        <w:t xml:space="preserve">This represents the biggest affordable house building programme since the 1970s, and includes: </w:t>
      </w:r>
    </w:p>
    <w:p w:rsidR="00207D5F" w:rsidRPr="00207D5F" w:rsidRDefault="00207D5F" w:rsidP="00207D5F">
      <w:pPr>
        <w:pStyle w:val="ListParagraph"/>
        <w:numPr>
          <w:ilvl w:val="1"/>
          <w:numId w:val="25"/>
        </w:numPr>
        <w:spacing w:line="276" w:lineRule="auto"/>
        <w:rPr>
          <w:rFonts w:ascii="Arial" w:hAnsi="Arial" w:cs="Arial"/>
          <w:sz w:val="22"/>
          <w:szCs w:val="22"/>
        </w:rPr>
      </w:pPr>
      <w:r w:rsidRPr="00207D5F">
        <w:rPr>
          <w:rFonts w:ascii="Arial" w:hAnsi="Arial" w:cs="Arial"/>
          <w:sz w:val="22"/>
          <w:szCs w:val="22"/>
        </w:rPr>
        <w:t>200,000 Starter Homes</w:t>
      </w:r>
    </w:p>
    <w:p w:rsidR="00207D5F" w:rsidRPr="00207D5F" w:rsidRDefault="00207D5F" w:rsidP="00207D5F">
      <w:pPr>
        <w:pStyle w:val="ListParagraph"/>
        <w:numPr>
          <w:ilvl w:val="1"/>
          <w:numId w:val="25"/>
        </w:numPr>
        <w:spacing w:line="276" w:lineRule="auto"/>
        <w:rPr>
          <w:rFonts w:ascii="Arial" w:hAnsi="Arial" w:cs="Arial"/>
          <w:sz w:val="22"/>
          <w:szCs w:val="22"/>
        </w:rPr>
      </w:pPr>
      <w:r w:rsidRPr="00207D5F">
        <w:rPr>
          <w:rFonts w:ascii="Arial" w:hAnsi="Arial" w:cs="Arial"/>
          <w:sz w:val="22"/>
          <w:szCs w:val="22"/>
        </w:rPr>
        <w:t xml:space="preserve">135,000 homes under Help to Buy Shared Ownership </w:t>
      </w:r>
    </w:p>
    <w:p w:rsidR="00207D5F" w:rsidRPr="00207D5F" w:rsidRDefault="00207D5F" w:rsidP="00207D5F">
      <w:pPr>
        <w:pStyle w:val="ListParagraph"/>
        <w:numPr>
          <w:ilvl w:val="1"/>
          <w:numId w:val="25"/>
        </w:numPr>
        <w:spacing w:line="276" w:lineRule="auto"/>
        <w:rPr>
          <w:rFonts w:ascii="Arial" w:hAnsi="Arial" w:cs="Arial"/>
          <w:sz w:val="22"/>
          <w:szCs w:val="22"/>
        </w:rPr>
      </w:pPr>
      <w:r w:rsidRPr="00207D5F">
        <w:rPr>
          <w:rFonts w:ascii="Arial" w:hAnsi="Arial" w:cs="Arial"/>
          <w:sz w:val="22"/>
          <w:szCs w:val="22"/>
        </w:rPr>
        <w:t>10,000 homes allowing a tenant to save for a deposit whilst renting</w:t>
      </w:r>
    </w:p>
    <w:p w:rsidR="00207D5F" w:rsidRPr="00207D5F" w:rsidRDefault="00207D5F" w:rsidP="00207D5F">
      <w:pPr>
        <w:pStyle w:val="ListParagraph"/>
        <w:numPr>
          <w:ilvl w:val="1"/>
          <w:numId w:val="25"/>
        </w:numPr>
        <w:spacing w:line="276" w:lineRule="auto"/>
        <w:rPr>
          <w:rFonts w:ascii="Arial" w:hAnsi="Arial" w:cs="Arial"/>
          <w:sz w:val="22"/>
          <w:szCs w:val="22"/>
        </w:rPr>
      </w:pPr>
      <w:r w:rsidRPr="00207D5F">
        <w:rPr>
          <w:rFonts w:ascii="Arial" w:hAnsi="Arial" w:cs="Arial"/>
          <w:sz w:val="22"/>
          <w:szCs w:val="22"/>
        </w:rPr>
        <w:t>8,000 specialist homes for older people and people with disabilities</w:t>
      </w:r>
    </w:p>
    <w:p w:rsidR="00207D5F" w:rsidRPr="00207D5F" w:rsidRDefault="00207D5F" w:rsidP="00207D5F">
      <w:pPr>
        <w:pStyle w:val="ListParagraph"/>
        <w:ind w:left="1440"/>
        <w:rPr>
          <w:rFonts w:ascii="Arial" w:hAnsi="Arial" w:cs="Arial"/>
          <w:sz w:val="22"/>
          <w:szCs w:val="22"/>
        </w:rPr>
      </w:pPr>
    </w:p>
    <w:p w:rsidR="00207D5F" w:rsidRDefault="00207D5F" w:rsidP="00207D5F">
      <w:pPr>
        <w:pStyle w:val="ListParagraph"/>
        <w:numPr>
          <w:ilvl w:val="0"/>
          <w:numId w:val="25"/>
        </w:numPr>
        <w:spacing w:line="276" w:lineRule="auto"/>
        <w:rPr>
          <w:rFonts w:ascii="Arial" w:hAnsi="Arial" w:cs="Arial"/>
          <w:sz w:val="22"/>
          <w:szCs w:val="22"/>
        </w:rPr>
      </w:pPr>
      <w:r w:rsidRPr="00207D5F">
        <w:rPr>
          <w:rFonts w:ascii="Arial" w:hAnsi="Arial" w:cs="Arial"/>
          <w:sz w:val="22"/>
          <w:szCs w:val="22"/>
        </w:rPr>
        <w:t>This supports Government’s wider ambitions to deliver one million new homes, with a focus on supporting people into home ownership to double the number of first time buyers</w:t>
      </w:r>
    </w:p>
    <w:p w:rsidR="003C4E77" w:rsidRPr="003C4E77" w:rsidRDefault="003C4E77" w:rsidP="003C4E77">
      <w:pPr>
        <w:spacing w:line="276" w:lineRule="auto"/>
        <w:ind w:left="360"/>
        <w:rPr>
          <w:rFonts w:ascii="Arial" w:hAnsi="Arial" w:cs="Arial"/>
          <w:sz w:val="22"/>
          <w:szCs w:val="22"/>
        </w:rPr>
      </w:pPr>
    </w:p>
    <w:p w:rsidR="003C4E77" w:rsidRPr="003C4E77" w:rsidRDefault="003C4E77" w:rsidP="003C4E77">
      <w:pPr>
        <w:pStyle w:val="ListParagraph"/>
        <w:numPr>
          <w:ilvl w:val="0"/>
          <w:numId w:val="25"/>
        </w:numPr>
        <w:spacing w:line="276" w:lineRule="auto"/>
        <w:rPr>
          <w:rFonts w:ascii="Arial" w:eastAsiaTheme="minorHAnsi" w:hAnsi="Arial" w:cs="Arial"/>
          <w:color w:val="000000"/>
          <w:sz w:val="22"/>
          <w:szCs w:val="22"/>
        </w:rPr>
      </w:pPr>
      <w:r w:rsidRPr="003C4E77">
        <w:rPr>
          <w:rFonts w:ascii="Arial" w:hAnsi="Arial" w:cs="Arial"/>
          <w:sz w:val="22"/>
          <w:szCs w:val="22"/>
        </w:rPr>
        <w:t xml:space="preserve">Loan Finance - </w:t>
      </w:r>
      <w:r w:rsidRPr="003C4E77">
        <w:rPr>
          <w:rFonts w:ascii="Arial" w:eastAsiaTheme="minorHAnsi" w:hAnsi="Arial" w:cs="Arial"/>
          <w:color w:val="000000"/>
        </w:rPr>
        <w:t>Short Term funding</w:t>
      </w:r>
      <w:r w:rsidRPr="003C4E77">
        <w:rPr>
          <w:rFonts w:ascii="Arial" w:eastAsiaTheme="minorHAnsi" w:hAnsi="Arial" w:cs="Arial"/>
          <w:color w:val="000000"/>
        </w:rPr>
        <w:t xml:space="preserve"> - </w:t>
      </w:r>
      <w:r w:rsidRPr="003C4E77">
        <w:rPr>
          <w:rFonts w:ascii="Arial" w:eastAsiaTheme="minorHAnsi" w:hAnsi="Arial" w:cs="Arial"/>
          <w:sz w:val="22"/>
          <w:szCs w:val="22"/>
        </w:rPr>
        <w:t>£1bn (including existing £525m BFF) short term fund to 2020-21, with added flexibility to enable government to support emerging markets e.g. offsite manufacturing.</w:t>
      </w:r>
      <w:r w:rsidRPr="003C4E77">
        <w:rPr>
          <w:rFonts w:ascii="Arial" w:eastAsiaTheme="minorHAnsi" w:hAnsi="Arial" w:cs="Arial"/>
          <w:sz w:val="22"/>
          <w:szCs w:val="22"/>
        </w:rPr>
        <w:t xml:space="preserve"> </w:t>
      </w:r>
      <w:r w:rsidRPr="003C4E77">
        <w:rPr>
          <w:rFonts w:ascii="Arial" w:eastAsiaTheme="minorHAnsi" w:hAnsi="Arial" w:cs="Arial"/>
          <w:bCs/>
          <w:sz w:val="22"/>
          <w:szCs w:val="22"/>
        </w:rPr>
        <w:t xml:space="preserve">Fund will provide loan finance </w:t>
      </w:r>
      <w:r w:rsidRPr="003C4E77">
        <w:rPr>
          <w:rFonts w:ascii="Arial" w:eastAsiaTheme="minorHAnsi" w:hAnsi="Arial" w:cs="Arial"/>
          <w:sz w:val="22"/>
          <w:szCs w:val="22"/>
        </w:rPr>
        <w:t>for a term of up to five years in order to support the delivery of some 26,500 new homes to 2024-25.Fund will be launched in Spring 2016.</w:t>
      </w:r>
    </w:p>
    <w:p w:rsidR="003C4E77" w:rsidRPr="003C4E77" w:rsidRDefault="003C4E77" w:rsidP="003C4E77">
      <w:pPr>
        <w:shd w:val="clear" w:color="auto" w:fill="FFFFFF"/>
        <w:rPr>
          <w:rFonts w:ascii="Arial" w:eastAsiaTheme="minorHAnsi" w:hAnsi="Arial" w:cs="Arial"/>
          <w:sz w:val="22"/>
          <w:szCs w:val="22"/>
        </w:rPr>
      </w:pPr>
    </w:p>
    <w:p w:rsidR="003C4E77" w:rsidRPr="003C4E77" w:rsidRDefault="003C4E77" w:rsidP="003C4E77">
      <w:pPr>
        <w:pStyle w:val="ListParagraph"/>
        <w:numPr>
          <w:ilvl w:val="0"/>
          <w:numId w:val="25"/>
        </w:numPr>
        <w:shd w:val="clear" w:color="auto" w:fill="FFFFFF"/>
        <w:rPr>
          <w:rFonts w:ascii="Arial" w:eastAsiaTheme="minorHAnsi" w:hAnsi="Arial" w:cs="Arial"/>
          <w:color w:val="000000"/>
          <w:sz w:val="22"/>
          <w:szCs w:val="22"/>
        </w:rPr>
      </w:pPr>
      <w:r w:rsidRPr="003C4E77">
        <w:rPr>
          <w:rFonts w:ascii="Arial" w:eastAsiaTheme="minorHAnsi" w:hAnsi="Arial" w:cs="Arial"/>
        </w:rPr>
        <w:lastRenderedPageBreak/>
        <w:t xml:space="preserve">Loan Finance - </w:t>
      </w:r>
      <w:r w:rsidRPr="003C4E77">
        <w:rPr>
          <w:rFonts w:ascii="Arial" w:eastAsiaTheme="minorHAnsi" w:hAnsi="Arial" w:cs="Arial"/>
        </w:rPr>
        <w:t>Long term funding</w:t>
      </w:r>
      <w:r w:rsidRPr="003C4E77">
        <w:rPr>
          <w:rFonts w:ascii="Arial" w:eastAsiaTheme="minorHAnsi" w:hAnsi="Arial" w:cs="Arial"/>
          <w:b/>
        </w:rPr>
        <w:t xml:space="preserve"> - </w:t>
      </w:r>
      <w:r w:rsidRPr="003C4E77">
        <w:rPr>
          <w:rFonts w:ascii="Arial" w:eastAsiaTheme="minorHAnsi" w:hAnsi="Arial" w:cs="Arial"/>
          <w:color w:val="000000"/>
          <w:sz w:val="22"/>
          <w:szCs w:val="22"/>
        </w:rPr>
        <w:t>£2bn fund offering long term loan funding focussed on supporting the delivery of a strong future pipeline of housing supply.</w:t>
      </w:r>
      <w:r w:rsidRPr="003C4E77">
        <w:rPr>
          <w:rFonts w:ascii="Arial" w:eastAsiaTheme="minorHAnsi" w:hAnsi="Arial" w:cs="Arial"/>
          <w:color w:val="000000"/>
          <w:sz w:val="22"/>
          <w:szCs w:val="22"/>
        </w:rPr>
        <w:t xml:space="preserve"> </w:t>
      </w:r>
      <w:r w:rsidRPr="003C4E77">
        <w:rPr>
          <w:rFonts w:ascii="Arial" w:eastAsiaTheme="minorHAnsi" w:hAnsi="Arial" w:cs="Arial"/>
          <w:color w:val="000000"/>
          <w:sz w:val="22"/>
          <w:szCs w:val="22"/>
        </w:rPr>
        <w:t>Fund will unlock development of up to 140,000 homes on brownfield land</w:t>
      </w:r>
      <w:r w:rsidRPr="003C4E77">
        <w:rPr>
          <w:rFonts w:ascii="Arial" w:eastAsiaTheme="minorHAnsi" w:hAnsi="Arial" w:cs="Arial"/>
          <w:color w:val="000000"/>
          <w:sz w:val="22"/>
          <w:szCs w:val="22"/>
        </w:rPr>
        <w:t xml:space="preserve">. </w:t>
      </w:r>
      <w:r w:rsidRPr="003C4E77">
        <w:rPr>
          <w:rFonts w:ascii="Arial" w:eastAsiaTheme="minorHAnsi" w:hAnsi="Arial" w:cs="Arial"/>
          <w:color w:val="000000"/>
          <w:sz w:val="22"/>
          <w:szCs w:val="22"/>
        </w:rPr>
        <w:t xml:space="preserve">Fund </w:t>
      </w:r>
      <w:r w:rsidRPr="003C4E77">
        <w:rPr>
          <w:rFonts w:ascii="Arial" w:eastAsiaTheme="minorHAnsi" w:hAnsi="Arial" w:cs="Arial"/>
          <w:sz w:val="22"/>
          <w:szCs w:val="22"/>
        </w:rPr>
        <w:t>replaces and expands on the previously announced Large Sites Infrastructure Fund (£1bn launched in April 2014) and Housing Zones (up to £200m, announced in June 2014 in the Chancellor’s Mansion House speech) loan funding programme.</w:t>
      </w:r>
      <w:r w:rsidRPr="003C4E77">
        <w:rPr>
          <w:rFonts w:ascii="Arial" w:eastAsiaTheme="minorHAnsi" w:hAnsi="Arial" w:cs="Arial"/>
          <w:sz w:val="22"/>
          <w:szCs w:val="22"/>
        </w:rPr>
        <w:t xml:space="preserve">  </w:t>
      </w:r>
      <w:r w:rsidRPr="003C4E77">
        <w:rPr>
          <w:rFonts w:ascii="Arial" w:eastAsiaTheme="minorHAnsi" w:hAnsi="Arial" w:cs="Arial"/>
          <w:sz w:val="22"/>
          <w:szCs w:val="22"/>
        </w:rPr>
        <w:t>The Fund will also support the commitment on Brownfield Regeneration Fund.</w:t>
      </w:r>
    </w:p>
    <w:p w:rsidR="003C4E77" w:rsidRPr="003C4E77" w:rsidRDefault="003C4E77" w:rsidP="003C4E77">
      <w:pPr>
        <w:spacing w:line="276" w:lineRule="auto"/>
        <w:ind w:left="360"/>
        <w:rPr>
          <w:rFonts w:ascii="Arial" w:hAnsi="Arial" w:cs="Arial"/>
          <w:sz w:val="22"/>
          <w:szCs w:val="22"/>
        </w:rPr>
      </w:pPr>
    </w:p>
    <w:p w:rsidR="00207D5F" w:rsidRPr="00207D5F" w:rsidRDefault="00207D5F" w:rsidP="00207D5F">
      <w:pPr>
        <w:ind w:left="360"/>
        <w:rPr>
          <w:rFonts w:ascii="Arial" w:hAnsi="Arial" w:cs="Arial"/>
          <w:sz w:val="22"/>
          <w:szCs w:val="22"/>
        </w:rPr>
      </w:pPr>
    </w:p>
    <w:p w:rsidR="00651A9F" w:rsidRDefault="003C4E77" w:rsidP="00824839">
      <w:pPr>
        <w:spacing w:before="60" w:afterLines="60" w:after="144"/>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Detail all the above will emerge </w:t>
      </w:r>
      <w:r w:rsidR="007E3A1B">
        <w:rPr>
          <w:rFonts w:ascii="Arial" w:eastAsiaTheme="minorHAnsi" w:hAnsi="Arial" w:cs="Arial"/>
          <w:sz w:val="22"/>
          <w:szCs w:val="22"/>
          <w:lang w:eastAsia="en-US"/>
        </w:rPr>
        <w:t xml:space="preserve">in due course. </w:t>
      </w:r>
    </w:p>
    <w:p w:rsidR="00F31C97" w:rsidRPr="00C62D03" w:rsidRDefault="00C62D03" w:rsidP="00F31C97">
      <w:pPr>
        <w:spacing w:after="120"/>
        <w:jc w:val="both"/>
        <w:rPr>
          <w:rFonts w:ascii="Arial" w:eastAsiaTheme="minorHAnsi" w:hAnsi="Arial" w:cs="Arial"/>
          <w:b/>
          <w:lang w:eastAsia="en-US"/>
        </w:rPr>
      </w:pPr>
      <w:r w:rsidRPr="00C62D03">
        <w:rPr>
          <w:rFonts w:ascii="Arial" w:eastAsiaTheme="minorHAnsi" w:hAnsi="Arial" w:cs="Arial"/>
          <w:b/>
          <w:lang w:eastAsia="en-US"/>
        </w:rPr>
        <w:t>Housing and Planning Bill</w:t>
      </w:r>
    </w:p>
    <w:p w:rsidR="00C62D03" w:rsidRDefault="00C62D03" w:rsidP="00F31C97">
      <w:pPr>
        <w:spacing w:after="120"/>
        <w:jc w:val="both"/>
        <w:rPr>
          <w:rFonts w:ascii="Arial" w:eastAsiaTheme="minorHAnsi" w:hAnsi="Arial" w:cs="Arial"/>
          <w:sz w:val="22"/>
          <w:szCs w:val="22"/>
          <w:lang w:eastAsia="en-US"/>
        </w:rPr>
      </w:pPr>
      <w:r>
        <w:rPr>
          <w:rFonts w:ascii="Arial" w:eastAsiaTheme="minorHAnsi" w:hAnsi="Arial" w:cs="Arial"/>
          <w:sz w:val="22"/>
          <w:szCs w:val="22"/>
          <w:lang w:eastAsia="en-US"/>
        </w:rPr>
        <w:t>This was announced on 13 October and is available from the Government web site website</w:t>
      </w:r>
    </w:p>
    <w:p w:rsidR="00C62D03" w:rsidRDefault="007F5CC6" w:rsidP="00F31C97">
      <w:pPr>
        <w:spacing w:after="120"/>
        <w:jc w:val="both"/>
        <w:rPr>
          <w:rFonts w:ascii="Arial" w:eastAsiaTheme="minorHAnsi" w:hAnsi="Arial" w:cs="Arial"/>
          <w:sz w:val="22"/>
          <w:szCs w:val="22"/>
          <w:lang w:eastAsia="en-US"/>
        </w:rPr>
      </w:pPr>
      <w:hyperlink r:id="rId11" w:history="1">
        <w:r w:rsidR="00C62D03" w:rsidRPr="00A41857">
          <w:rPr>
            <w:rStyle w:val="Hyperlink"/>
            <w:rFonts w:ascii="Arial" w:eastAsiaTheme="minorHAnsi" w:hAnsi="Arial" w:cs="Arial"/>
            <w:sz w:val="22"/>
            <w:szCs w:val="22"/>
            <w:lang w:eastAsia="en-US"/>
          </w:rPr>
          <w:t>http://services.parliament.uk/bills/2015-16/housingandplanning.html</w:t>
        </w:r>
      </w:hyperlink>
    </w:p>
    <w:p w:rsidR="00C62D03" w:rsidRDefault="00C62D03" w:rsidP="00F31C97">
      <w:pPr>
        <w:spacing w:after="120"/>
        <w:jc w:val="both"/>
        <w:rPr>
          <w:rFonts w:ascii="Arial" w:eastAsiaTheme="minorHAnsi" w:hAnsi="Arial" w:cs="Arial"/>
          <w:sz w:val="22"/>
          <w:szCs w:val="22"/>
          <w:lang w:eastAsia="en-US"/>
        </w:rPr>
      </w:pPr>
    </w:p>
    <w:p w:rsidR="00412D16" w:rsidRPr="00412D16" w:rsidRDefault="00412D16" w:rsidP="00412D16">
      <w:pPr>
        <w:widowControl w:val="0"/>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u w:val="single"/>
        </w:rPr>
      </w:pPr>
      <w:r w:rsidRPr="00412D16">
        <w:rPr>
          <w:rFonts w:ascii="Arial" w:hAnsi="Arial" w:cs="Arial"/>
          <w:b/>
          <w:sz w:val="22"/>
          <w:szCs w:val="22"/>
          <w:u w:val="single"/>
        </w:rPr>
        <w:t>Key Bill provisions</w:t>
      </w:r>
    </w:p>
    <w:p w:rsidR="00412D16" w:rsidRPr="00412D16" w:rsidRDefault="00412D16" w:rsidP="00412D16">
      <w:pPr>
        <w:widowControl w:val="0"/>
        <w:numPr>
          <w:ilvl w:val="0"/>
          <w:numId w:val="13"/>
        </w:num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412D16">
        <w:rPr>
          <w:rFonts w:ascii="Arial" w:hAnsi="Arial" w:cs="Arial"/>
          <w:sz w:val="22"/>
          <w:szCs w:val="22"/>
        </w:rPr>
        <w:t xml:space="preserve">Extending </w:t>
      </w:r>
      <w:hyperlink w:anchor="_Bill_provisions:_Right" w:history="1">
        <w:r w:rsidRPr="00412D16">
          <w:rPr>
            <w:rFonts w:ascii="Arial" w:hAnsi="Arial" w:cs="Arial"/>
            <w:color w:val="0000FF"/>
            <w:sz w:val="22"/>
            <w:szCs w:val="22"/>
            <w:u w:val="single"/>
          </w:rPr>
          <w:t>Right to Buy</w:t>
        </w:r>
      </w:hyperlink>
      <w:r w:rsidRPr="00412D16">
        <w:rPr>
          <w:rFonts w:ascii="Arial" w:hAnsi="Arial" w:cs="Arial"/>
          <w:sz w:val="22"/>
          <w:szCs w:val="22"/>
        </w:rPr>
        <w:t xml:space="preserve"> discount levels to housing association tenants and requiring local authorities to dispose of high value housing assets to fund new affordable housing </w:t>
      </w:r>
    </w:p>
    <w:p w:rsidR="00412D16" w:rsidRPr="00412D16" w:rsidRDefault="00412D16" w:rsidP="00412D16">
      <w:pPr>
        <w:widowControl w:val="0"/>
        <w:numPr>
          <w:ilvl w:val="0"/>
          <w:numId w:val="13"/>
        </w:num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412D16">
        <w:rPr>
          <w:rFonts w:ascii="Arial" w:hAnsi="Arial" w:cs="Arial"/>
          <w:sz w:val="22"/>
          <w:szCs w:val="22"/>
        </w:rPr>
        <w:t xml:space="preserve">Providing a statutory framework for the delivery of </w:t>
      </w:r>
      <w:hyperlink w:anchor="_Bill_provisions:_Starter" w:history="1">
        <w:r w:rsidRPr="00412D16">
          <w:rPr>
            <w:rFonts w:ascii="Arial" w:hAnsi="Arial" w:cs="Arial"/>
            <w:color w:val="0000FF"/>
            <w:sz w:val="22"/>
            <w:szCs w:val="22"/>
            <w:u w:val="single"/>
          </w:rPr>
          <w:t>Starter Homes</w:t>
        </w:r>
      </w:hyperlink>
    </w:p>
    <w:p w:rsidR="00412D16" w:rsidRPr="00412D16" w:rsidRDefault="007F5CC6" w:rsidP="00412D16">
      <w:pPr>
        <w:widowControl w:val="0"/>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u w:val="single"/>
        </w:rPr>
      </w:pPr>
      <w:hyperlink w:anchor="_Bill_content:_Planning" w:history="1">
        <w:r w:rsidR="00412D16" w:rsidRPr="00412D16">
          <w:rPr>
            <w:rFonts w:ascii="Arial" w:hAnsi="Arial" w:cs="Arial"/>
            <w:color w:val="0000FF"/>
            <w:sz w:val="22"/>
            <w:szCs w:val="22"/>
            <w:u w:val="single"/>
          </w:rPr>
          <w:t>Planning and Delivery</w:t>
        </w:r>
      </w:hyperlink>
    </w:p>
    <w:p w:rsidR="00412D16" w:rsidRPr="00412D16" w:rsidRDefault="00412D16" w:rsidP="00412D16">
      <w:pPr>
        <w:widowControl w:val="0"/>
        <w:numPr>
          <w:ilvl w:val="0"/>
          <w:numId w:val="13"/>
        </w:num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412D16">
        <w:rPr>
          <w:rFonts w:ascii="Arial" w:hAnsi="Arial" w:cs="Arial"/>
          <w:sz w:val="22"/>
          <w:szCs w:val="22"/>
        </w:rPr>
        <w:t xml:space="preserve">Giving the Secretary of State further powers to intervene if </w:t>
      </w:r>
      <w:r w:rsidRPr="00412D16">
        <w:rPr>
          <w:rFonts w:ascii="Arial" w:hAnsi="Arial" w:cs="Arial"/>
          <w:b/>
          <w:sz w:val="22"/>
          <w:szCs w:val="22"/>
        </w:rPr>
        <w:t>Local Plans</w:t>
      </w:r>
      <w:r w:rsidRPr="00412D16">
        <w:rPr>
          <w:rFonts w:ascii="Arial" w:hAnsi="Arial" w:cs="Arial"/>
          <w:sz w:val="22"/>
          <w:szCs w:val="22"/>
        </w:rPr>
        <w:t xml:space="preserve"> are not delivered</w:t>
      </w:r>
    </w:p>
    <w:p w:rsidR="00412D16" w:rsidRPr="00412D16" w:rsidRDefault="00412D16" w:rsidP="00412D16">
      <w:pPr>
        <w:widowControl w:val="0"/>
        <w:numPr>
          <w:ilvl w:val="0"/>
          <w:numId w:val="13"/>
        </w:num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412D16">
        <w:rPr>
          <w:rFonts w:ascii="Arial" w:hAnsi="Arial" w:cs="Arial"/>
          <w:sz w:val="22"/>
          <w:szCs w:val="22"/>
        </w:rPr>
        <w:t xml:space="preserve">Creating a duty for local authorities to hold a </w:t>
      </w:r>
      <w:r w:rsidRPr="00412D16">
        <w:rPr>
          <w:rFonts w:ascii="Arial" w:hAnsi="Arial" w:cs="Arial"/>
          <w:b/>
          <w:sz w:val="22"/>
          <w:szCs w:val="22"/>
        </w:rPr>
        <w:t>register of various types of land</w:t>
      </w:r>
      <w:r w:rsidRPr="00412D16">
        <w:rPr>
          <w:rFonts w:ascii="Arial" w:hAnsi="Arial" w:cs="Arial"/>
          <w:sz w:val="22"/>
          <w:szCs w:val="22"/>
        </w:rPr>
        <w:t xml:space="preserve"> and giving housing sites identified in a brownfield register planning permission in principle</w:t>
      </w:r>
    </w:p>
    <w:p w:rsidR="00412D16" w:rsidRPr="00412D16" w:rsidRDefault="00412D16" w:rsidP="00412D16">
      <w:pPr>
        <w:widowControl w:val="0"/>
        <w:numPr>
          <w:ilvl w:val="0"/>
          <w:numId w:val="13"/>
        </w:num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412D16">
        <w:rPr>
          <w:rFonts w:ascii="Arial" w:hAnsi="Arial" w:cs="Arial"/>
          <w:sz w:val="22"/>
          <w:szCs w:val="22"/>
        </w:rPr>
        <w:t xml:space="preserve">Allowing developers to apply for consent for some housing schemes under the </w:t>
      </w:r>
      <w:r w:rsidRPr="00412D16">
        <w:rPr>
          <w:rFonts w:ascii="Arial" w:hAnsi="Arial" w:cs="Arial"/>
          <w:b/>
          <w:sz w:val="22"/>
          <w:szCs w:val="22"/>
        </w:rPr>
        <w:t>nationally significant infrastructure planning regime</w:t>
      </w:r>
    </w:p>
    <w:p w:rsidR="00412D16" w:rsidRPr="00412D16" w:rsidRDefault="00412D16" w:rsidP="00412D16">
      <w:pPr>
        <w:widowControl w:val="0"/>
        <w:numPr>
          <w:ilvl w:val="0"/>
          <w:numId w:val="13"/>
        </w:num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412D16">
        <w:rPr>
          <w:rFonts w:ascii="Arial" w:hAnsi="Arial" w:cs="Arial"/>
          <w:sz w:val="22"/>
          <w:szCs w:val="22"/>
        </w:rPr>
        <w:t xml:space="preserve">Streamline the process for creating </w:t>
      </w:r>
      <w:r w:rsidRPr="00412D16">
        <w:rPr>
          <w:rFonts w:ascii="Arial" w:hAnsi="Arial" w:cs="Arial"/>
          <w:b/>
          <w:sz w:val="22"/>
          <w:szCs w:val="22"/>
        </w:rPr>
        <w:t>Urban Development Areas and Corporations</w:t>
      </w:r>
    </w:p>
    <w:p w:rsidR="00412D16" w:rsidRPr="00412D16" w:rsidRDefault="00412D16" w:rsidP="00412D16">
      <w:pPr>
        <w:widowControl w:val="0"/>
        <w:numPr>
          <w:ilvl w:val="0"/>
          <w:numId w:val="13"/>
        </w:num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412D16">
        <w:rPr>
          <w:rFonts w:ascii="Arial" w:hAnsi="Arial" w:cs="Arial"/>
          <w:sz w:val="22"/>
          <w:szCs w:val="22"/>
        </w:rPr>
        <w:t xml:space="preserve">Improving the </w:t>
      </w:r>
      <w:r w:rsidRPr="00412D16">
        <w:rPr>
          <w:rFonts w:ascii="Arial" w:hAnsi="Arial" w:cs="Arial"/>
          <w:b/>
          <w:sz w:val="22"/>
          <w:szCs w:val="22"/>
        </w:rPr>
        <w:t>compulsory purchase</w:t>
      </w:r>
      <w:r w:rsidRPr="00412D16">
        <w:rPr>
          <w:rFonts w:ascii="Arial" w:hAnsi="Arial" w:cs="Arial"/>
          <w:sz w:val="22"/>
          <w:szCs w:val="22"/>
        </w:rPr>
        <w:t xml:space="preserve"> regime</w:t>
      </w:r>
    </w:p>
    <w:p w:rsidR="00412D16" w:rsidRPr="00412D16" w:rsidRDefault="00412D16" w:rsidP="00412D16">
      <w:pPr>
        <w:widowControl w:val="0"/>
        <w:numPr>
          <w:ilvl w:val="0"/>
          <w:numId w:val="13"/>
        </w:num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412D16">
        <w:rPr>
          <w:rFonts w:ascii="Arial" w:hAnsi="Arial" w:cs="Arial"/>
          <w:sz w:val="22"/>
          <w:szCs w:val="22"/>
        </w:rPr>
        <w:t xml:space="preserve">Requiring local authorities to meet demand for </w:t>
      </w:r>
      <w:r w:rsidRPr="00412D16">
        <w:rPr>
          <w:rFonts w:ascii="Arial" w:hAnsi="Arial" w:cs="Arial"/>
          <w:b/>
          <w:sz w:val="22"/>
          <w:szCs w:val="22"/>
        </w:rPr>
        <w:t>custom</w:t>
      </w:r>
      <w:r w:rsidRPr="00412D16">
        <w:rPr>
          <w:rFonts w:ascii="Cambria Math" w:hAnsi="Cambria Math" w:cs="Arial"/>
          <w:b/>
          <w:sz w:val="22"/>
          <w:szCs w:val="22"/>
        </w:rPr>
        <w:t>‐</w:t>
      </w:r>
      <w:r w:rsidRPr="00412D16">
        <w:rPr>
          <w:rFonts w:ascii="Arial" w:hAnsi="Arial" w:cs="Arial"/>
          <w:b/>
          <w:sz w:val="22"/>
          <w:szCs w:val="22"/>
        </w:rPr>
        <w:t>build and self</w:t>
      </w:r>
      <w:r w:rsidRPr="00412D16">
        <w:rPr>
          <w:rFonts w:ascii="Cambria Math" w:hAnsi="Cambria Math" w:cs="Arial"/>
          <w:b/>
          <w:sz w:val="22"/>
          <w:szCs w:val="22"/>
        </w:rPr>
        <w:t>‐</w:t>
      </w:r>
      <w:r w:rsidRPr="00412D16">
        <w:rPr>
          <w:rFonts w:ascii="Arial" w:hAnsi="Arial" w:cs="Arial"/>
          <w:b/>
          <w:sz w:val="22"/>
          <w:szCs w:val="22"/>
        </w:rPr>
        <w:t>build</w:t>
      </w:r>
      <w:r w:rsidRPr="00412D16">
        <w:rPr>
          <w:rFonts w:ascii="Arial" w:hAnsi="Arial" w:cs="Arial"/>
          <w:sz w:val="22"/>
          <w:szCs w:val="22"/>
        </w:rPr>
        <w:t xml:space="preserve"> homes</w:t>
      </w:r>
    </w:p>
    <w:p w:rsidR="00412D16" w:rsidRPr="00412D16" w:rsidRDefault="007F5CC6" w:rsidP="00412D16">
      <w:pPr>
        <w:widowControl w:val="0"/>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u w:val="single"/>
        </w:rPr>
      </w:pPr>
      <w:hyperlink w:anchor="_Bill_content:_Regulation" w:history="1">
        <w:r w:rsidR="00412D16" w:rsidRPr="00412D16">
          <w:rPr>
            <w:rFonts w:ascii="Arial" w:hAnsi="Arial" w:cs="Arial"/>
            <w:color w:val="0000FF"/>
            <w:sz w:val="22"/>
            <w:szCs w:val="22"/>
            <w:u w:val="single"/>
          </w:rPr>
          <w:t>Regulation</w:t>
        </w:r>
      </w:hyperlink>
    </w:p>
    <w:p w:rsidR="00412D16" w:rsidRPr="00412D16" w:rsidRDefault="00412D16" w:rsidP="00412D16">
      <w:pPr>
        <w:widowControl w:val="0"/>
        <w:numPr>
          <w:ilvl w:val="0"/>
          <w:numId w:val="13"/>
        </w:num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412D16">
        <w:rPr>
          <w:rFonts w:ascii="Arial" w:hAnsi="Arial" w:cs="Arial"/>
          <w:sz w:val="22"/>
          <w:szCs w:val="22"/>
        </w:rPr>
        <w:t xml:space="preserve">Reforms to the management and regulation of the </w:t>
      </w:r>
      <w:r w:rsidRPr="00412D16">
        <w:rPr>
          <w:rFonts w:ascii="Arial" w:hAnsi="Arial" w:cs="Arial"/>
          <w:b/>
          <w:sz w:val="22"/>
          <w:szCs w:val="22"/>
        </w:rPr>
        <w:t>private rented sector</w:t>
      </w:r>
    </w:p>
    <w:p w:rsidR="00412D16" w:rsidRPr="00412D16" w:rsidRDefault="00412D16" w:rsidP="00412D16">
      <w:pPr>
        <w:widowControl w:val="0"/>
        <w:numPr>
          <w:ilvl w:val="0"/>
          <w:numId w:val="13"/>
        </w:num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412D16">
        <w:rPr>
          <w:rFonts w:ascii="Arial" w:hAnsi="Arial" w:cs="Arial"/>
          <w:sz w:val="22"/>
          <w:szCs w:val="22"/>
        </w:rPr>
        <w:t xml:space="preserve">Allowing the Secretary of State to </w:t>
      </w:r>
      <w:r w:rsidRPr="00412D16">
        <w:rPr>
          <w:rFonts w:ascii="Arial" w:hAnsi="Arial" w:cs="Arial"/>
          <w:b/>
          <w:sz w:val="22"/>
          <w:szCs w:val="22"/>
        </w:rPr>
        <w:t xml:space="preserve">reduce regulations on Housing Associations </w:t>
      </w:r>
      <w:r w:rsidRPr="00412D16">
        <w:rPr>
          <w:rFonts w:ascii="Arial" w:hAnsi="Arial" w:cs="Arial"/>
          <w:sz w:val="22"/>
          <w:szCs w:val="22"/>
        </w:rPr>
        <w:t>(to allow flexibilities agreed under the voluntary Right to Buy deal to be introduced later)</w:t>
      </w:r>
    </w:p>
    <w:p w:rsidR="00412D16" w:rsidRPr="00412D16" w:rsidRDefault="00412D16" w:rsidP="00412D16">
      <w:pPr>
        <w:widowControl w:val="0"/>
        <w:numPr>
          <w:ilvl w:val="0"/>
          <w:numId w:val="13"/>
        </w:num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412D16">
        <w:rPr>
          <w:rFonts w:ascii="Arial" w:hAnsi="Arial" w:cs="Arial"/>
          <w:sz w:val="22"/>
          <w:szCs w:val="22"/>
        </w:rPr>
        <w:t xml:space="preserve">Requiring </w:t>
      </w:r>
      <w:r w:rsidRPr="00412D16">
        <w:rPr>
          <w:rFonts w:ascii="Arial" w:hAnsi="Arial" w:cs="Arial"/>
          <w:b/>
          <w:sz w:val="22"/>
          <w:szCs w:val="22"/>
        </w:rPr>
        <w:t>tenants in social housing on higher incomes</w:t>
      </w:r>
      <w:r w:rsidRPr="00412D16">
        <w:rPr>
          <w:rFonts w:ascii="Arial" w:hAnsi="Arial" w:cs="Arial"/>
          <w:sz w:val="22"/>
          <w:szCs w:val="22"/>
        </w:rPr>
        <w:t xml:space="preserve"> to pay market rate, or near market rate, rents</w:t>
      </w:r>
    </w:p>
    <w:p w:rsidR="00C62D03" w:rsidRDefault="00C62D03" w:rsidP="00F31C97">
      <w:pPr>
        <w:spacing w:after="120"/>
        <w:jc w:val="both"/>
        <w:rPr>
          <w:rFonts w:ascii="Arial" w:eastAsiaTheme="minorHAnsi" w:hAnsi="Arial" w:cs="Arial"/>
          <w:sz w:val="22"/>
          <w:szCs w:val="22"/>
          <w:lang w:eastAsia="en-US"/>
        </w:rPr>
      </w:pPr>
    </w:p>
    <w:p w:rsidR="00E82F11" w:rsidRPr="00F079E8" w:rsidRDefault="00F079E8" w:rsidP="00F079E8">
      <w:pPr>
        <w:autoSpaceDE w:val="0"/>
        <w:autoSpaceDN w:val="0"/>
        <w:adjustRightInd w:val="0"/>
        <w:rPr>
          <w:rFonts w:ascii="Arial" w:hAnsi="Arial" w:cs="Arial"/>
          <w:sz w:val="22"/>
          <w:szCs w:val="22"/>
        </w:rPr>
      </w:pPr>
      <w:r w:rsidRPr="00F079E8">
        <w:rPr>
          <w:rFonts w:ascii="Arial" w:hAnsi="Arial" w:cs="Arial"/>
          <w:sz w:val="22"/>
          <w:szCs w:val="22"/>
        </w:rPr>
        <w:t>The Bill has completed report stage and had its third reading in the House of Commons. The first reading in the House of Lords took place on 13 January. Details are on the link above.</w:t>
      </w:r>
    </w:p>
    <w:p w:rsidR="00E82F11" w:rsidRPr="00F079E8" w:rsidRDefault="00E82F11" w:rsidP="00F31C97">
      <w:pPr>
        <w:spacing w:after="120"/>
        <w:jc w:val="both"/>
        <w:rPr>
          <w:rFonts w:ascii="Arial" w:eastAsiaTheme="minorHAnsi" w:hAnsi="Arial" w:cs="Arial"/>
          <w:sz w:val="22"/>
          <w:szCs w:val="22"/>
          <w:lang w:eastAsia="en-US"/>
        </w:rPr>
      </w:pPr>
    </w:p>
    <w:tbl>
      <w:tblPr>
        <w:tblW w:w="13820" w:type="dxa"/>
        <w:tblInd w:w="93" w:type="dxa"/>
        <w:tblLook w:val="04A0" w:firstRow="1" w:lastRow="0" w:firstColumn="1" w:lastColumn="0" w:noHBand="0" w:noVBand="1"/>
      </w:tblPr>
      <w:tblGrid>
        <w:gridCol w:w="13820"/>
      </w:tblGrid>
      <w:tr w:rsidR="00824839" w:rsidTr="004755B4">
        <w:trPr>
          <w:trHeight w:val="315"/>
        </w:trPr>
        <w:tc>
          <w:tcPr>
            <w:tcW w:w="13820" w:type="dxa"/>
            <w:tcBorders>
              <w:top w:val="nil"/>
              <w:left w:val="nil"/>
              <w:bottom w:val="nil"/>
              <w:right w:val="nil"/>
            </w:tcBorders>
            <w:shd w:val="clear" w:color="auto" w:fill="auto"/>
            <w:noWrap/>
            <w:vAlign w:val="center"/>
            <w:hideMark/>
          </w:tcPr>
          <w:p w:rsidR="00824839" w:rsidRDefault="00824839" w:rsidP="004755B4">
            <w:pPr>
              <w:spacing w:after="144"/>
              <w:rPr>
                <w:rFonts w:ascii="Arial" w:hAnsi="Arial" w:cs="Arial"/>
                <w:b/>
                <w:bCs/>
                <w:color w:val="000000"/>
              </w:rPr>
            </w:pPr>
            <w:r>
              <w:rPr>
                <w:rFonts w:ascii="Arial" w:eastAsiaTheme="minorEastAsia" w:hAnsi="Arial" w:cs="Arial"/>
                <w:b/>
                <w:color w:val="000000" w:themeColor="text1"/>
              </w:rPr>
              <w:t xml:space="preserve">Update on </w:t>
            </w:r>
            <w:r w:rsidRPr="00DC4EA5">
              <w:rPr>
                <w:rFonts w:ascii="Arial" w:eastAsiaTheme="minorEastAsia" w:hAnsi="Arial" w:cs="Arial"/>
                <w:b/>
                <w:color w:val="000000" w:themeColor="text1"/>
              </w:rPr>
              <w:t>Current Programmes</w:t>
            </w:r>
          </w:p>
        </w:tc>
      </w:tr>
    </w:tbl>
    <w:p w:rsidR="00BB7FAC" w:rsidRDefault="00824839" w:rsidP="00BB7FAC">
      <w:pPr>
        <w:spacing w:before="60" w:afterLines="60" w:after="144"/>
        <w:ind w:left="360"/>
        <w:jc w:val="both"/>
        <w:rPr>
          <w:rFonts w:ascii="Arial" w:eastAsiaTheme="minorHAnsi" w:hAnsi="Arial" w:cs="Arial"/>
          <w:b/>
          <w:sz w:val="22"/>
          <w:szCs w:val="22"/>
          <w:lang w:eastAsia="en-US"/>
        </w:rPr>
      </w:pPr>
      <w:r w:rsidRPr="000A0D98">
        <w:rPr>
          <w:rFonts w:ascii="Arial" w:eastAsiaTheme="minorHAnsi" w:hAnsi="Arial" w:cs="Arial"/>
          <w:b/>
          <w:sz w:val="22"/>
          <w:szCs w:val="22"/>
          <w:lang w:eastAsia="en-US"/>
        </w:rPr>
        <w:t>AHP 15 -18</w:t>
      </w:r>
    </w:p>
    <w:p w:rsidR="00D65F55" w:rsidRPr="00D65F55" w:rsidRDefault="00D65F55" w:rsidP="00BB7FAC">
      <w:pPr>
        <w:spacing w:before="60" w:afterLines="60" w:after="144"/>
        <w:ind w:left="360"/>
        <w:jc w:val="both"/>
        <w:rPr>
          <w:rFonts w:ascii="Arial" w:hAnsi="Arial" w:cs="Arial"/>
          <w:sz w:val="22"/>
          <w:szCs w:val="22"/>
        </w:rPr>
      </w:pPr>
      <w:r w:rsidRPr="00D65F55">
        <w:rPr>
          <w:rFonts w:ascii="Arial" w:hAnsi="Arial" w:cs="Arial"/>
          <w:sz w:val="22"/>
          <w:szCs w:val="22"/>
          <w:lang w:val="en"/>
        </w:rPr>
        <w:lastRenderedPageBreak/>
        <w:t xml:space="preserve">Quarterly updates to allocations made under the Affordable Homes </w:t>
      </w:r>
      <w:proofErr w:type="spellStart"/>
      <w:r w:rsidRPr="00D65F55">
        <w:rPr>
          <w:rFonts w:ascii="Arial" w:hAnsi="Arial" w:cs="Arial"/>
          <w:sz w:val="22"/>
          <w:szCs w:val="22"/>
          <w:lang w:val="en"/>
        </w:rPr>
        <w:t>Programme</w:t>
      </w:r>
      <w:proofErr w:type="spellEnd"/>
      <w:r w:rsidRPr="00D65F55">
        <w:rPr>
          <w:rFonts w:ascii="Arial" w:hAnsi="Arial" w:cs="Arial"/>
          <w:sz w:val="22"/>
          <w:szCs w:val="22"/>
          <w:lang w:val="en"/>
        </w:rPr>
        <w:t xml:space="preserve"> 2015 to 2018 were published on 19 November and can be found on the link below. Data is provided at Registered Provider level and minimum geography</w:t>
      </w:r>
    </w:p>
    <w:p w:rsidR="00D65F55" w:rsidRDefault="007F5CC6" w:rsidP="00BB7FAC">
      <w:pPr>
        <w:spacing w:before="60" w:afterLines="60" w:after="144"/>
        <w:ind w:left="360"/>
        <w:jc w:val="both"/>
        <w:rPr>
          <w:rFonts w:ascii="Arial" w:hAnsi="Arial" w:cs="Arial"/>
          <w:sz w:val="22"/>
          <w:szCs w:val="22"/>
        </w:rPr>
      </w:pPr>
      <w:hyperlink r:id="rId12" w:history="1">
        <w:r w:rsidR="00D65F55" w:rsidRPr="00D65F55">
          <w:rPr>
            <w:rStyle w:val="Hyperlink"/>
            <w:rFonts w:ascii="Arial" w:hAnsi="Arial" w:cs="Arial"/>
            <w:sz w:val="22"/>
            <w:szCs w:val="22"/>
          </w:rPr>
          <w:t>https://www.gov.uk/government/publications/affordable-homes-programme-2015-to-2018-quarterly-updates</w:t>
        </w:r>
      </w:hyperlink>
    </w:p>
    <w:p w:rsidR="00B46856" w:rsidRDefault="00B46856" w:rsidP="00B46856">
      <w:pPr>
        <w:pStyle w:val="Default"/>
        <w:rPr>
          <w:color w:val="auto"/>
          <w:sz w:val="22"/>
          <w:szCs w:val="22"/>
        </w:rPr>
      </w:pPr>
    </w:p>
    <w:p w:rsidR="00824839" w:rsidRPr="00486DDB" w:rsidRDefault="00824839" w:rsidP="00824839">
      <w:pPr>
        <w:spacing w:before="60" w:afterLines="60" w:after="144" w:line="276" w:lineRule="auto"/>
        <w:ind w:left="284"/>
        <w:jc w:val="both"/>
        <w:rPr>
          <w:rFonts w:ascii="Arial" w:eastAsiaTheme="minorHAnsi" w:hAnsi="Arial" w:cs="Arial"/>
          <w:b/>
          <w:sz w:val="22"/>
          <w:szCs w:val="22"/>
          <w:lang w:eastAsia="en-US"/>
        </w:rPr>
      </w:pPr>
      <w:r w:rsidRPr="00486DDB">
        <w:rPr>
          <w:rFonts w:ascii="Arial" w:eastAsiaTheme="minorHAnsi" w:hAnsi="Arial" w:cs="Arial"/>
          <w:b/>
          <w:sz w:val="22"/>
          <w:szCs w:val="22"/>
          <w:lang w:eastAsia="en-US"/>
        </w:rPr>
        <w:t>AHP Continuous Market Engagement</w:t>
      </w:r>
    </w:p>
    <w:p w:rsidR="003B3588" w:rsidRPr="003B3588" w:rsidRDefault="003B3588" w:rsidP="003B3588">
      <w:pPr>
        <w:spacing w:before="100" w:beforeAutospacing="1" w:after="100" w:afterAutospacing="1"/>
        <w:ind w:left="340"/>
        <w:rPr>
          <w:rFonts w:ascii="Arial" w:hAnsi="Arial" w:cs="Arial"/>
          <w:sz w:val="22"/>
          <w:szCs w:val="22"/>
          <w:lang w:val="en"/>
        </w:rPr>
      </w:pPr>
      <w:r w:rsidRPr="003B3588">
        <w:rPr>
          <w:rFonts w:ascii="Arial" w:hAnsi="Arial" w:cs="Arial"/>
          <w:sz w:val="22"/>
          <w:szCs w:val="22"/>
          <w:lang w:val="en"/>
        </w:rPr>
        <w:t xml:space="preserve">Further to the Government’s Spending Review announcement on 25 November 2015, bidding for the 2015 to 2018 Affordable Homes </w:t>
      </w:r>
      <w:proofErr w:type="spellStart"/>
      <w:r w:rsidRPr="003B3588">
        <w:rPr>
          <w:rFonts w:ascii="Arial" w:hAnsi="Arial" w:cs="Arial"/>
          <w:sz w:val="22"/>
          <w:szCs w:val="22"/>
          <w:lang w:val="en"/>
        </w:rPr>
        <w:t>Programme</w:t>
      </w:r>
      <w:proofErr w:type="spellEnd"/>
      <w:r w:rsidRPr="003B3588">
        <w:rPr>
          <w:rFonts w:ascii="Arial" w:hAnsi="Arial" w:cs="Arial"/>
          <w:sz w:val="22"/>
          <w:szCs w:val="22"/>
          <w:lang w:val="en"/>
        </w:rPr>
        <w:t xml:space="preserve"> has now closed. </w:t>
      </w:r>
    </w:p>
    <w:p w:rsidR="003B3588" w:rsidRPr="003B3588" w:rsidRDefault="003B3588" w:rsidP="003B3588">
      <w:pPr>
        <w:spacing w:before="100" w:beforeAutospacing="1" w:after="100" w:afterAutospacing="1"/>
        <w:ind w:left="340"/>
        <w:rPr>
          <w:rFonts w:ascii="Arial" w:hAnsi="Arial" w:cs="Arial"/>
          <w:sz w:val="22"/>
          <w:szCs w:val="22"/>
          <w:lang w:val="en"/>
        </w:rPr>
      </w:pPr>
      <w:r w:rsidRPr="003B3588">
        <w:rPr>
          <w:rFonts w:ascii="Arial" w:hAnsi="Arial" w:cs="Arial"/>
          <w:sz w:val="22"/>
          <w:szCs w:val="22"/>
          <w:lang w:val="en"/>
        </w:rPr>
        <w:t xml:space="preserve">However, in order to maintain a pipeline of delivery in the lead up to the launch of the new 2016 to 2021 Affordable Homes </w:t>
      </w:r>
      <w:proofErr w:type="spellStart"/>
      <w:r w:rsidRPr="003B3588">
        <w:rPr>
          <w:rFonts w:ascii="Arial" w:hAnsi="Arial" w:cs="Arial"/>
          <w:sz w:val="22"/>
          <w:szCs w:val="22"/>
          <w:lang w:val="en"/>
        </w:rPr>
        <w:t>Programme</w:t>
      </w:r>
      <w:proofErr w:type="spellEnd"/>
      <w:r w:rsidRPr="003B3588">
        <w:rPr>
          <w:rFonts w:ascii="Arial" w:hAnsi="Arial" w:cs="Arial"/>
          <w:sz w:val="22"/>
          <w:szCs w:val="22"/>
          <w:lang w:val="en"/>
        </w:rPr>
        <w:t>, a process of continuous market engagement (CME) will continue to operate for shared ownership bids only. We will also consider nil grant Affordable Rent schemes in the interim.</w:t>
      </w:r>
    </w:p>
    <w:p w:rsidR="003B3588" w:rsidRPr="003B3588" w:rsidRDefault="003B3588" w:rsidP="003B3588">
      <w:pPr>
        <w:spacing w:before="100" w:beforeAutospacing="1" w:after="100" w:afterAutospacing="1"/>
        <w:ind w:left="340"/>
        <w:rPr>
          <w:rFonts w:ascii="Arial" w:hAnsi="Arial" w:cs="Arial"/>
          <w:lang w:val="en"/>
        </w:rPr>
      </w:pPr>
      <w:r w:rsidRPr="003B3588">
        <w:rPr>
          <w:rFonts w:ascii="Arial" w:hAnsi="Arial" w:cs="Arial"/>
          <w:sz w:val="22"/>
          <w:szCs w:val="22"/>
          <w:lang w:val="en"/>
        </w:rPr>
        <w:t>Please note that the bidding requirements for Affordable Home Ownership and nil grant Affordable Rent schemes are as set out in the 2015 to 2018 prospectus, along with the assessment principles which still apply. Guidance on how to bid is available on the HCA’s investment management system help page</w:t>
      </w:r>
      <w:r w:rsidRPr="003B3588">
        <w:rPr>
          <w:rFonts w:ascii="Arial" w:hAnsi="Arial" w:cs="Arial"/>
          <w:lang w:val="en"/>
        </w:rPr>
        <w:t xml:space="preserve">. </w:t>
      </w:r>
    </w:p>
    <w:p w:rsidR="00AA7952" w:rsidRDefault="00AA7952" w:rsidP="00467BCB">
      <w:pPr>
        <w:spacing w:before="60" w:afterLines="60" w:after="144"/>
        <w:ind w:left="360"/>
        <w:jc w:val="both"/>
        <w:rPr>
          <w:rFonts w:ascii="Arial" w:eastAsiaTheme="minorEastAsia" w:hAnsi="Arial" w:cs="Arial"/>
          <w:color w:val="000000"/>
          <w:sz w:val="22"/>
          <w:szCs w:val="22"/>
        </w:rPr>
      </w:pPr>
    </w:p>
    <w:p w:rsidR="003775B8" w:rsidRPr="003775B8" w:rsidRDefault="003775B8" w:rsidP="003775B8">
      <w:pPr>
        <w:ind w:left="227"/>
        <w:rPr>
          <w:rFonts w:ascii="Arial" w:hAnsi="Arial" w:cs="Arial"/>
          <w:b/>
          <w:sz w:val="22"/>
          <w:szCs w:val="22"/>
          <w:lang w:val="en-US"/>
        </w:rPr>
      </w:pPr>
      <w:r w:rsidRPr="003775B8">
        <w:rPr>
          <w:rFonts w:ascii="Arial" w:hAnsi="Arial" w:cs="Arial"/>
          <w:b/>
          <w:sz w:val="22"/>
          <w:szCs w:val="22"/>
          <w:lang w:val="en-US"/>
        </w:rPr>
        <w:t>Right to Buy Extension</w:t>
      </w:r>
    </w:p>
    <w:p w:rsidR="003775B8" w:rsidRPr="003775B8" w:rsidRDefault="003775B8" w:rsidP="003775B8">
      <w:pPr>
        <w:ind w:left="227"/>
        <w:rPr>
          <w:rFonts w:ascii="Arial" w:hAnsi="Arial" w:cs="Arial"/>
          <w:b/>
          <w:sz w:val="22"/>
          <w:szCs w:val="22"/>
          <w:lang w:val="en-US"/>
        </w:rPr>
      </w:pPr>
    </w:p>
    <w:p w:rsidR="003775B8" w:rsidRPr="003775B8" w:rsidRDefault="003775B8" w:rsidP="00846D35">
      <w:pPr>
        <w:ind w:left="340"/>
        <w:rPr>
          <w:rFonts w:ascii="Arial" w:hAnsi="Arial" w:cs="Arial"/>
          <w:sz w:val="22"/>
          <w:szCs w:val="22"/>
          <w:lang w:val="en-US"/>
        </w:rPr>
      </w:pPr>
      <w:r w:rsidRPr="003775B8">
        <w:rPr>
          <w:rFonts w:ascii="Arial" w:hAnsi="Arial" w:cs="Arial"/>
          <w:sz w:val="22"/>
          <w:szCs w:val="22"/>
          <w:lang w:val="en-US"/>
        </w:rPr>
        <w:t xml:space="preserve">The government has accepted the housing associations proposal to voluntarily accept Right to </w:t>
      </w:r>
      <w:proofErr w:type="gramStart"/>
      <w:r w:rsidRPr="003775B8">
        <w:rPr>
          <w:rFonts w:ascii="Arial" w:hAnsi="Arial" w:cs="Arial"/>
          <w:sz w:val="22"/>
          <w:szCs w:val="22"/>
          <w:lang w:val="en-US"/>
        </w:rPr>
        <w:t>Buy</w:t>
      </w:r>
      <w:proofErr w:type="gramEnd"/>
      <w:r w:rsidRPr="003775B8">
        <w:rPr>
          <w:rFonts w:ascii="Arial" w:hAnsi="Arial" w:cs="Arial"/>
          <w:sz w:val="22"/>
          <w:szCs w:val="22"/>
          <w:lang w:val="en-US"/>
        </w:rPr>
        <w:t xml:space="preserve">; meaning that housing association tenants can start to buy their homes from next year. NHF members controlling 93% of stock backed the proposal. </w:t>
      </w:r>
      <w:r w:rsidR="00846D35">
        <w:rPr>
          <w:rFonts w:ascii="Arial" w:hAnsi="Arial" w:cs="Arial"/>
          <w:sz w:val="22"/>
          <w:szCs w:val="22"/>
          <w:lang w:val="en-US"/>
        </w:rPr>
        <w:t>More detail is in the Housing and Planning Bill</w:t>
      </w:r>
    </w:p>
    <w:p w:rsidR="003775B8" w:rsidRPr="003775B8" w:rsidRDefault="003775B8" w:rsidP="003775B8">
      <w:pPr>
        <w:ind w:left="227"/>
        <w:rPr>
          <w:rFonts w:ascii="Arial" w:hAnsi="Arial" w:cs="Arial"/>
          <w:b/>
          <w:sz w:val="22"/>
          <w:szCs w:val="22"/>
          <w:lang w:val="en-US"/>
        </w:rPr>
      </w:pPr>
    </w:p>
    <w:p w:rsidR="00824839" w:rsidRPr="000A0D98" w:rsidRDefault="00824839" w:rsidP="00824839">
      <w:pPr>
        <w:pStyle w:val="ListParagraph"/>
        <w:numPr>
          <w:ilvl w:val="0"/>
          <w:numId w:val="1"/>
        </w:numPr>
        <w:spacing w:before="60" w:afterLines="60" w:after="144" w:line="276" w:lineRule="auto"/>
        <w:jc w:val="both"/>
        <w:rPr>
          <w:rFonts w:ascii="Arial" w:eastAsiaTheme="minorHAnsi" w:hAnsi="Arial" w:cs="Arial"/>
          <w:b/>
          <w:sz w:val="22"/>
          <w:szCs w:val="22"/>
          <w:lang w:eastAsia="en-US"/>
        </w:rPr>
      </w:pPr>
      <w:r w:rsidRPr="000A0D98">
        <w:rPr>
          <w:rFonts w:ascii="Arial" w:eastAsiaTheme="minorHAnsi" w:hAnsi="Arial" w:cs="Arial"/>
          <w:b/>
          <w:sz w:val="22"/>
          <w:szCs w:val="22"/>
          <w:lang w:eastAsia="en-US"/>
        </w:rPr>
        <w:t>Local Growth Fund (Housing Infrastructure)</w:t>
      </w:r>
    </w:p>
    <w:p w:rsidR="00824839" w:rsidRDefault="00824839" w:rsidP="00824839">
      <w:pPr>
        <w:spacing w:before="60" w:afterLines="60" w:after="144"/>
        <w:ind w:left="360"/>
        <w:jc w:val="both"/>
        <w:rPr>
          <w:rFonts w:ascii="Arial" w:hAnsi="Arial" w:cs="Arial"/>
          <w:sz w:val="22"/>
          <w:szCs w:val="22"/>
          <w:lang w:val="en"/>
        </w:rPr>
      </w:pPr>
      <w:r w:rsidRPr="000A0D98">
        <w:rPr>
          <w:rFonts w:ascii="Arial" w:hAnsi="Arial" w:cs="Arial"/>
          <w:sz w:val="22"/>
          <w:szCs w:val="22"/>
          <w:lang w:val="en"/>
        </w:rPr>
        <w:t xml:space="preserve">As part of Autumn Statement 2013 the Chancellor announced that £50m of the Local Growth Fund would go towards unlocking housing developments ranging from 250-1499 units. The £50m will provide targeted support to sites which are championed by the relevant Local Enterprise Partnership where infrastructure, through its early provision, can unlock or accelerate the delivery of housing. </w:t>
      </w:r>
      <w:r w:rsidR="005D4124">
        <w:rPr>
          <w:rFonts w:ascii="Arial" w:hAnsi="Arial" w:cs="Arial"/>
          <w:sz w:val="22"/>
          <w:szCs w:val="22"/>
          <w:lang w:val="en"/>
        </w:rPr>
        <w:t>No schemes are going forward in Kent</w:t>
      </w:r>
    </w:p>
    <w:p w:rsidR="005D4124" w:rsidRDefault="005D4124" w:rsidP="00824839">
      <w:pPr>
        <w:spacing w:before="60" w:afterLines="60" w:after="144"/>
        <w:ind w:left="360"/>
        <w:jc w:val="both"/>
        <w:rPr>
          <w:rFonts w:ascii="Arial" w:hAnsi="Arial" w:cs="Arial"/>
          <w:sz w:val="22"/>
          <w:szCs w:val="22"/>
          <w:lang w:val="en"/>
        </w:rPr>
      </w:pPr>
    </w:p>
    <w:p w:rsidR="00824839" w:rsidRPr="00956E09" w:rsidRDefault="00824839" w:rsidP="00824839">
      <w:pPr>
        <w:pStyle w:val="ListParagraph"/>
        <w:numPr>
          <w:ilvl w:val="0"/>
          <w:numId w:val="1"/>
        </w:numPr>
        <w:spacing w:before="60" w:afterLines="60" w:after="144"/>
        <w:jc w:val="both"/>
        <w:rPr>
          <w:rFonts w:ascii="Arial" w:hAnsi="Arial" w:cs="Arial"/>
          <w:b/>
          <w:sz w:val="22"/>
          <w:szCs w:val="22"/>
        </w:rPr>
      </w:pPr>
      <w:r w:rsidRPr="00956E09">
        <w:rPr>
          <w:rFonts w:ascii="Arial" w:hAnsi="Arial" w:cs="Arial"/>
          <w:b/>
          <w:sz w:val="22"/>
          <w:szCs w:val="22"/>
          <w:lang w:val="en"/>
        </w:rPr>
        <w:t>Local Growth Fund ( Housing Revenue Account Borrowing Programme)</w:t>
      </w:r>
    </w:p>
    <w:p w:rsidR="00824839" w:rsidRPr="00956E09" w:rsidRDefault="00824839" w:rsidP="00824839">
      <w:pPr>
        <w:spacing w:before="60" w:afterLines="60" w:after="144"/>
        <w:ind w:left="284"/>
        <w:jc w:val="both"/>
        <w:rPr>
          <w:rFonts w:ascii="Arial" w:hAnsi="Arial" w:cs="Arial"/>
          <w:sz w:val="22"/>
          <w:szCs w:val="22"/>
        </w:rPr>
      </w:pPr>
      <w:r>
        <w:rPr>
          <w:rFonts w:ascii="Arial" w:hAnsi="Arial" w:cs="Arial"/>
          <w:sz w:val="22"/>
          <w:szCs w:val="22"/>
        </w:rPr>
        <w:t>In</w:t>
      </w:r>
      <w:r w:rsidRPr="00956E09">
        <w:rPr>
          <w:rFonts w:ascii="Arial" w:hAnsi="Arial" w:cs="Arial"/>
          <w:sz w:val="22"/>
          <w:szCs w:val="22"/>
        </w:rPr>
        <w:t xml:space="preserve"> the Autumn Statement </w:t>
      </w:r>
      <w:r>
        <w:rPr>
          <w:rFonts w:ascii="Arial" w:hAnsi="Arial" w:cs="Arial"/>
          <w:sz w:val="22"/>
          <w:szCs w:val="22"/>
        </w:rPr>
        <w:t>2013</w:t>
      </w:r>
      <w:r w:rsidRPr="00956E09">
        <w:rPr>
          <w:rFonts w:ascii="Arial" w:hAnsi="Arial" w:cs="Arial"/>
          <w:sz w:val="22"/>
          <w:szCs w:val="22"/>
        </w:rPr>
        <w:t xml:space="preserve">, </w:t>
      </w:r>
      <w:r>
        <w:rPr>
          <w:rFonts w:ascii="Arial" w:hAnsi="Arial" w:cs="Arial"/>
          <w:sz w:val="22"/>
          <w:szCs w:val="22"/>
        </w:rPr>
        <w:t xml:space="preserve">the Government </w:t>
      </w:r>
      <w:r w:rsidRPr="00956E09">
        <w:rPr>
          <w:rFonts w:ascii="Arial" w:hAnsi="Arial" w:cs="Arial"/>
          <w:sz w:val="22"/>
          <w:szCs w:val="22"/>
        </w:rPr>
        <w:t xml:space="preserve">announced </w:t>
      </w:r>
      <w:r>
        <w:rPr>
          <w:rFonts w:ascii="Arial" w:hAnsi="Arial" w:cs="Arial"/>
          <w:sz w:val="22"/>
          <w:szCs w:val="22"/>
        </w:rPr>
        <w:t>it</w:t>
      </w:r>
      <w:r w:rsidRPr="00956E09">
        <w:rPr>
          <w:rFonts w:ascii="Arial" w:hAnsi="Arial" w:cs="Arial"/>
          <w:sz w:val="22"/>
          <w:szCs w:val="22"/>
        </w:rPr>
        <w:t xml:space="preserve"> would raise local authority Housing Revenue Account borrowing limits, by £150 million in 2015-16 and £150 million in 2016-17, allocated on a competitive basis to drive value for money. </w:t>
      </w:r>
      <w:r>
        <w:rPr>
          <w:rFonts w:ascii="Arial" w:hAnsi="Arial" w:cs="Arial"/>
          <w:sz w:val="22"/>
          <w:szCs w:val="22"/>
        </w:rPr>
        <w:t>L</w:t>
      </w:r>
      <w:r w:rsidRPr="00956E09">
        <w:rPr>
          <w:rFonts w:ascii="Arial" w:hAnsi="Arial" w:cs="Arial"/>
          <w:sz w:val="22"/>
          <w:szCs w:val="22"/>
        </w:rPr>
        <w:t xml:space="preserve">ocal authorities, who need additional borrowing, </w:t>
      </w:r>
      <w:r>
        <w:rPr>
          <w:rFonts w:ascii="Arial" w:hAnsi="Arial" w:cs="Arial"/>
          <w:sz w:val="22"/>
          <w:szCs w:val="22"/>
        </w:rPr>
        <w:t>have</w:t>
      </w:r>
      <w:r w:rsidRPr="00956E09">
        <w:rPr>
          <w:rFonts w:ascii="Arial" w:hAnsi="Arial" w:cs="Arial"/>
          <w:sz w:val="22"/>
          <w:szCs w:val="22"/>
        </w:rPr>
        <w:t xml:space="preserve"> bid for that increase </w:t>
      </w:r>
      <w:r>
        <w:rPr>
          <w:rFonts w:ascii="Arial" w:hAnsi="Arial" w:cs="Arial"/>
          <w:sz w:val="22"/>
          <w:szCs w:val="22"/>
        </w:rPr>
        <w:t>to enable</w:t>
      </w:r>
      <w:r w:rsidRPr="00956E09">
        <w:rPr>
          <w:rFonts w:ascii="Arial" w:hAnsi="Arial" w:cs="Arial"/>
          <w:sz w:val="22"/>
          <w:szCs w:val="22"/>
        </w:rPr>
        <w:t xml:space="preserve"> schemes that </w:t>
      </w:r>
      <w:r>
        <w:rPr>
          <w:rFonts w:ascii="Arial" w:hAnsi="Arial" w:cs="Arial"/>
          <w:sz w:val="22"/>
          <w:szCs w:val="22"/>
        </w:rPr>
        <w:t xml:space="preserve">will </w:t>
      </w:r>
      <w:r w:rsidRPr="00956E09">
        <w:rPr>
          <w:rFonts w:ascii="Arial" w:hAnsi="Arial" w:cs="Arial"/>
          <w:sz w:val="22"/>
          <w:szCs w:val="22"/>
        </w:rPr>
        <w:t xml:space="preserve">help to deliver 10,000 new affordable homes. </w:t>
      </w:r>
      <w:r>
        <w:rPr>
          <w:rFonts w:ascii="Arial" w:hAnsi="Arial" w:cs="Arial"/>
          <w:i/>
          <w:sz w:val="22"/>
          <w:szCs w:val="22"/>
        </w:rPr>
        <w:t>Maidstone Road, Charing - Ashford</w:t>
      </w:r>
    </w:p>
    <w:p w:rsidR="00824839" w:rsidRPr="000A0D98" w:rsidRDefault="00824839" w:rsidP="00824839">
      <w:pPr>
        <w:pStyle w:val="ListParagraph"/>
        <w:numPr>
          <w:ilvl w:val="0"/>
          <w:numId w:val="1"/>
        </w:numPr>
        <w:spacing w:before="60" w:afterLines="60" w:after="144" w:line="276" w:lineRule="auto"/>
        <w:jc w:val="both"/>
        <w:rPr>
          <w:rFonts w:ascii="Arial" w:eastAsiaTheme="minorHAnsi" w:hAnsi="Arial" w:cs="Arial"/>
          <w:b/>
          <w:sz w:val="22"/>
          <w:szCs w:val="22"/>
          <w:lang w:eastAsia="en-US"/>
        </w:rPr>
      </w:pPr>
      <w:r w:rsidRPr="000A0D98">
        <w:rPr>
          <w:rFonts w:ascii="Arial" w:eastAsiaTheme="minorHAnsi" w:hAnsi="Arial" w:cs="Arial"/>
          <w:b/>
          <w:sz w:val="22"/>
          <w:szCs w:val="22"/>
          <w:lang w:eastAsia="en-US"/>
        </w:rPr>
        <w:t>Large Sites Infrastructure Programme</w:t>
      </w:r>
    </w:p>
    <w:p w:rsidR="00824839" w:rsidRPr="00CF037D" w:rsidRDefault="00824839" w:rsidP="00824839">
      <w:pPr>
        <w:spacing w:before="60" w:afterLines="60" w:after="144"/>
        <w:ind w:left="360"/>
        <w:jc w:val="both"/>
        <w:rPr>
          <w:rFonts w:ascii="Arial" w:hAnsi="Arial" w:cs="Arial"/>
          <w:sz w:val="22"/>
          <w:szCs w:val="22"/>
          <w:lang w:val="en"/>
        </w:rPr>
      </w:pPr>
      <w:r w:rsidRPr="000A0D98">
        <w:rPr>
          <w:rFonts w:ascii="Arial" w:eastAsiaTheme="minorHAnsi" w:hAnsi="Arial" w:cs="Arial"/>
          <w:sz w:val="22"/>
          <w:szCs w:val="22"/>
          <w:lang w:val="en" w:eastAsia="en-US"/>
        </w:rPr>
        <w:lastRenderedPageBreak/>
        <w:t xml:space="preserve">The Large Sites Infrastructure </w:t>
      </w:r>
      <w:proofErr w:type="spellStart"/>
      <w:r w:rsidRPr="000A0D98">
        <w:rPr>
          <w:rFonts w:ascii="Arial" w:eastAsiaTheme="minorHAnsi" w:hAnsi="Arial" w:cs="Arial"/>
          <w:sz w:val="22"/>
          <w:szCs w:val="22"/>
          <w:lang w:val="en" w:eastAsia="en-US"/>
        </w:rPr>
        <w:t>Programme</w:t>
      </w:r>
      <w:proofErr w:type="spellEnd"/>
      <w:r w:rsidRPr="000A0D98">
        <w:rPr>
          <w:rFonts w:ascii="Arial" w:eastAsiaTheme="minorHAnsi" w:hAnsi="Arial" w:cs="Arial"/>
          <w:sz w:val="22"/>
          <w:szCs w:val="22"/>
          <w:lang w:val="en" w:eastAsia="en-US"/>
        </w:rPr>
        <w:t xml:space="preserve"> provides a package of support to bring forward large scale housing </w:t>
      </w:r>
      <w:r w:rsidRPr="000A0D98">
        <w:rPr>
          <w:rFonts w:ascii="Arial" w:eastAsiaTheme="minorHAnsi" w:hAnsi="Arial" w:cs="Arial"/>
          <w:sz w:val="22"/>
          <w:szCs w:val="22"/>
          <w:lang w:eastAsia="en-US"/>
        </w:rPr>
        <w:t>development</w:t>
      </w:r>
      <w:r w:rsidRPr="000A0D98">
        <w:rPr>
          <w:rFonts w:ascii="Arial" w:eastAsiaTheme="minorHAnsi" w:hAnsi="Arial" w:cs="Arial"/>
          <w:sz w:val="22"/>
          <w:szCs w:val="22"/>
          <w:lang w:val="en" w:eastAsia="en-US"/>
        </w:rPr>
        <w:t xml:space="preserve"> and shortlisted proje</w:t>
      </w:r>
      <w:r>
        <w:rPr>
          <w:rFonts w:ascii="Arial" w:eastAsiaTheme="minorHAnsi" w:hAnsi="Arial" w:cs="Arial"/>
          <w:sz w:val="22"/>
          <w:szCs w:val="22"/>
          <w:lang w:val="en" w:eastAsia="en-US"/>
        </w:rPr>
        <w:t xml:space="preserve">cts were announced </w:t>
      </w:r>
      <w:r w:rsidR="003308AD">
        <w:rPr>
          <w:rFonts w:ascii="Arial" w:eastAsiaTheme="minorHAnsi" w:hAnsi="Arial" w:cs="Arial"/>
          <w:sz w:val="22"/>
          <w:szCs w:val="22"/>
          <w:lang w:val="en" w:eastAsia="en-US"/>
        </w:rPr>
        <w:t>in 14/15</w:t>
      </w:r>
      <w:r w:rsidRPr="00CF037D">
        <w:rPr>
          <w:rFonts w:ascii="Arial" w:eastAsiaTheme="minorHAnsi" w:hAnsi="Arial" w:cs="Arial"/>
          <w:i/>
          <w:sz w:val="22"/>
          <w:szCs w:val="22"/>
          <w:lang w:val="en" w:eastAsia="en-US"/>
        </w:rPr>
        <w:t>.</w:t>
      </w:r>
      <w:r w:rsidRPr="00CF037D">
        <w:rPr>
          <w:rFonts w:ascii="Arial" w:hAnsi="Arial" w:cs="Arial"/>
          <w:i/>
          <w:sz w:val="22"/>
          <w:szCs w:val="22"/>
          <w:lang w:val="en"/>
        </w:rPr>
        <w:t xml:space="preserve"> </w:t>
      </w:r>
      <w:r w:rsidR="00CF037D" w:rsidRPr="006B24B4">
        <w:rPr>
          <w:rFonts w:ascii="Arial" w:hAnsi="Arial" w:cs="Arial"/>
          <w:b/>
          <w:sz w:val="22"/>
          <w:szCs w:val="22"/>
          <w:lang w:val="en"/>
        </w:rPr>
        <w:t>It was reopened for new bids on 21 October 2015</w:t>
      </w:r>
    </w:p>
    <w:p w:rsidR="00CF037D" w:rsidRPr="00CF037D" w:rsidRDefault="007F5CC6" w:rsidP="00824839">
      <w:pPr>
        <w:spacing w:before="60" w:afterLines="60" w:after="144"/>
        <w:ind w:left="360"/>
        <w:jc w:val="both"/>
        <w:rPr>
          <w:rFonts w:ascii="Arial" w:hAnsi="Arial" w:cs="Arial"/>
          <w:sz w:val="22"/>
          <w:szCs w:val="22"/>
          <w:lang w:val="en"/>
        </w:rPr>
      </w:pPr>
      <w:hyperlink r:id="rId13" w:history="1">
        <w:r w:rsidR="00CF037D" w:rsidRPr="00CF037D">
          <w:rPr>
            <w:rStyle w:val="Hyperlink"/>
            <w:rFonts w:ascii="Arial" w:hAnsi="Arial" w:cs="Arial"/>
            <w:sz w:val="22"/>
            <w:szCs w:val="22"/>
            <w:lang w:val="en"/>
          </w:rPr>
          <w:t>https://www.gov.uk/government/publications/large-sites-infrastructure-programme-prospectus</w:t>
        </w:r>
      </w:hyperlink>
    </w:p>
    <w:p w:rsidR="00CF037D" w:rsidRPr="008C7847" w:rsidRDefault="00CF037D" w:rsidP="00824839">
      <w:pPr>
        <w:spacing w:before="60" w:afterLines="60" w:after="144"/>
        <w:ind w:left="360"/>
        <w:jc w:val="both"/>
        <w:rPr>
          <w:rFonts w:ascii="Arial" w:hAnsi="Arial" w:cs="Arial"/>
          <w:i/>
          <w:sz w:val="22"/>
          <w:szCs w:val="22"/>
          <w:lang w:val="en"/>
        </w:rPr>
      </w:pPr>
    </w:p>
    <w:p w:rsidR="00824839" w:rsidRPr="000A0D98" w:rsidRDefault="00824839" w:rsidP="00824839">
      <w:pPr>
        <w:spacing w:before="60" w:afterLines="60" w:after="144"/>
        <w:ind w:left="360"/>
        <w:jc w:val="both"/>
        <w:rPr>
          <w:rFonts w:ascii="Arial" w:eastAsiaTheme="minorHAnsi" w:hAnsi="Arial" w:cs="Arial"/>
          <w:sz w:val="22"/>
          <w:szCs w:val="22"/>
          <w:lang w:val="en" w:eastAsia="en-US"/>
        </w:rPr>
      </w:pPr>
    </w:p>
    <w:p w:rsidR="00824839" w:rsidRPr="000A0D98" w:rsidRDefault="00824839" w:rsidP="00824839">
      <w:pPr>
        <w:pStyle w:val="ListParagraph"/>
        <w:numPr>
          <w:ilvl w:val="0"/>
          <w:numId w:val="1"/>
        </w:numPr>
        <w:spacing w:before="60" w:afterLines="60" w:after="144"/>
        <w:jc w:val="both"/>
        <w:rPr>
          <w:rFonts w:ascii="Arial" w:eastAsiaTheme="minorHAnsi" w:hAnsi="Arial" w:cs="Arial"/>
          <w:b/>
          <w:sz w:val="22"/>
          <w:szCs w:val="22"/>
          <w:lang w:eastAsia="en-US"/>
        </w:rPr>
      </w:pPr>
      <w:r w:rsidRPr="000A0D98">
        <w:rPr>
          <w:rFonts w:ascii="Arial" w:eastAsiaTheme="minorHAnsi" w:hAnsi="Arial" w:cs="Arial"/>
          <w:b/>
          <w:sz w:val="22"/>
          <w:szCs w:val="22"/>
          <w:lang w:eastAsia="en-US"/>
        </w:rPr>
        <w:t>Builders Finance Fund</w:t>
      </w:r>
    </w:p>
    <w:p w:rsidR="00824839" w:rsidRPr="006B24B4" w:rsidRDefault="00824839" w:rsidP="00824839">
      <w:pPr>
        <w:spacing w:before="60" w:afterLines="60" w:after="144"/>
        <w:ind w:left="360"/>
        <w:jc w:val="both"/>
        <w:rPr>
          <w:rFonts w:ascii="Arial" w:hAnsi="Arial" w:cs="Arial"/>
          <w:b/>
          <w:i/>
          <w:sz w:val="22"/>
          <w:szCs w:val="22"/>
          <w:lang w:val="en"/>
        </w:rPr>
      </w:pPr>
      <w:r w:rsidRPr="000A0D98">
        <w:rPr>
          <w:rFonts w:ascii="Arial" w:eastAsiaTheme="minorHAnsi" w:hAnsi="Arial" w:cs="Arial"/>
          <w:sz w:val="22"/>
          <w:szCs w:val="22"/>
          <w:lang w:val="en" w:eastAsia="en-US"/>
        </w:rPr>
        <w:t>The fund is intended to address difficulties in accessing development finance faced by some house</w:t>
      </w:r>
      <w:r>
        <w:rPr>
          <w:rFonts w:ascii="Arial" w:eastAsiaTheme="minorHAnsi" w:hAnsi="Arial" w:cs="Arial"/>
          <w:sz w:val="22"/>
          <w:szCs w:val="22"/>
          <w:lang w:val="en" w:eastAsia="en-US"/>
        </w:rPr>
        <w:t xml:space="preserve"> </w:t>
      </w:r>
      <w:r w:rsidRPr="000A0D98">
        <w:rPr>
          <w:rFonts w:ascii="Arial" w:eastAsiaTheme="minorHAnsi" w:hAnsi="Arial" w:cs="Arial"/>
          <w:sz w:val="22"/>
          <w:szCs w:val="22"/>
          <w:lang w:val="en" w:eastAsia="en-US"/>
        </w:rPr>
        <w:t>builders and to help accelerate and unlock housing developments between 15 and 250 units that have slowed down or stalled completely.</w:t>
      </w:r>
      <w:r>
        <w:rPr>
          <w:rFonts w:ascii="Arial" w:eastAsiaTheme="minorHAnsi" w:hAnsi="Arial" w:cs="Arial"/>
          <w:sz w:val="22"/>
          <w:szCs w:val="22"/>
          <w:lang w:val="en" w:eastAsia="en-US"/>
        </w:rPr>
        <w:t xml:space="preserve"> </w:t>
      </w:r>
      <w:r w:rsidRPr="006B24B4">
        <w:rPr>
          <w:rFonts w:ascii="Arial" w:eastAsiaTheme="minorHAnsi" w:hAnsi="Arial" w:cs="Arial"/>
          <w:b/>
          <w:sz w:val="22"/>
          <w:szCs w:val="22"/>
          <w:lang w:val="en" w:eastAsia="en-US"/>
        </w:rPr>
        <w:t xml:space="preserve">This has now reopened for bids and will continue on a CME basis until all funds have been allocated. </w:t>
      </w:r>
    </w:p>
    <w:p w:rsidR="00824839" w:rsidRDefault="00824839" w:rsidP="00824839">
      <w:pPr>
        <w:spacing w:before="60" w:afterLines="60" w:after="144"/>
        <w:ind w:left="360"/>
        <w:jc w:val="both"/>
        <w:rPr>
          <w:rFonts w:ascii="Arial" w:eastAsiaTheme="minorHAnsi" w:hAnsi="Arial" w:cs="Arial"/>
          <w:sz w:val="22"/>
          <w:szCs w:val="22"/>
          <w:lang w:val="en" w:eastAsia="en-US"/>
        </w:rPr>
      </w:pPr>
    </w:p>
    <w:p w:rsidR="00824839" w:rsidRPr="000A0D98" w:rsidRDefault="00824839" w:rsidP="00824839">
      <w:pPr>
        <w:pStyle w:val="ListParagraph"/>
        <w:numPr>
          <w:ilvl w:val="0"/>
          <w:numId w:val="1"/>
        </w:numPr>
        <w:spacing w:before="60" w:afterLines="60" w:after="144" w:line="276" w:lineRule="auto"/>
        <w:jc w:val="both"/>
        <w:rPr>
          <w:rFonts w:ascii="Arial" w:eastAsiaTheme="minorHAnsi" w:hAnsi="Arial" w:cs="Arial"/>
          <w:b/>
          <w:sz w:val="22"/>
          <w:szCs w:val="22"/>
          <w:lang w:eastAsia="en-US"/>
        </w:rPr>
      </w:pPr>
      <w:r w:rsidRPr="000A0D98">
        <w:rPr>
          <w:rFonts w:ascii="Arial" w:eastAsiaTheme="minorHAnsi" w:hAnsi="Arial" w:cs="Arial"/>
          <w:b/>
          <w:sz w:val="22"/>
          <w:szCs w:val="22"/>
          <w:lang w:eastAsia="en-US"/>
        </w:rPr>
        <w:t>Estate Regeneration Programme</w:t>
      </w:r>
    </w:p>
    <w:p w:rsidR="00824839" w:rsidRDefault="00824839" w:rsidP="00824839">
      <w:pPr>
        <w:spacing w:before="60" w:afterLines="60" w:after="144"/>
        <w:ind w:left="360"/>
        <w:jc w:val="both"/>
        <w:rPr>
          <w:rFonts w:ascii="Arial" w:hAnsi="Arial" w:cs="Arial"/>
          <w:i/>
          <w:sz w:val="22"/>
          <w:szCs w:val="22"/>
          <w:lang w:val="en"/>
        </w:rPr>
      </w:pPr>
      <w:r>
        <w:rPr>
          <w:rFonts w:ascii="Arial" w:eastAsiaTheme="minorHAnsi" w:hAnsi="Arial" w:cs="Arial"/>
          <w:sz w:val="22"/>
          <w:szCs w:val="22"/>
          <w:lang w:eastAsia="en-US"/>
        </w:rPr>
        <w:t>This</w:t>
      </w:r>
      <w:r w:rsidRPr="000A0D98">
        <w:rPr>
          <w:rFonts w:ascii="Arial" w:eastAsiaTheme="minorHAnsi" w:hAnsi="Arial" w:cs="Arial"/>
          <w:sz w:val="22"/>
          <w:szCs w:val="22"/>
          <w:lang w:eastAsia="en-US"/>
        </w:rPr>
        <w:t xml:space="preserve"> £150m Estate Regeneration Programme</w:t>
      </w:r>
      <w:r>
        <w:rPr>
          <w:rFonts w:ascii="Arial" w:eastAsiaTheme="minorHAnsi" w:hAnsi="Arial" w:cs="Arial"/>
          <w:sz w:val="22"/>
          <w:szCs w:val="22"/>
          <w:lang w:eastAsia="en-US"/>
        </w:rPr>
        <w:t xml:space="preserve"> is</w:t>
      </w:r>
      <w:r w:rsidRPr="000A0D98">
        <w:rPr>
          <w:rFonts w:ascii="Arial" w:eastAsiaTheme="minorHAnsi" w:hAnsi="Arial" w:cs="Arial"/>
          <w:sz w:val="22"/>
          <w:szCs w:val="22"/>
          <w:lang w:eastAsia="en-US"/>
        </w:rPr>
        <w:t xml:space="preserve"> designed to help regenerate rundown estates and improve the lives of residents</w:t>
      </w:r>
      <w:r>
        <w:rPr>
          <w:rFonts w:ascii="Arial" w:eastAsiaTheme="minorHAnsi" w:hAnsi="Arial" w:cs="Arial"/>
          <w:sz w:val="22"/>
          <w:szCs w:val="22"/>
          <w:lang w:eastAsia="en-US"/>
        </w:rPr>
        <w:t>. Bidding closed on 12 September. 4 projects, all Lon</w:t>
      </w:r>
      <w:r w:rsidR="00484178">
        <w:rPr>
          <w:rFonts w:ascii="Arial" w:eastAsiaTheme="minorHAnsi" w:hAnsi="Arial" w:cs="Arial"/>
          <w:sz w:val="22"/>
          <w:szCs w:val="22"/>
          <w:lang w:eastAsia="en-US"/>
        </w:rPr>
        <w:t xml:space="preserve">don based, have been </w:t>
      </w:r>
      <w:proofErr w:type="spellStart"/>
      <w:r w:rsidR="00484178">
        <w:rPr>
          <w:rFonts w:ascii="Arial" w:eastAsiaTheme="minorHAnsi" w:hAnsi="Arial" w:cs="Arial"/>
          <w:sz w:val="22"/>
          <w:szCs w:val="22"/>
          <w:lang w:eastAsia="en-US"/>
        </w:rPr>
        <w:t>shortliste</w:t>
      </w:r>
      <w:proofErr w:type="spellEnd"/>
      <w:r>
        <w:rPr>
          <w:rFonts w:ascii="Arial" w:eastAsiaTheme="minorHAnsi" w:hAnsi="Arial" w:cs="Arial"/>
          <w:sz w:val="22"/>
          <w:szCs w:val="22"/>
          <w:lang w:eastAsia="en-US"/>
        </w:rPr>
        <w:t xml:space="preserve"> and are undergoing due diligence. </w:t>
      </w:r>
      <w:r w:rsidRPr="000A0D98" w:rsidDel="00280BC2">
        <w:rPr>
          <w:rFonts w:ascii="Arial" w:eastAsiaTheme="minorHAnsi" w:hAnsi="Arial" w:cs="Arial"/>
          <w:sz w:val="22"/>
          <w:szCs w:val="22"/>
          <w:lang w:eastAsia="en-US"/>
        </w:rPr>
        <w:t xml:space="preserve"> </w:t>
      </w:r>
    </w:p>
    <w:p w:rsidR="00824839" w:rsidRPr="00E562D1" w:rsidRDefault="00824839" w:rsidP="00824839">
      <w:pPr>
        <w:pStyle w:val="ListParagraph"/>
        <w:numPr>
          <w:ilvl w:val="0"/>
          <w:numId w:val="1"/>
        </w:numPr>
        <w:spacing w:before="60" w:afterLines="60" w:after="144"/>
        <w:jc w:val="both"/>
        <w:rPr>
          <w:rFonts w:ascii="Arial" w:eastAsiaTheme="minorHAnsi" w:hAnsi="Arial" w:cs="Arial"/>
          <w:b/>
          <w:sz w:val="22"/>
          <w:szCs w:val="22"/>
          <w:lang w:eastAsia="en-US"/>
        </w:rPr>
      </w:pPr>
      <w:r w:rsidRPr="00E562D1">
        <w:rPr>
          <w:rFonts w:ascii="Arial" w:eastAsiaTheme="minorHAnsi" w:hAnsi="Arial" w:cs="Arial"/>
          <w:b/>
          <w:sz w:val="22"/>
          <w:szCs w:val="22"/>
          <w:lang w:eastAsia="en-US"/>
        </w:rPr>
        <w:t>Housing Zones</w:t>
      </w:r>
    </w:p>
    <w:p w:rsidR="003308AD" w:rsidRDefault="00824839" w:rsidP="003308AD">
      <w:pPr>
        <w:spacing w:before="60" w:afterLines="60" w:after="144"/>
        <w:ind w:left="360"/>
        <w:jc w:val="both"/>
        <w:rPr>
          <w:rFonts w:ascii="Arial" w:hAnsi="Arial" w:cs="Arial"/>
          <w:i/>
          <w:sz w:val="22"/>
          <w:szCs w:val="22"/>
          <w:lang w:val="en"/>
        </w:rPr>
      </w:pPr>
      <w:r w:rsidRPr="000A0D98">
        <w:rPr>
          <w:rFonts w:ascii="Arial" w:hAnsi="Arial"/>
          <w:sz w:val="22"/>
          <w:szCs w:val="22"/>
          <w:lang w:eastAsia="en-US"/>
        </w:rPr>
        <w:t>Bidding opened on 22 August for housing zones, which includes access to £200 million Housing Zones fund</w:t>
      </w:r>
      <w:r w:rsidRPr="000A0D98">
        <w:rPr>
          <w:rFonts w:ascii="Arial" w:hAnsi="Arial"/>
          <w:b/>
          <w:sz w:val="22"/>
          <w:szCs w:val="22"/>
          <w:lang w:eastAsia="en-US"/>
        </w:rPr>
        <w:t xml:space="preserve"> </w:t>
      </w:r>
      <w:r w:rsidRPr="000A0D98">
        <w:rPr>
          <w:rFonts w:ascii="Arial" w:hAnsi="Arial"/>
          <w:sz w:val="22"/>
          <w:szCs w:val="22"/>
          <w:lang w:eastAsia="en-US"/>
        </w:rPr>
        <w:t xml:space="preserve">and other support measures designed to accelerate the delivery of housing, with priority given to brownfield sites. Local authorities </w:t>
      </w:r>
      <w:r>
        <w:rPr>
          <w:rFonts w:ascii="Arial" w:hAnsi="Arial"/>
          <w:sz w:val="22"/>
          <w:szCs w:val="22"/>
          <w:lang w:eastAsia="en-US"/>
        </w:rPr>
        <w:t>could</w:t>
      </w:r>
      <w:r w:rsidRPr="000A0D98">
        <w:rPr>
          <w:rFonts w:ascii="Arial" w:hAnsi="Arial"/>
          <w:sz w:val="22"/>
          <w:szCs w:val="22"/>
          <w:lang w:eastAsia="en-US"/>
        </w:rPr>
        <w:t xml:space="preserve"> apply to be designated as one of 10 Housing Zones the government want to see created across the country. </w:t>
      </w:r>
      <w:r>
        <w:rPr>
          <w:rFonts w:ascii="Arial" w:hAnsi="Arial"/>
          <w:sz w:val="22"/>
          <w:szCs w:val="22"/>
          <w:lang w:eastAsia="en-US"/>
        </w:rPr>
        <w:t xml:space="preserve">A shortlist of 29 was announced in January </w:t>
      </w:r>
      <w:r w:rsidR="002634D3">
        <w:rPr>
          <w:rFonts w:ascii="Arial" w:hAnsi="Arial"/>
          <w:sz w:val="22"/>
          <w:szCs w:val="22"/>
          <w:lang w:eastAsia="en-US"/>
        </w:rPr>
        <w:t xml:space="preserve">2015 </w:t>
      </w:r>
      <w:r>
        <w:rPr>
          <w:rFonts w:ascii="Arial" w:hAnsi="Arial"/>
          <w:sz w:val="22"/>
          <w:szCs w:val="22"/>
          <w:lang w:eastAsia="en-US"/>
        </w:rPr>
        <w:t xml:space="preserve">and these are currently going through an assessment process looking at Value for money and delivery. </w:t>
      </w:r>
      <w:r>
        <w:rPr>
          <w:rFonts w:ascii="Arial" w:hAnsi="Arial" w:cs="Arial"/>
          <w:i/>
          <w:sz w:val="22"/>
          <w:szCs w:val="22"/>
          <w:lang w:val="en"/>
        </w:rPr>
        <w:t xml:space="preserve"> </w:t>
      </w:r>
    </w:p>
    <w:p w:rsidR="00824839" w:rsidRPr="00575FE6" w:rsidRDefault="00824839" w:rsidP="00575FE6">
      <w:pPr>
        <w:pStyle w:val="ListParagraph"/>
        <w:numPr>
          <w:ilvl w:val="0"/>
          <w:numId w:val="1"/>
        </w:numPr>
        <w:spacing w:before="60" w:afterLines="60" w:after="144"/>
        <w:jc w:val="both"/>
        <w:rPr>
          <w:rFonts w:ascii="Arial" w:eastAsiaTheme="minorHAnsi" w:hAnsi="Arial" w:cs="Arial"/>
          <w:b/>
          <w:sz w:val="22"/>
          <w:szCs w:val="22"/>
          <w:lang w:eastAsia="en-US"/>
        </w:rPr>
      </w:pPr>
      <w:r w:rsidRPr="00575FE6">
        <w:rPr>
          <w:rFonts w:ascii="Arial" w:eastAsiaTheme="minorHAnsi" w:hAnsi="Arial" w:cs="Arial"/>
          <w:b/>
          <w:sz w:val="22"/>
          <w:szCs w:val="22"/>
          <w:lang w:eastAsia="en-US"/>
        </w:rPr>
        <w:t>Custom Build Serviced Plots Fund</w:t>
      </w:r>
    </w:p>
    <w:p w:rsidR="005D4124" w:rsidRPr="005D4124" w:rsidRDefault="005D4124" w:rsidP="005D4124">
      <w:pPr>
        <w:spacing w:before="60" w:afterLines="60" w:after="144"/>
        <w:ind w:left="360"/>
        <w:jc w:val="both"/>
        <w:rPr>
          <w:rFonts w:ascii="Arial" w:eastAsiaTheme="minorHAnsi" w:hAnsi="Arial" w:cs="Arial"/>
          <w:sz w:val="22"/>
          <w:szCs w:val="22"/>
          <w:lang w:val="en" w:eastAsia="en-US"/>
        </w:rPr>
      </w:pPr>
      <w:r w:rsidRPr="005D4124">
        <w:rPr>
          <w:rFonts w:ascii="Arial" w:eastAsiaTheme="minorHAnsi" w:hAnsi="Arial" w:cs="Arial"/>
          <w:sz w:val="22"/>
          <w:szCs w:val="22"/>
          <w:lang w:val="en" w:eastAsia="en-US"/>
        </w:rPr>
        <w:t xml:space="preserve">The Custom Build Serviced Plots Loan Fund (CBSP) provides a £150 million fund to support the development of serviced plots to help people who want to custom build their own home. Serviced plots are shovel ready sites with planning permission, where plots or parcels of land are laid out and ready for construction. Access is provided and each plot or parcel of land has utilities/services provided within its boundary. </w:t>
      </w:r>
    </w:p>
    <w:p w:rsidR="005D4124" w:rsidRPr="005D4124" w:rsidRDefault="005D4124" w:rsidP="005D4124">
      <w:pPr>
        <w:spacing w:before="60" w:afterLines="60" w:after="144"/>
        <w:ind w:left="360"/>
        <w:jc w:val="both"/>
        <w:rPr>
          <w:rFonts w:ascii="Arial" w:eastAsiaTheme="minorHAnsi" w:hAnsi="Arial" w:cs="Arial"/>
          <w:sz w:val="22"/>
          <w:szCs w:val="22"/>
          <w:lang w:val="en" w:eastAsia="en-US"/>
        </w:rPr>
      </w:pPr>
      <w:r w:rsidRPr="005D4124">
        <w:rPr>
          <w:rFonts w:ascii="Arial" w:eastAsiaTheme="minorHAnsi" w:hAnsi="Arial" w:cs="Arial"/>
          <w:sz w:val="22"/>
          <w:szCs w:val="22"/>
          <w:lang w:val="en" w:eastAsia="en-US"/>
        </w:rPr>
        <w:t xml:space="preserve">Funding is a fully recoverable loan. The </w:t>
      </w:r>
      <w:proofErr w:type="spellStart"/>
      <w:r w:rsidRPr="005D4124">
        <w:rPr>
          <w:rFonts w:ascii="Arial" w:eastAsiaTheme="minorHAnsi" w:hAnsi="Arial" w:cs="Arial"/>
          <w:sz w:val="22"/>
          <w:szCs w:val="22"/>
          <w:lang w:val="en" w:eastAsia="en-US"/>
        </w:rPr>
        <w:t>programme</w:t>
      </w:r>
      <w:proofErr w:type="spellEnd"/>
      <w:r w:rsidRPr="005D4124">
        <w:rPr>
          <w:rFonts w:ascii="Arial" w:eastAsiaTheme="minorHAnsi" w:hAnsi="Arial" w:cs="Arial"/>
          <w:sz w:val="22"/>
          <w:szCs w:val="22"/>
          <w:lang w:val="en" w:eastAsia="en-US"/>
        </w:rPr>
        <w:t xml:space="preserve"> is targeted encouraging applications from private sector developers (particularly small and medium-sized), housing associations, Community Land Trusts or community groups. </w:t>
      </w:r>
    </w:p>
    <w:p w:rsidR="005D4124" w:rsidRPr="005D4124" w:rsidRDefault="005D4124" w:rsidP="005D4124">
      <w:pPr>
        <w:spacing w:before="60" w:afterLines="60" w:after="144"/>
        <w:ind w:left="360"/>
        <w:jc w:val="both"/>
        <w:rPr>
          <w:rFonts w:ascii="Arial" w:eastAsiaTheme="minorHAnsi" w:hAnsi="Arial" w:cs="Arial"/>
          <w:sz w:val="22"/>
          <w:szCs w:val="22"/>
          <w:lang w:val="en" w:eastAsia="en-US"/>
        </w:rPr>
      </w:pPr>
      <w:r w:rsidRPr="005D4124">
        <w:rPr>
          <w:rFonts w:ascii="Arial" w:eastAsiaTheme="minorHAnsi" w:hAnsi="Arial" w:cs="Arial"/>
          <w:sz w:val="22"/>
          <w:szCs w:val="22"/>
          <w:lang w:val="en" w:eastAsia="en-US"/>
        </w:rPr>
        <w:t xml:space="preserve">Expenditure eligible for loan funding includes: on-site infrastructure costs; provision of on-site utilities; land preparation; demolition; fencing and landscaping; and professional fees. Loan funding for approved projects is capped at 75% of their eligible costs, as agreed at the application stage. Applicants are required to have in place the remaining 25%, with a preference for equity, of funding required to complete servicing of the plots to bring them to market. It is expected that applicants will have used this funding and incurred expenditure from their own resources before any loan advances are made. </w:t>
      </w:r>
    </w:p>
    <w:p w:rsidR="005D4124" w:rsidRPr="005D4124" w:rsidRDefault="005D4124" w:rsidP="005D4124">
      <w:pPr>
        <w:spacing w:before="60" w:afterLines="60" w:after="144"/>
        <w:ind w:left="360"/>
        <w:jc w:val="both"/>
        <w:rPr>
          <w:rFonts w:ascii="Arial" w:eastAsiaTheme="minorHAnsi" w:hAnsi="Arial" w:cs="Arial"/>
          <w:sz w:val="22"/>
          <w:szCs w:val="22"/>
          <w:lang w:val="en" w:eastAsia="en-US"/>
        </w:rPr>
      </w:pPr>
    </w:p>
    <w:p w:rsidR="005D4124" w:rsidRPr="005D4124" w:rsidRDefault="005D4124" w:rsidP="005D4124">
      <w:pPr>
        <w:spacing w:before="60" w:afterLines="60" w:after="144"/>
        <w:ind w:left="360"/>
        <w:jc w:val="both"/>
        <w:rPr>
          <w:rFonts w:ascii="Arial" w:eastAsiaTheme="minorHAnsi" w:hAnsi="Arial" w:cs="Arial"/>
          <w:sz w:val="22"/>
          <w:szCs w:val="22"/>
          <w:lang w:val="en" w:eastAsia="en-US"/>
        </w:rPr>
      </w:pPr>
      <w:r w:rsidRPr="005D4124">
        <w:rPr>
          <w:rFonts w:ascii="Arial" w:eastAsiaTheme="minorHAnsi" w:hAnsi="Arial" w:cs="Arial"/>
          <w:sz w:val="22"/>
          <w:szCs w:val="22"/>
          <w:lang w:val="en" w:eastAsia="en-US"/>
        </w:rPr>
        <w:lastRenderedPageBreak/>
        <w:t xml:space="preserve">Following the conclusion of the initial bidding round between July and September 2014, </w:t>
      </w:r>
      <w:r w:rsidRPr="006B24B4">
        <w:rPr>
          <w:rFonts w:ascii="Arial" w:eastAsiaTheme="minorHAnsi" w:hAnsi="Arial" w:cs="Arial"/>
          <w:b/>
          <w:sz w:val="22"/>
          <w:szCs w:val="22"/>
          <w:lang w:val="en" w:eastAsia="en-US"/>
        </w:rPr>
        <w:t>access to the fund is now on a continuous market engagement (CME) basis</w:t>
      </w:r>
      <w:r w:rsidRPr="005D4124">
        <w:rPr>
          <w:rFonts w:ascii="Arial" w:eastAsiaTheme="minorHAnsi" w:hAnsi="Arial" w:cs="Arial"/>
          <w:sz w:val="22"/>
          <w:szCs w:val="22"/>
          <w:lang w:val="en" w:eastAsia="en-US"/>
        </w:rPr>
        <w:t xml:space="preserve"> until the fund is fully allocated. The fund is intended to be open to applications from 2014/15 until 2019/20. The total fund must be drawn down by 31 March 2020 and repaid by 31 March 2025. Eligible projects must bring forward sites with a minimum of 5 serviced building plots which enable the construction of 5 custom build homes, whether these are detached, terraced or in the form of apartments. </w:t>
      </w:r>
    </w:p>
    <w:p w:rsidR="005D4124" w:rsidRPr="005D4124" w:rsidRDefault="005D4124" w:rsidP="005D4124">
      <w:pPr>
        <w:spacing w:before="60" w:afterLines="60" w:after="144"/>
        <w:ind w:left="360"/>
        <w:jc w:val="both"/>
        <w:rPr>
          <w:rFonts w:ascii="Arial" w:eastAsiaTheme="minorHAnsi" w:hAnsi="Arial" w:cs="Arial"/>
          <w:sz w:val="22"/>
          <w:szCs w:val="22"/>
          <w:lang w:val="en" w:eastAsia="en-US"/>
        </w:rPr>
      </w:pPr>
      <w:r w:rsidRPr="005D4124">
        <w:rPr>
          <w:rFonts w:ascii="Arial" w:eastAsiaTheme="minorHAnsi" w:hAnsi="Arial" w:cs="Arial"/>
          <w:sz w:val="22"/>
          <w:szCs w:val="22"/>
          <w:lang w:val="en" w:eastAsia="en-US"/>
        </w:rPr>
        <w:t xml:space="preserve">Funding from other HCA </w:t>
      </w:r>
      <w:proofErr w:type="spellStart"/>
      <w:r w:rsidRPr="005D4124">
        <w:rPr>
          <w:rFonts w:ascii="Arial" w:eastAsiaTheme="minorHAnsi" w:hAnsi="Arial" w:cs="Arial"/>
          <w:sz w:val="22"/>
          <w:szCs w:val="22"/>
          <w:lang w:val="en" w:eastAsia="en-US"/>
        </w:rPr>
        <w:t>programmes</w:t>
      </w:r>
      <w:proofErr w:type="spellEnd"/>
      <w:r w:rsidRPr="005D4124">
        <w:rPr>
          <w:rFonts w:ascii="Arial" w:eastAsiaTheme="minorHAnsi" w:hAnsi="Arial" w:cs="Arial"/>
          <w:sz w:val="22"/>
          <w:szCs w:val="22"/>
          <w:lang w:val="en" w:eastAsia="en-US"/>
        </w:rPr>
        <w:t xml:space="preserve"> (for example the Builders Finance Fund) can be applied for providing it is not for the same work. Any outstanding HCA loan must also be repaid ahead of allocating further funding. </w:t>
      </w:r>
    </w:p>
    <w:p w:rsidR="00824839" w:rsidRPr="000A0D98" w:rsidRDefault="00824839" w:rsidP="00824839">
      <w:pPr>
        <w:spacing w:before="60" w:afterLines="60" w:after="144"/>
        <w:ind w:left="360"/>
        <w:jc w:val="both"/>
        <w:rPr>
          <w:rFonts w:ascii="Arial" w:eastAsiaTheme="minorHAnsi" w:hAnsi="Arial" w:cs="Arial"/>
          <w:sz w:val="22"/>
          <w:szCs w:val="22"/>
          <w:lang w:val="en" w:eastAsia="en-US"/>
        </w:rPr>
      </w:pPr>
      <w:r>
        <w:rPr>
          <w:rFonts w:ascii="Arial" w:eastAsiaTheme="minorHAnsi" w:hAnsi="Arial" w:cs="Arial"/>
          <w:sz w:val="22"/>
          <w:szCs w:val="22"/>
          <w:lang w:val="en" w:eastAsia="en-US"/>
        </w:rPr>
        <w:t>.</w:t>
      </w:r>
      <w:r w:rsidRPr="000A0D98">
        <w:rPr>
          <w:rFonts w:ascii="Arial" w:eastAsiaTheme="minorHAnsi" w:hAnsi="Arial" w:cs="Arial"/>
          <w:sz w:val="22"/>
          <w:szCs w:val="22"/>
          <w:lang w:val="en" w:eastAsia="en-US"/>
        </w:rPr>
        <w:t xml:space="preserve"> </w:t>
      </w:r>
    </w:p>
    <w:p w:rsidR="00824839" w:rsidRPr="000A0D98" w:rsidRDefault="00824839" w:rsidP="00824839">
      <w:pPr>
        <w:pStyle w:val="ListParagraph"/>
        <w:numPr>
          <w:ilvl w:val="0"/>
          <w:numId w:val="1"/>
        </w:numPr>
        <w:spacing w:before="60" w:afterLines="60" w:after="144"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Pr="000A0D98">
        <w:rPr>
          <w:rFonts w:ascii="Arial" w:eastAsiaTheme="minorHAnsi" w:hAnsi="Arial" w:cs="Arial"/>
          <w:b/>
          <w:sz w:val="22"/>
          <w:szCs w:val="22"/>
          <w:lang w:eastAsia="en-US"/>
        </w:rPr>
        <w:t>Rent to Buy</w:t>
      </w:r>
    </w:p>
    <w:p w:rsidR="00824839" w:rsidRPr="000A0D98" w:rsidRDefault="00824839" w:rsidP="00824839">
      <w:pPr>
        <w:spacing w:before="60" w:afterLines="60" w:after="144"/>
        <w:ind w:left="360"/>
        <w:jc w:val="both"/>
        <w:rPr>
          <w:rFonts w:ascii="Arial" w:hAnsi="Arial"/>
          <w:sz w:val="22"/>
          <w:szCs w:val="22"/>
          <w:lang w:eastAsia="en-US"/>
        </w:rPr>
      </w:pPr>
      <w:r w:rsidRPr="000A0D98">
        <w:rPr>
          <w:rFonts w:ascii="Arial" w:hAnsi="Arial"/>
          <w:sz w:val="22"/>
          <w:szCs w:val="22"/>
          <w:lang w:eastAsia="en-US"/>
        </w:rPr>
        <w:t xml:space="preserve">The Rent to </w:t>
      </w:r>
      <w:proofErr w:type="gramStart"/>
      <w:r w:rsidRPr="000A0D98">
        <w:rPr>
          <w:rFonts w:ascii="Arial" w:hAnsi="Arial"/>
          <w:sz w:val="22"/>
          <w:szCs w:val="22"/>
          <w:lang w:eastAsia="en-US"/>
        </w:rPr>
        <w:t>Buy</w:t>
      </w:r>
      <w:proofErr w:type="gramEnd"/>
      <w:r w:rsidRPr="000A0D98">
        <w:rPr>
          <w:rFonts w:ascii="Arial" w:hAnsi="Arial"/>
          <w:sz w:val="22"/>
          <w:szCs w:val="22"/>
          <w:lang w:eastAsia="en-US"/>
        </w:rPr>
        <w:t xml:space="preserve"> prospectus invites bidders to apply for loan funding for up to £200 million outside of London. Bidding for the fund, via the Investment Management System from 30th September 2014, will </w:t>
      </w:r>
      <w:r w:rsidRPr="000A0D98">
        <w:rPr>
          <w:rFonts w:ascii="Arial" w:eastAsiaTheme="minorHAnsi" w:hAnsi="Arial" w:cs="Arial"/>
          <w:sz w:val="22"/>
          <w:szCs w:val="22"/>
          <w:lang w:eastAsia="en-US"/>
        </w:rPr>
        <w:t>enable</w:t>
      </w:r>
      <w:r w:rsidRPr="000A0D98">
        <w:rPr>
          <w:rFonts w:ascii="Arial" w:hAnsi="Arial"/>
          <w:sz w:val="22"/>
          <w:szCs w:val="22"/>
          <w:lang w:eastAsia="en-US"/>
        </w:rPr>
        <w:t xml:space="preserve"> the delivery of more new homes, complementing our grant-funded 2015-18 Affordable Homes Programme launched in January. Details on bidding, open to registered providers and those intending to register by the time the homes are complete, can be found in the prospectus.</w:t>
      </w:r>
    </w:p>
    <w:p w:rsidR="00824839" w:rsidRPr="000A0D98" w:rsidRDefault="00824839" w:rsidP="00824839">
      <w:pPr>
        <w:spacing w:before="60" w:afterLines="60" w:after="144"/>
        <w:ind w:left="360"/>
        <w:jc w:val="both"/>
        <w:rPr>
          <w:rFonts w:ascii="Arial" w:hAnsi="Arial"/>
          <w:sz w:val="22"/>
          <w:szCs w:val="22"/>
          <w:lang w:eastAsia="en-US"/>
        </w:rPr>
      </w:pPr>
      <w:r w:rsidRPr="000A0D98">
        <w:rPr>
          <w:rFonts w:ascii="Arial" w:hAnsi="Arial"/>
          <w:sz w:val="22"/>
          <w:szCs w:val="22"/>
          <w:lang w:eastAsia="en-US"/>
        </w:rPr>
        <w:t>The programme is designed to support working households who have not owned a home before to achieve their aspiration of home ownership through a fixed period of sub-market tented housing. If the landlord seeks to sell the property at any time after the original seven year letting period, the tenant should have a right of first refusal to buy their home at open market value.</w:t>
      </w:r>
    </w:p>
    <w:p w:rsidR="00824839" w:rsidRPr="000A0D98" w:rsidRDefault="00824839" w:rsidP="00824839">
      <w:pPr>
        <w:spacing w:before="60" w:afterLines="60" w:after="144"/>
        <w:ind w:left="360"/>
        <w:jc w:val="both"/>
        <w:rPr>
          <w:rFonts w:ascii="Arial" w:hAnsi="Arial"/>
          <w:sz w:val="22"/>
          <w:szCs w:val="22"/>
          <w:lang w:eastAsia="en-US"/>
        </w:rPr>
      </w:pPr>
      <w:r w:rsidRPr="000A0D98">
        <w:rPr>
          <w:rFonts w:ascii="Arial" w:hAnsi="Arial"/>
          <w:sz w:val="22"/>
          <w:szCs w:val="22"/>
          <w:lang w:eastAsia="en-US"/>
        </w:rPr>
        <w:t>In addition, at any time after the seven years, tenants will be able to request to buy their home; and we would expect the landlord to agree to sell it (at market value) unless there were clear business reasons for not doing so at that stage. In particular, the landlord would not be required to sell if the market value was lower than the cost to the association of providing the home (including financing costs).</w:t>
      </w:r>
    </w:p>
    <w:p w:rsidR="00824839" w:rsidRDefault="00824839" w:rsidP="00824839">
      <w:pPr>
        <w:spacing w:before="60" w:afterLines="60" w:after="144"/>
        <w:ind w:left="360"/>
        <w:jc w:val="both"/>
        <w:rPr>
          <w:rFonts w:ascii="Arial" w:hAnsi="Arial"/>
          <w:sz w:val="22"/>
          <w:szCs w:val="22"/>
          <w:lang w:eastAsia="en-US"/>
        </w:rPr>
      </w:pPr>
      <w:r w:rsidRPr="000A0D98">
        <w:rPr>
          <w:rFonts w:ascii="Arial" w:hAnsi="Arial"/>
          <w:sz w:val="22"/>
          <w:szCs w:val="22"/>
          <w:lang w:eastAsia="en-US"/>
        </w:rPr>
        <w:t>Assessments of bids commenced from the 12</w:t>
      </w:r>
      <w:r w:rsidRPr="000A0D98">
        <w:rPr>
          <w:rFonts w:ascii="Arial" w:hAnsi="Arial"/>
          <w:sz w:val="22"/>
          <w:szCs w:val="22"/>
          <w:vertAlign w:val="superscript"/>
          <w:lang w:eastAsia="en-US"/>
        </w:rPr>
        <w:t>th</w:t>
      </w:r>
      <w:r w:rsidRPr="000A0D98">
        <w:rPr>
          <w:rFonts w:ascii="Arial" w:hAnsi="Arial"/>
          <w:sz w:val="22"/>
          <w:szCs w:val="22"/>
          <w:lang w:eastAsia="en-US"/>
        </w:rPr>
        <w:t xml:space="preserve"> November 2014 </w:t>
      </w:r>
      <w:r>
        <w:rPr>
          <w:rFonts w:ascii="Arial" w:hAnsi="Arial"/>
          <w:sz w:val="22"/>
          <w:szCs w:val="22"/>
          <w:lang w:eastAsia="en-US"/>
        </w:rPr>
        <w:t>and announcement of allocations made in February</w:t>
      </w:r>
      <w:r w:rsidR="002634D3">
        <w:rPr>
          <w:rFonts w:ascii="Arial" w:hAnsi="Arial"/>
          <w:sz w:val="22"/>
          <w:szCs w:val="22"/>
          <w:lang w:eastAsia="en-US"/>
        </w:rPr>
        <w:t xml:space="preserve"> 2015</w:t>
      </w:r>
      <w:r>
        <w:rPr>
          <w:rFonts w:ascii="Arial" w:hAnsi="Arial"/>
          <w:sz w:val="22"/>
          <w:szCs w:val="22"/>
          <w:lang w:eastAsia="en-US"/>
        </w:rPr>
        <w:t>. There were no bids for Kent</w:t>
      </w:r>
      <w:r w:rsidR="002634D3">
        <w:rPr>
          <w:rFonts w:ascii="Arial" w:hAnsi="Arial"/>
          <w:sz w:val="22"/>
          <w:szCs w:val="22"/>
          <w:lang w:eastAsia="en-US"/>
        </w:rPr>
        <w:t xml:space="preserve">. </w:t>
      </w:r>
      <w:r w:rsidR="002634D3">
        <w:rPr>
          <w:rFonts w:ascii="Arial" w:hAnsi="Arial" w:cs="Arial"/>
          <w:sz w:val="22"/>
          <w:szCs w:val="22"/>
          <w:lang w:val="en"/>
        </w:rPr>
        <w:t>A new grant funded Rent to Buy product is likely to be included in the 16 -21 AHP</w:t>
      </w:r>
    </w:p>
    <w:p w:rsidR="00824839" w:rsidRPr="0079753A" w:rsidRDefault="00824839" w:rsidP="00824839">
      <w:pPr>
        <w:pStyle w:val="ListParagraph"/>
        <w:numPr>
          <w:ilvl w:val="0"/>
          <w:numId w:val="1"/>
        </w:numPr>
        <w:spacing w:before="60" w:afterLines="60" w:after="144"/>
        <w:jc w:val="both"/>
        <w:rPr>
          <w:rFonts w:ascii="Arial" w:hAnsi="Arial"/>
          <w:b/>
          <w:sz w:val="22"/>
          <w:szCs w:val="22"/>
          <w:lang w:eastAsia="en-US"/>
        </w:rPr>
      </w:pPr>
      <w:r w:rsidRPr="0079753A">
        <w:rPr>
          <w:rFonts w:ascii="Arial" w:hAnsi="Arial"/>
          <w:b/>
          <w:sz w:val="22"/>
          <w:szCs w:val="22"/>
          <w:lang w:eastAsia="en-US"/>
        </w:rPr>
        <w:t xml:space="preserve"> Help to Buy</w:t>
      </w:r>
    </w:p>
    <w:p w:rsidR="00824839" w:rsidRDefault="00824839" w:rsidP="00824839">
      <w:pPr>
        <w:spacing w:before="60" w:afterLines="60" w:after="144"/>
        <w:ind w:left="284"/>
        <w:jc w:val="both"/>
      </w:pPr>
      <w:r>
        <w:rPr>
          <w:rFonts w:ascii="Arial" w:hAnsi="Arial"/>
          <w:sz w:val="22"/>
          <w:szCs w:val="22"/>
          <w:lang w:eastAsia="en-US"/>
        </w:rPr>
        <w:t xml:space="preserve">An update on Help to Buy, including data at LA level on the New Build and Mortgage Guarantee routes was published on 30 April  </w:t>
      </w:r>
      <w:hyperlink r:id="rId14" w:history="1">
        <w:r w:rsidRPr="005A7220">
          <w:rPr>
            <w:rStyle w:val="Hyperlink"/>
          </w:rPr>
          <w:t>https://www.gov.uk/government/statistics/help-to-buy-equity-loan-scheme-and-help-to-buy-newbuy-statistics-april-2013-to-march-2015</w:t>
        </w:r>
      </w:hyperlink>
    </w:p>
    <w:p w:rsidR="00824839" w:rsidRDefault="00824839" w:rsidP="00824839">
      <w:pPr>
        <w:spacing w:before="60" w:afterLines="60" w:after="144"/>
        <w:ind w:left="284"/>
        <w:jc w:val="both"/>
        <w:rPr>
          <w:rFonts w:ascii="Arial" w:hAnsi="Arial"/>
          <w:sz w:val="22"/>
          <w:szCs w:val="22"/>
          <w:lang w:eastAsia="en-US"/>
        </w:rPr>
      </w:pPr>
      <w:r w:rsidRPr="00CA6BBB">
        <w:rPr>
          <w:lang w:val="en"/>
        </w:rPr>
        <w:t xml:space="preserve"> </w:t>
      </w:r>
      <w:proofErr w:type="gramStart"/>
      <w:r w:rsidR="00BB7FAC" w:rsidRPr="003A38E4">
        <w:rPr>
          <w:rFonts w:ascii="Arial" w:hAnsi="Arial" w:cs="Arial"/>
          <w:sz w:val="22"/>
          <w:szCs w:val="22"/>
          <w:lang w:val="en"/>
        </w:rPr>
        <w:t>showing</w:t>
      </w:r>
      <w:proofErr w:type="gramEnd"/>
      <w:r w:rsidR="00BB7FAC" w:rsidRPr="003A38E4">
        <w:rPr>
          <w:rFonts w:ascii="Arial" w:hAnsi="Arial" w:cs="Arial"/>
          <w:sz w:val="22"/>
          <w:szCs w:val="22"/>
          <w:lang w:val="en"/>
        </w:rPr>
        <w:t xml:space="preserve"> more</w:t>
      </w:r>
      <w:r w:rsidRPr="003A38E4">
        <w:rPr>
          <w:rFonts w:ascii="Arial" w:hAnsi="Arial" w:cs="Arial"/>
          <w:sz w:val="22"/>
          <w:szCs w:val="22"/>
          <w:lang w:val="en"/>
        </w:rPr>
        <w:t xml:space="preserve"> than </w:t>
      </w:r>
      <w:r>
        <w:rPr>
          <w:rFonts w:ascii="Arial" w:hAnsi="Arial" w:cs="Arial"/>
          <w:sz w:val="22"/>
          <w:szCs w:val="22"/>
          <w:lang w:val="en"/>
        </w:rPr>
        <w:t>47</w:t>
      </w:r>
      <w:r w:rsidRPr="003A38E4">
        <w:rPr>
          <w:rFonts w:ascii="Arial" w:hAnsi="Arial" w:cs="Arial"/>
          <w:sz w:val="22"/>
          <w:szCs w:val="22"/>
          <w:lang w:val="en"/>
        </w:rPr>
        <w:t>,000 homes have been bought under the</w:t>
      </w:r>
      <w:r w:rsidRPr="003A38E4">
        <w:rPr>
          <w:rFonts w:ascii="Arial" w:hAnsi="Arial" w:cs="Arial"/>
          <w:sz w:val="22"/>
          <w:szCs w:val="22"/>
          <w:lang w:eastAsia="en-US"/>
        </w:rPr>
        <w:t xml:space="preserve"> this programme, </w:t>
      </w:r>
      <w:r>
        <w:rPr>
          <w:rFonts w:ascii="Arial" w:hAnsi="Arial" w:cs="Arial"/>
          <w:sz w:val="22"/>
          <w:szCs w:val="22"/>
          <w:lang w:eastAsia="en-US"/>
        </w:rPr>
        <w:t>and i</w:t>
      </w:r>
      <w:r w:rsidRPr="003A38E4">
        <w:rPr>
          <w:rFonts w:ascii="Arial" w:hAnsi="Arial" w:cs="Arial"/>
          <w:sz w:val="22"/>
          <w:szCs w:val="22"/>
          <w:lang w:eastAsia="en-US"/>
        </w:rPr>
        <w:t>s available on the DCLG web site</w:t>
      </w:r>
    </w:p>
    <w:p w:rsidR="00824839" w:rsidRDefault="00824839" w:rsidP="00824839">
      <w:pPr>
        <w:spacing w:before="60" w:afterLines="60" w:after="144"/>
        <w:ind w:left="284"/>
        <w:jc w:val="both"/>
        <w:rPr>
          <w:rFonts w:ascii="Arial" w:hAnsi="Arial"/>
          <w:sz w:val="22"/>
          <w:szCs w:val="22"/>
          <w:lang w:eastAsia="en-US"/>
        </w:rPr>
      </w:pPr>
    </w:p>
    <w:p w:rsidR="00824839" w:rsidRPr="00D66078" w:rsidRDefault="00824839" w:rsidP="00824839">
      <w:pPr>
        <w:pStyle w:val="ListParagraph"/>
        <w:numPr>
          <w:ilvl w:val="0"/>
          <w:numId w:val="1"/>
        </w:numPr>
        <w:spacing w:before="60" w:afterLines="60" w:after="144"/>
        <w:jc w:val="both"/>
        <w:rPr>
          <w:rStyle w:val="Strong"/>
          <w:rFonts w:ascii="Arial" w:hAnsi="Arial" w:cs="Arial"/>
          <w:bCs w:val="0"/>
          <w:sz w:val="22"/>
          <w:szCs w:val="22"/>
          <w:lang w:eastAsia="en-US"/>
        </w:rPr>
      </w:pPr>
      <w:r w:rsidRPr="00D66078">
        <w:rPr>
          <w:rStyle w:val="Strong"/>
          <w:rFonts w:ascii="Arial" w:hAnsi="Arial"/>
          <w:bCs w:val="0"/>
          <w:sz w:val="22"/>
          <w:szCs w:val="22"/>
          <w:lang w:eastAsia="en-US"/>
        </w:rPr>
        <w:t>Care and Support Specialised Housing (CaSSH)</w:t>
      </w:r>
    </w:p>
    <w:p w:rsidR="00824839" w:rsidRDefault="00824839" w:rsidP="00824839">
      <w:pPr>
        <w:spacing w:before="60" w:afterLines="60" w:after="144"/>
        <w:ind w:left="284"/>
        <w:jc w:val="both"/>
        <w:rPr>
          <w:rFonts w:ascii="Arial" w:hAnsi="Arial" w:cs="Arial"/>
          <w:sz w:val="22"/>
          <w:szCs w:val="22"/>
          <w:lang w:val="en"/>
        </w:rPr>
      </w:pPr>
      <w:r w:rsidRPr="00843B1B">
        <w:rPr>
          <w:rFonts w:ascii="Arial" w:hAnsi="Arial" w:cs="Arial"/>
          <w:sz w:val="22"/>
          <w:szCs w:val="22"/>
          <w:lang w:val="en"/>
        </w:rPr>
        <w:t>Up to £120 million capital funding for specialist housing providers is available via the HCA, on behalf of the</w:t>
      </w:r>
      <w:r>
        <w:rPr>
          <w:rFonts w:ascii="Arial" w:hAnsi="Arial" w:cs="Arial"/>
          <w:sz w:val="22"/>
          <w:szCs w:val="22"/>
          <w:lang w:val="en"/>
        </w:rPr>
        <w:t xml:space="preserve"> Department of Health</w:t>
      </w:r>
      <w:r w:rsidRPr="00843B1B">
        <w:rPr>
          <w:rFonts w:ascii="Arial" w:hAnsi="Arial" w:cs="Arial"/>
          <w:sz w:val="22"/>
          <w:szCs w:val="22"/>
          <w:lang w:val="en"/>
        </w:rPr>
        <w:t xml:space="preserve">, to bring forward proposals for the development of specialist housing to meet the needs of older people and adults </w:t>
      </w:r>
      <w:r w:rsidRPr="00843B1B">
        <w:rPr>
          <w:rFonts w:ascii="Arial" w:hAnsi="Arial" w:cs="Arial"/>
          <w:sz w:val="22"/>
          <w:szCs w:val="22"/>
          <w:lang w:val="en"/>
        </w:rPr>
        <w:lastRenderedPageBreak/>
        <w:t>with disabilities or mental health problems outside of London. This is in addition to £101 million funding allocated in 2013.</w:t>
      </w:r>
    </w:p>
    <w:p w:rsidR="00824839" w:rsidRPr="006E636A" w:rsidRDefault="00824839" w:rsidP="00824839">
      <w:pPr>
        <w:pStyle w:val="ListParagraph"/>
        <w:numPr>
          <w:ilvl w:val="0"/>
          <w:numId w:val="2"/>
        </w:numPr>
        <w:spacing w:before="100" w:beforeAutospacing="1" w:after="144" w:afterAutospacing="1"/>
        <w:ind w:left="1003" w:hanging="357"/>
        <w:rPr>
          <w:rFonts w:ascii="Arial" w:hAnsi="Arial" w:cs="Arial"/>
          <w:sz w:val="22"/>
          <w:szCs w:val="22"/>
        </w:rPr>
      </w:pPr>
      <w:r w:rsidRPr="006E636A">
        <w:rPr>
          <w:rFonts w:ascii="Arial" w:hAnsi="Arial" w:cs="Arial"/>
          <w:sz w:val="22"/>
          <w:szCs w:val="22"/>
        </w:rPr>
        <w:t>Bidding opened on 17 February and close</w:t>
      </w:r>
      <w:r>
        <w:rPr>
          <w:rFonts w:ascii="Arial" w:hAnsi="Arial" w:cs="Arial"/>
          <w:sz w:val="22"/>
          <w:szCs w:val="22"/>
        </w:rPr>
        <w:t xml:space="preserve">d </w:t>
      </w:r>
      <w:r w:rsidR="00BB7FAC">
        <w:rPr>
          <w:rFonts w:ascii="Arial" w:hAnsi="Arial" w:cs="Arial"/>
          <w:sz w:val="22"/>
          <w:szCs w:val="22"/>
        </w:rPr>
        <w:t xml:space="preserve">on </w:t>
      </w:r>
      <w:r w:rsidR="00BB7FAC" w:rsidRPr="006E636A">
        <w:rPr>
          <w:rFonts w:ascii="Arial" w:hAnsi="Arial" w:cs="Arial"/>
          <w:sz w:val="22"/>
          <w:szCs w:val="22"/>
        </w:rPr>
        <w:t>29</w:t>
      </w:r>
      <w:r w:rsidRPr="006E636A">
        <w:rPr>
          <w:rFonts w:ascii="Arial" w:hAnsi="Arial" w:cs="Arial"/>
          <w:sz w:val="22"/>
          <w:szCs w:val="22"/>
        </w:rPr>
        <w:t xml:space="preserve"> May 2015</w:t>
      </w:r>
      <w:r>
        <w:rPr>
          <w:rFonts w:ascii="Arial" w:hAnsi="Arial" w:cs="Arial"/>
          <w:sz w:val="22"/>
          <w:szCs w:val="22"/>
        </w:rPr>
        <w:t>. Bids are currently being assessed at area level, will then go through for national moderation and then to DOH. Allocations to be announced in October.</w:t>
      </w:r>
    </w:p>
    <w:p w:rsidR="00824839" w:rsidRPr="006E636A" w:rsidRDefault="00824839" w:rsidP="00824839">
      <w:pPr>
        <w:pStyle w:val="ListParagraph"/>
        <w:numPr>
          <w:ilvl w:val="0"/>
          <w:numId w:val="2"/>
        </w:numPr>
        <w:spacing w:before="100" w:beforeAutospacing="1" w:after="144" w:afterAutospacing="1"/>
        <w:ind w:left="1003" w:hanging="357"/>
        <w:rPr>
          <w:rFonts w:ascii="Arial" w:hAnsi="Arial" w:cs="Arial"/>
          <w:sz w:val="22"/>
          <w:szCs w:val="22"/>
        </w:rPr>
      </w:pPr>
      <w:r w:rsidRPr="006E636A">
        <w:rPr>
          <w:rFonts w:ascii="Arial" w:hAnsi="Arial" w:cs="Arial"/>
          <w:sz w:val="22"/>
          <w:szCs w:val="22"/>
        </w:rPr>
        <w:t>£120 million available outside London to fund housing for people with mental health problems, learning disabilities and housing for older people. Bids are welcomed for all forms of affordable housing, affordable rent and/or affordable home ownership (shared ownership).</w:t>
      </w:r>
    </w:p>
    <w:p w:rsidR="00824839" w:rsidRPr="006E636A" w:rsidRDefault="00824839" w:rsidP="00824839">
      <w:pPr>
        <w:pStyle w:val="ListParagraph"/>
        <w:numPr>
          <w:ilvl w:val="0"/>
          <w:numId w:val="2"/>
        </w:numPr>
        <w:spacing w:before="100" w:beforeAutospacing="1" w:after="144" w:afterAutospacing="1"/>
        <w:ind w:left="1003" w:hanging="357"/>
        <w:rPr>
          <w:rFonts w:ascii="Arial" w:hAnsi="Arial" w:cs="Arial"/>
          <w:sz w:val="22"/>
          <w:szCs w:val="22"/>
        </w:rPr>
      </w:pPr>
      <w:r w:rsidRPr="006E636A">
        <w:rPr>
          <w:rFonts w:ascii="Arial" w:hAnsi="Arial" w:cs="Arial"/>
          <w:sz w:val="22"/>
          <w:szCs w:val="22"/>
        </w:rPr>
        <w:t>Aimed at clients who do not require full residential care but would benefit from some form of adapted independent living. Schemes should be able to accommodate changing cared needs of clients</w:t>
      </w:r>
    </w:p>
    <w:p w:rsidR="00824839" w:rsidRPr="006E636A" w:rsidRDefault="00824839" w:rsidP="00824839">
      <w:pPr>
        <w:pStyle w:val="ListParagraph"/>
        <w:numPr>
          <w:ilvl w:val="0"/>
          <w:numId w:val="2"/>
        </w:numPr>
        <w:spacing w:before="100" w:beforeAutospacing="1" w:after="144" w:afterAutospacing="1"/>
        <w:ind w:left="1003" w:hanging="357"/>
        <w:rPr>
          <w:rFonts w:ascii="Arial" w:hAnsi="Arial" w:cs="Arial"/>
          <w:sz w:val="22"/>
          <w:szCs w:val="22"/>
        </w:rPr>
      </w:pPr>
      <w:r w:rsidRPr="006E636A">
        <w:rPr>
          <w:rFonts w:ascii="Arial" w:hAnsi="Arial" w:cs="Arial"/>
          <w:sz w:val="22"/>
          <w:szCs w:val="22"/>
        </w:rPr>
        <w:t>Must achieve practical completion by March 2018</w:t>
      </w:r>
    </w:p>
    <w:p w:rsidR="00824839" w:rsidRPr="006E636A" w:rsidRDefault="00824839" w:rsidP="00824839">
      <w:pPr>
        <w:pStyle w:val="ListParagraph"/>
        <w:numPr>
          <w:ilvl w:val="0"/>
          <w:numId w:val="2"/>
        </w:numPr>
        <w:spacing w:before="100" w:beforeAutospacing="1" w:after="144" w:afterAutospacing="1"/>
        <w:ind w:left="1003" w:hanging="357"/>
        <w:rPr>
          <w:rFonts w:ascii="Arial" w:hAnsi="Arial" w:cs="Arial"/>
          <w:sz w:val="22"/>
          <w:szCs w:val="22"/>
        </w:rPr>
      </w:pPr>
      <w:r w:rsidRPr="006E636A">
        <w:rPr>
          <w:rFonts w:ascii="Arial" w:hAnsi="Arial" w:cs="Arial"/>
          <w:sz w:val="22"/>
          <w:szCs w:val="22"/>
        </w:rPr>
        <w:t>Older persons housing expected to confirm to HAPPI principles. Innovation for new housing types is encouraged</w:t>
      </w:r>
    </w:p>
    <w:p w:rsidR="00824839" w:rsidRPr="006E636A" w:rsidRDefault="00824839" w:rsidP="00824839">
      <w:pPr>
        <w:pStyle w:val="ListParagraph"/>
        <w:numPr>
          <w:ilvl w:val="0"/>
          <w:numId w:val="2"/>
        </w:numPr>
        <w:spacing w:before="100" w:beforeAutospacing="1" w:after="144" w:afterAutospacing="1"/>
        <w:ind w:left="1003" w:hanging="357"/>
        <w:rPr>
          <w:rFonts w:ascii="Arial" w:hAnsi="Arial" w:cs="Arial"/>
          <w:sz w:val="22"/>
          <w:szCs w:val="22"/>
        </w:rPr>
      </w:pPr>
      <w:r w:rsidRPr="006E636A">
        <w:rPr>
          <w:rFonts w:ascii="Arial" w:hAnsi="Arial" w:cs="Arial"/>
          <w:sz w:val="22"/>
          <w:szCs w:val="22"/>
        </w:rPr>
        <w:t>Remodelled housing is allowed but must represent vfm and meet identified and prioritised local need</w:t>
      </w:r>
    </w:p>
    <w:p w:rsidR="00824839" w:rsidRPr="006E636A" w:rsidRDefault="00824839" w:rsidP="00824839">
      <w:pPr>
        <w:pStyle w:val="ListParagraph"/>
        <w:numPr>
          <w:ilvl w:val="0"/>
          <w:numId w:val="2"/>
        </w:numPr>
        <w:spacing w:before="100" w:beforeAutospacing="1" w:after="144" w:afterAutospacing="1"/>
        <w:ind w:left="1003" w:hanging="357"/>
        <w:rPr>
          <w:rFonts w:ascii="Arial" w:hAnsi="Arial" w:cs="Arial"/>
          <w:sz w:val="22"/>
          <w:szCs w:val="22"/>
        </w:rPr>
      </w:pPr>
      <w:r w:rsidRPr="006E636A">
        <w:rPr>
          <w:rFonts w:ascii="Arial" w:hAnsi="Arial" w:cs="Arial"/>
          <w:sz w:val="22"/>
          <w:szCs w:val="22"/>
        </w:rPr>
        <w:t>Social rent will only be agreed if the affordable rent is calculated to be lower and would otherwise make the scheme unviable</w:t>
      </w:r>
    </w:p>
    <w:p w:rsidR="00824839" w:rsidRPr="006E636A" w:rsidRDefault="00824839" w:rsidP="00824839">
      <w:pPr>
        <w:pStyle w:val="ListParagraph"/>
        <w:numPr>
          <w:ilvl w:val="0"/>
          <w:numId w:val="2"/>
        </w:numPr>
        <w:spacing w:before="100" w:beforeAutospacing="1" w:after="144" w:afterAutospacing="1"/>
        <w:ind w:left="1003" w:hanging="357"/>
        <w:rPr>
          <w:rFonts w:ascii="Arial" w:hAnsi="Arial" w:cs="Arial"/>
          <w:sz w:val="22"/>
          <w:szCs w:val="22"/>
        </w:rPr>
      </w:pPr>
      <w:r w:rsidRPr="006E636A">
        <w:rPr>
          <w:rFonts w:ascii="Arial" w:hAnsi="Arial" w:cs="Arial"/>
          <w:sz w:val="22"/>
          <w:szCs w:val="22"/>
        </w:rPr>
        <w:t>Open to all organisations who are, or intend to become, qualified as HCA investment partners. The landlord of the resulting property must be a registered provider of housing</w:t>
      </w:r>
    </w:p>
    <w:p w:rsidR="00824839" w:rsidRPr="006E636A" w:rsidRDefault="00824839" w:rsidP="00824839">
      <w:pPr>
        <w:pStyle w:val="ListParagraph"/>
        <w:numPr>
          <w:ilvl w:val="0"/>
          <w:numId w:val="2"/>
        </w:numPr>
        <w:spacing w:before="100" w:beforeAutospacing="1" w:after="144" w:afterAutospacing="1"/>
        <w:ind w:left="1003" w:hanging="357"/>
        <w:rPr>
          <w:rFonts w:ascii="Arial" w:hAnsi="Arial" w:cs="Arial"/>
          <w:sz w:val="22"/>
          <w:szCs w:val="22"/>
        </w:rPr>
      </w:pPr>
      <w:r w:rsidRPr="006E636A">
        <w:rPr>
          <w:rFonts w:ascii="Arial" w:hAnsi="Arial" w:cs="Arial"/>
          <w:sz w:val="22"/>
          <w:szCs w:val="22"/>
        </w:rPr>
        <w:t xml:space="preserve">Announcement of allocations anticipated </w:t>
      </w:r>
      <w:r w:rsidR="006B24B4">
        <w:rPr>
          <w:rFonts w:ascii="Arial" w:hAnsi="Arial" w:cs="Arial"/>
          <w:sz w:val="22"/>
          <w:szCs w:val="22"/>
        </w:rPr>
        <w:t>in the near future</w:t>
      </w:r>
    </w:p>
    <w:p w:rsidR="00824839" w:rsidRPr="00843B1B" w:rsidRDefault="00824839" w:rsidP="00824839">
      <w:pPr>
        <w:spacing w:before="60" w:afterLines="60" w:after="144"/>
        <w:ind w:left="284"/>
        <w:jc w:val="both"/>
        <w:rPr>
          <w:rStyle w:val="Strong"/>
          <w:rFonts w:ascii="Arial" w:hAnsi="Arial" w:cs="Arial"/>
          <w:b w:val="0"/>
          <w:bCs w:val="0"/>
          <w:sz w:val="22"/>
          <w:szCs w:val="22"/>
          <w:lang w:eastAsia="en-US"/>
        </w:rPr>
      </w:pPr>
    </w:p>
    <w:p w:rsidR="00824839" w:rsidRPr="00D66078" w:rsidRDefault="00824839" w:rsidP="00824839">
      <w:pPr>
        <w:pStyle w:val="ListParagraph"/>
        <w:numPr>
          <w:ilvl w:val="0"/>
          <w:numId w:val="1"/>
        </w:numPr>
        <w:spacing w:before="60" w:afterLines="60" w:after="144"/>
        <w:ind w:left="360"/>
        <w:jc w:val="both"/>
        <w:rPr>
          <w:rStyle w:val="Strong"/>
          <w:rFonts w:ascii="Arial" w:hAnsi="Arial" w:cs="Arial"/>
          <w:bCs w:val="0"/>
          <w:sz w:val="22"/>
          <w:szCs w:val="22"/>
          <w:lang w:eastAsia="en-US"/>
        </w:rPr>
      </w:pPr>
      <w:r w:rsidRPr="00D66078">
        <w:rPr>
          <w:rStyle w:val="Strong"/>
          <w:rFonts w:ascii="Arial" w:hAnsi="Arial" w:cs="Arial"/>
          <w:bCs w:val="0"/>
          <w:sz w:val="22"/>
          <w:szCs w:val="22"/>
        </w:rPr>
        <w:t>Homelessness Change and Platform for Life</w:t>
      </w:r>
      <w:r>
        <w:rPr>
          <w:rStyle w:val="Strong"/>
          <w:rFonts w:ascii="Arial" w:hAnsi="Arial" w:cs="Arial"/>
          <w:bCs w:val="0"/>
          <w:sz w:val="22"/>
          <w:szCs w:val="22"/>
        </w:rPr>
        <w:t xml:space="preserve"> Funds 2015 to 2o17</w:t>
      </w:r>
    </w:p>
    <w:p w:rsidR="00824839" w:rsidRPr="005C5CA6" w:rsidRDefault="00824839" w:rsidP="00824839">
      <w:pPr>
        <w:pStyle w:val="NormalWeb"/>
        <w:spacing w:after="144"/>
        <w:rPr>
          <w:rFonts w:ascii="Arial" w:hAnsi="Arial" w:cs="Arial"/>
          <w:sz w:val="22"/>
          <w:szCs w:val="22"/>
        </w:rPr>
      </w:pPr>
      <w:r w:rsidRPr="005C5CA6">
        <w:rPr>
          <w:rFonts w:ascii="Arial" w:hAnsi="Arial" w:cs="Arial"/>
          <w:sz w:val="22"/>
          <w:szCs w:val="22"/>
        </w:rPr>
        <w:t xml:space="preserve">The Prospectus for these funds was published on 12 March and bidding </w:t>
      </w:r>
      <w:r w:rsidR="00642C9F">
        <w:rPr>
          <w:rFonts w:ascii="Arial" w:hAnsi="Arial" w:cs="Arial"/>
          <w:sz w:val="22"/>
          <w:szCs w:val="22"/>
        </w:rPr>
        <w:t>was</w:t>
      </w:r>
      <w:r w:rsidRPr="005C5CA6">
        <w:rPr>
          <w:rFonts w:ascii="Arial" w:hAnsi="Arial" w:cs="Arial"/>
          <w:sz w:val="22"/>
          <w:szCs w:val="22"/>
        </w:rPr>
        <w:t xml:space="preserve"> open for a share of up to £25 million Department of Health funding to improve facilities and accommodation for rough sleepers, and young homeless people in education or work, outside London.</w:t>
      </w:r>
      <w:r>
        <w:rPr>
          <w:rFonts w:ascii="Arial" w:hAnsi="Arial" w:cs="Arial"/>
          <w:sz w:val="22"/>
          <w:szCs w:val="22"/>
        </w:rPr>
        <w:t xml:space="preserve"> </w:t>
      </w:r>
      <w:r w:rsidRPr="005C5CA6">
        <w:rPr>
          <w:rFonts w:ascii="Arial" w:hAnsi="Arial" w:cs="Arial"/>
          <w:sz w:val="22"/>
          <w:szCs w:val="22"/>
        </w:rPr>
        <w:t xml:space="preserve">There are 2 strands to this new funding programme, which we are administering: </w:t>
      </w:r>
    </w:p>
    <w:p w:rsidR="00824839" w:rsidRPr="003308AD" w:rsidRDefault="00824839" w:rsidP="003308AD">
      <w:pPr>
        <w:pStyle w:val="ListParagraph"/>
        <w:numPr>
          <w:ilvl w:val="0"/>
          <w:numId w:val="7"/>
        </w:numPr>
        <w:spacing w:before="100" w:beforeAutospacing="1" w:after="100" w:afterAutospacing="1"/>
        <w:rPr>
          <w:rFonts w:ascii="Arial" w:hAnsi="Arial" w:cs="Arial"/>
          <w:sz w:val="22"/>
          <w:szCs w:val="22"/>
        </w:rPr>
      </w:pPr>
      <w:r w:rsidRPr="003308AD">
        <w:rPr>
          <w:rFonts w:ascii="Arial" w:hAnsi="Arial" w:cs="Arial"/>
          <w:sz w:val="22"/>
          <w:szCs w:val="22"/>
        </w:rPr>
        <w:t>Providing tailored hostel accommodation and improved facilities for the provision of healthcare, training and education for rough sleepers, with the aim of helping them off the streets and transforming their lives.</w:t>
      </w:r>
    </w:p>
    <w:p w:rsidR="003308AD" w:rsidRDefault="00824839" w:rsidP="003308AD">
      <w:pPr>
        <w:pStyle w:val="ListParagraph"/>
        <w:numPr>
          <w:ilvl w:val="0"/>
          <w:numId w:val="7"/>
        </w:numPr>
        <w:spacing w:before="100" w:beforeAutospacing="1" w:afterLines="60" w:after="144"/>
        <w:jc w:val="both"/>
        <w:rPr>
          <w:rFonts w:ascii="Arial" w:hAnsi="Arial" w:cs="Arial"/>
          <w:sz w:val="22"/>
          <w:szCs w:val="22"/>
        </w:rPr>
      </w:pPr>
      <w:r w:rsidRPr="003308AD">
        <w:rPr>
          <w:rFonts w:ascii="Arial" w:hAnsi="Arial" w:cs="Arial"/>
          <w:sz w:val="22"/>
          <w:szCs w:val="22"/>
        </w:rPr>
        <w:t>Shared accommodation let at an Affordable Rent for young people aged 18 to 24, who are homeless or at risk of homelessness, in housing need and who would not be a priority for self-contained housing.</w:t>
      </w:r>
    </w:p>
    <w:p w:rsidR="003308AD" w:rsidRDefault="00824839" w:rsidP="003308AD">
      <w:pPr>
        <w:pStyle w:val="ListParagraph"/>
        <w:numPr>
          <w:ilvl w:val="0"/>
          <w:numId w:val="7"/>
        </w:numPr>
        <w:spacing w:before="100" w:beforeAutospacing="1" w:afterLines="60" w:after="144"/>
        <w:jc w:val="both"/>
        <w:rPr>
          <w:rFonts w:ascii="Arial" w:hAnsi="Arial" w:cs="Arial"/>
          <w:sz w:val="22"/>
          <w:szCs w:val="22"/>
        </w:rPr>
      </w:pPr>
      <w:r w:rsidRPr="003308AD">
        <w:rPr>
          <w:rFonts w:ascii="Arial" w:hAnsi="Arial" w:cs="Arial"/>
          <w:sz w:val="22"/>
          <w:szCs w:val="22"/>
        </w:rPr>
        <w:t xml:space="preserve"> The aim is to provide a stable place to live, where residents can be supported into training and education, linked effectively into existing health services, and encouraged into long term employment, independence and healthy</w:t>
      </w:r>
      <w:r w:rsidR="003308AD" w:rsidRPr="003308AD">
        <w:rPr>
          <w:rFonts w:ascii="Arial" w:hAnsi="Arial" w:cs="Arial"/>
          <w:sz w:val="22"/>
          <w:szCs w:val="22"/>
        </w:rPr>
        <w:t xml:space="preserve"> </w:t>
      </w:r>
      <w:r w:rsidRPr="003308AD">
        <w:rPr>
          <w:rFonts w:ascii="Arial" w:hAnsi="Arial" w:cs="Arial"/>
          <w:sz w:val="22"/>
          <w:szCs w:val="22"/>
        </w:rPr>
        <w:t>living.</w:t>
      </w:r>
    </w:p>
    <w:p w:rsidR="00824839" w:rsidRPr="00A92174" w:rsidRDefault="00824839" w:rsidP="003308AD">
      <w:pPr>
        <w:pStyle w:val="ListParagraph"/>
        <w:numPr>
          <w:ilvl w:val="0"/>
          <w:numId w:val="7"/>
        </w:numPr>
        <w:spacing w:before="100" w:beforeAutospacing="1" w:afterLines="60" w:after="144"/>
        <w:jc w:val="both"/>
        <w:rPr>
          <w:rFonts w:ascii="Arial" w:hAnsi="Arial" w:cs="Arial"/>
          <w:sz w:val="22"/>
          <w:szCs w:val="22"/>
        </w:rPr>
      </w:pPr>
      <w:r w:rsidRPr="003308AD">
        <w:rPr>
          <w:rFonts w:ascii="Arial" w:hAnsi="Arial" w:cs="Arial"/>
          <w:sz w:val="22"/>
          <w:szCs w:val="22"/>
          <w:lang w:val="en"/>
        </w:rPr>
        <w:t xml:space="preserve">Closing date for bids </w:t>
      </w:r>
      <w:r w:rsidR="00642C9F" w:rsidRPr="003308AD">
        <w:rPr>
          <w:rFonts w:ascii="Arial" w:hAnsi="Arial" w:cs="Arial"/>
          <w:sz w:val="22"/>
          <w:szCs w:val="22"/>
          <w:lang w:val="en"/>
        </w:rPr>
        <w:t xml:space="preserve">was 12 June and </w:t>
      </w:r>
      <w:r w:rsidR="00A92174">
        <w:rPr>
          <w:rFonts w:ascii="Arial" w:hAnsi="Arial" w:cs="Arial"/>
          <w:sz w:val="22"/>
          <w:szCs w:val="22"/>
          <w:lang w:val="en"/>
        </w:rPr>
        <w:t>allocations were announced on 22 December.</w:t>
      </w:r>
    </w:p>
    <w:p w:rsidR="00A92174" w:rsidRPr="003308AD" w:rsidRDefault="00A92174" w:rsidP="003308AD">
      <w:pPr>
        <w:pStyle w:val="ListParagraph"/>
        <w:numPr>
          <w:ilvl w:val="0"/>
          <w:numId w:val="7"/>
        </w:numPr>
        <w:spacing w:before="100" w:beforeAutospacing="1" w:afterLines="60" w:after="144"/>
        <w:jc w:val="both"/>
        <w:rPr>
          <w:rFonts w:ascii="Arial" w:hAnsi="Arial" w:cs="Arial"/>
          <w:sz w:val="22"/>
          <w:szCs w:val="22"/>
        </w:rPr>
      </w:pPr>
      <w:r>
        <w:rPr>
          <w:rFonts w:ascii="Arial" w:hAnsi="Arial" w:cs="Arial"/>
          <w:sz w:val="22"/>
          <w:szCs w:val="22"/>
          <w:lang w:val="en"/>
        </w:rPr>
        <w:t xml:space="preserve">The following schemes achieved allocations in Essex </w:t>
      </w:r>
    </w:p>
    <w:tbl>
      <w:tblPr>
        <w:tblStyle w:val="TableGrid"/>
        <w:tblW w:w="8537" w:type="dxa"/>
        <w:tblLook w:val="04A0" w:firstRow="1" w:lastRow="0" w:firstColumn="1" w:lastColumn="0" w:noHBand="0" w:noVBand="1"/>
      </w:tblPr>
      <w:tblGrid>
        <w:gridCol w:w="1858"/>
        <w:gridCol w:w="1650"/>
        <w:gridCol w:w="1484"/>
        <w:gridCol w:w="1146"/>
        <w:gridCol w:w="1139"/>
        <w:gridCol w:w="1796"/>
        <w:gridCol w:w="10"/>
      </w:tblGrid>
      <w:tr w:rsidR="002634D3" w:rsidRPr="002634D3" w:rsidTr="002634D3">
        <w:trPr>
          <w:gridAfter w:val="1"/>
          <w:wAfter w:w="15" w:type="dxa"/>
          <w:trHeight w:val="255"/>
        </w:trPr>
        <w:tc>
          <w:tcPr>
            <w:tcW w:w="3508" w:type="dxa"/>
            <w:gridSpan w:val="2"/>
            <w:noWrap/>
            <w:hideMark/>
          </w:tcPr>
          <w:p w:rsidR="002634D3" w:rsidRPr="002634D3" w:rsidRDefault="002634D3" w:rsidP="002634D3">
            <w:pPr>
              <w:rPr>
                <w:b/>
                <w:bCs/>
                <w:sz w:val="22"/>
                <w:szCs w:val="22"/>
                <w:u w:val="single"/>
              </w:rPr>
            </w:pPr>
            <w:r w:rsidRPr="002634D3">
              <w:rPr>
                <w:b/>
                <w:bCs/>
                <w:sz w:val="22"/>
                <w:szCs w:val="22"/>
                <w:u w:val="single"/>
              </w:rPr>
              <w:t>2015-17 Homelessness Change allocations</w:t>
            </w:r>
          </w:p>
        </w:tc>
        <w:tc>
          <w:tcPr>
            <w:tcW w:w="1370" w:type="dxa"/>
            <w:hideMark/>
          </w:tcPr>
          <w:p w:rsidR="002634D3" w:rsidRPr="002634D3" w:rsidRDefault="002634D3" w:rsidP="002634D3">
            <w:pPr>
              <w:rPr>
                <w:sz w:val="22"/>
                <w:szCs w:val="22"/>
              </w:rPr>
            </w:pPr>
          </w:p>
        </w:tc>
        <w:tc>
          <w:tcPr>
            <w:tcW w:w="1062" w:type="dxa"/>
            <w:hideMark/>
          </w:tcPr>
          <w:p w:rsidR="002634D3" w:rsidRPr="002634D3" w:rsidRDefault="002634D3" w:rsidP="002634D3">
            <w:pPr>
              <w:rPr>
                <w:sz w:val="22"/>
                <w:szCs w:val="22"/>
              </w:rPr>
            </w:pPr>
          </w:p>
        </w:tc>
        <w:tc>
          <w:tcPr>
            <w:tcW w:w="977" w:type="dxa"/>
            <w:hideMark/>
          </w:tcPr>
          <w:p w:rsidR="002634D3" w:rsidRPr="002634D3" w:rsidRDefault="002634D3" w:rsidP="002634D3">
            <w:pPr>
              <w:rPr>
                <w:sz w:val="22"/>
                <w:szCs w:val="22"/>
              </w:rPr>
            </w:pPr>
          </w:p>
        </w:tc>
        <w:tc>
          <w:tcPr>
            <w:tcW w:w="1605" w:type="dxa"/>
            <w:hideMark/>
          </w:tcPr>
          <w:p w:rsidR="002634D3" w:rsidRPr="002634D3" w:rsidRDefault="002634D3" w:rsidP="002634D3">
            <w:pPr>
              <w:rPr>
                <w:sz w:val="22"/>
                <w:szCs w:val="22"/>
              </w:rPr>
            </w:pPr>
          </w:p>
        </w:tc>
      </w:tr>
      <w:tr w:rsidR="002634D3" w:rsidRPr="002634D3" w:rsidTr="002634D3">
        <w:trPr>
          <w:gridAfter w:val="1"/>
          <w:wAfter w:w="15" w:type="dxa"/>
          <w:trHeight w:val="255"/>
        </w:trPr>
        <w:tc>
          <w:tcPr>
            <w:tcW w:w="1858" w:type="dxa"/>
            <w:hideMark/>
          </w:tcPr>
          <w:p w:rsidR="002634D3" w:rsidRPr="002634D3" w:rsidRDefault="002634D3" w:rsidP="002634D3">
            <w:pPr>
              <w:rPr>
                <w:sz w:val="22"/>
                <w:szCs w:val="22"/>
              </w:rPr>
            </w:pPr>
          </w:p>
        </w:tc>
        <w:tc>
          <w:tcPr>
            <w:tcW w:w="1650" w:type="dxa"/>
            <w:hideMark/>
          </w:tcPr>
          <w:p w:rsidR="002634D3" w:rsidRPr="002634D3" w:rsidRDefault="002634D3" w:rsidP="002634D3">
            <w:pPr>
              <w:rPr>
                <w:sz w:val="22"/>
                <w:szCs w:val="22"/>
              </w:rPr>
            </w:pPr>
          </w:p>
        </w:tc>
        <w:tc>
          <w:tcPr>
            <w:tcW w:w="1370" w:type="dxa"/>
            <w:hideMark/>
          </w:tcPr>
          <w:p w:rsidR="002634D3" w:rsidRPr="002634D3" w:rsidRDefault="002634D3" w:rsidP="002634D3">
            <w:pPr>
              <w:rPr>
                <w:sz w:val="22"/>
                <w:szCs w:val="22"/>
              </w:rPr>
            </w:pPr>
          </w:p>
        </w:tc>
        <w:tc>
          <w:tcPr>
            <w:tcW w:w="1062" w:type="dxa"/>
            <w:hideMark/>
          </w:tcPr>
          <w:p w:rsidR="002634D3" w:rsidRPr="002634D3" w:rsidRDefault="002634D3" w:rsidP="002634D3">
            <w:pPr>
              <w:rPr>
                <w:sz w:val="22"/>
                <w:szCs w:val="22"/>
              </w:rPr>
            </w:pPr>
          </w:p>
        </w:tc>
        <w:tc>
          <w:tcPr>
            <w:tcW w:w="977" w:type="dxa"/>
            <w:hideMark/>
          </w:tcPr>
          <w:p w:rsidR="002634D3" w:rsidRPr="002634D3" w:rsidRDefault="002634D3" w:rsidP="002634D3">
            <w:pPr>
              <w:rPr>
                <w:sz w:val="22"/>
                <w:szCs w:val="22"/>
              </w:rPr>
            </w:pPr>
          </w:p>
        </w:tc>
        <w:tc>
          <w:tcPr>
            <w:tcW w:w="1605" w:type="dxa"/>
            <w:hideMark/>
          </w:tcPr>
          <w:p w:rsidR="002634D3" w:rsidRPr="002634D3" w:rsidRDefault="002634D3" w:rsidP="002634D3">
            <w:pPr>
              <w:rPr>
                <w:sz w:val="22"/>
                <w:szCs w:val="22"/>
              </w:rPr>
            </w:pPr>
          </w:p>
        </w:tc>
      </w:tr>
      <w:tr w:rsidR="002634D3" w:rsidRPr="002634D3" w:rsidTr="002634D3">
        <w:trPr>
          <w:gridAfter w:val="1"/>
          <w:wAfter w:w="15" w:type="dxa"/>
          <w:trHeight w:val="510"/>
        </w:trPr>
        <w:tc>
          <w:tcPr>
            <w:tcW w:w="1858" w:type="dxa"/>
            <w:hideMark/>
          </w:tcPr>
          <w:p w:rsidR="002634D3" w:rsidRPr="002634D3" w:rsidRDefault="002634D3" w:rsidP="002634D3">
            <w:pPr>
              <w:rPr>
                <w:b/>
                <w:bCs/>
                <w:sz w:val="22"/>
                <w:szCs w:val="22"/>
              </w:rPr>
            </w:pPr>
            <w:r w:rsidRPr="002634D3">
              <w:rPr>
                <w:b/>
                <w:bCs/>
                <w:sz w:val="22"/>
                <w:szCs w:val="22"/>
              </w:rPr>
              <w:t>HCA Operating area</w:t>
            </w:r>
          </w:p>
        </w:tc>
        <w:tc>
          <w:tcPr>
            <w:tcW w:w="1650" w:type="dxa"/>
            <w:hideMark/>
          </w:tcPr>
          <w:p w:rsidR="002634D3" w:rsidRPr="002634D3" w:rsidRDefault="002634D3" w:rsidP="002634D3">
            <w:pPr>
              <w:rPr>
                <w:b/>
                <w:bCs/>
                <w:sz w:val="22"/>
                <w:szCs w:val="22"/>
              </w:rPr>
            </w:pPr>
            <w:r w:rsidRPr="002634D3">
              <w:rPr>
                <w:b/>
                <w:bCs/>
                <w:sz w:val="22"/>
                <w:szCs w:val="22"/>
              </w:rPr>
              <w:t>Lead provider name</w:t>
            </w:r>
          </w:p>
        </w:tc>
        <w:tc>
          <w:tcPr>
            <w:tcW w:w="1370" w:type="dxa"/>
            <w:hideMark/>
          </w:tcPr>
          <w:p w:rsidR="002634D3" w:rsidRPr="002634D3" w:rsidRDefault="002634D3" w:rsidP="002634D3">
            <w:pPr>
              <w:rPr>
                <w:b/>
                <w:bCs/>
                <w:sz w:val="22"/>
                <w:szCs w:val="22"/>
              </w:rPr>
            </w:pPr>
            <w:r w:rsidRPr="002634D3">
              <w:rPr>
                <w:b/>
                <w:bCs/>
                <w:sz w:val="22"/>
                <w:szCs w:val="22"/>
              </w:rPr>
              <w:t>Scheme name</w:t>
            </w:r>
          </w:p>
        </w:tc>
        <w:tc>
          <w:tcPr>
            <w:tcW w:w="1062" w:type="dxa"/>
            <w:hideMark/>
          </w:tcPr>
          <w:p w:rsidR="002634D3" w:rsidRPr="002634D3" w:rsidRDefault="002634D3" w:rsidP="002634D3">
            <w:pPr>
              <w:rPr>
                <w:b/>
                <w:bCs/>
                <w:sz w:val="22"/>
                <w:szCs w:val="22"/>
              </w:rPr>
            </w:pPr>
            <w:r w:rsidRPr="002634D3">
              <w:rPr>
                <w:b/>
                <w:bCs/>
                <w:sz w:val="22"/>
                <w:szCs w:val="22"/>
              </w:rPr>
              <w:t>Local Authority</w:t>
            </w:r>
          </w:p>
        </w:tc>
        <w:tc>
          <w:tcPr>
            <w:tcW w:w="977" w:type="dxa"/>
            <w:hideMark/>
          </w:tcPr>
          <w:p w:rsidR="002634D3" w:rsidRPr="002634D3" w:rsidRDefault="002634D3" w:rsidP="002634D3">
            <w:pPr>
              <w:rPr>
                <w:b/>
                <w:bCs/>
                <w:sz w:val="22"/>
                <w:szCs w:val="22"/>
              </w:rPr>
            </w:pPr>
            <w:r w:rsidRPr="002634D3">
              <w:rPr>
                <w:b/>
                <w:bCs/>
                <w:sz w:val="22"/>
                <w:szCs w:val="22"/>
              </w:rPr>
              <w:t>HCA funding</w:t>
            </w:r>
          </w:p>
        </w:tc>
        <w:tc>
          <w:tcPr>
            <w:tcW w:w="1605" w:type="dxa"/>
            <w:hideMark/>
          </w:tcPr>
          <w:p w:rsidR="002634D3" w:rsidRPr="002634D3" w:rsidRDefault="002634D3" w:rsidP="002634D3">
            <w:pPr>
              <w:rPr>
                <w:b/>
                <w:bCs/>
                <w:sz w:val="22"/>
                <w:szCs w:val="22"/>
              </w:rPr>
            </w:pPr>
            <w:r w:rsidRPr="002634D3">
              <w:rPr>
                <w:b/>
                <w:bCs/>
                <w:sz w:val="22"/>
                <w:szCs w:val="22"/>
              </w:rPr>
              <w:t>Units/</w:t>
            </w:r>
            <w:proofErr w:type="spellStart"/>
            <w:r w:rsidRPr="002634D3">
              <w:rPr>
                <w:b/>
                <w:bCs/>
                <w:sz w:val="22"/>
                <w:szCs w:val="22"/>
              </w:rPr>
              <w:t>bedspaces</w:t>
            </w:r>
            <w:proofErr w:type="spellEnd"/>
          </w:p>
        </w:tc>
      </w:tr>
      <w:tr w:rsidR="002634D3" w:rsidRPr="002634D3" w:rsidTr="002634D3">
        <w:trPr>
          <w:gridAfter w:val="1"/>
          <w:wAfter w:w="15" w:type="dxa"/>
          <w:trHeight w:val="510"/>
        </w:trPr>
        <w:tc>
          <w:tcPr>
            <w:tcW w:w="1858" w:type="dxa"/>
            <w:hideMark/>
          </w:tcPr>
          <w:p w:rsidR="002634D3" w:rsidRPr="002634D3" w:rsidRDefault="002634D3" w:rsidP="002634D3">
            <w:pPr>
              <w:rPr>
                <w:sz w:val="22"/>
                <w:szCs w:val="22"/>
              </w:rPr>
            </w:pPr>
            <w:r w:rsidRPr="002634D3">
              <w:rPr>
                <w:sz w:val="22"/>
                <w:szCs w:val="22"/>
              </w:rPr>
              <w:lastRenderedPageBreak/>
              <w:t>East and South East</w:t>
            </w:r>
          </w:p>
        </w:tc>
        <w:tc>
          <w:tcPr>
            <w:tcW w:w="1650" w:type="dxa"/>
            <w:hideMark/>
          </w:tcPr>
          <w:p w:rsidR="002634D3" w:rsidRPr="002634D3" w:rsidRDefault="002634D3" w:rsidP="002634D3">
            <w:pPr>
              <w:rPr>
                <w:sz w:val="22"/>
                <w:szCs w:val="22"/>
              </w:rPr>
            </w:pPr>
            <w:r w:rsidRPr="002634D3">
              <w:rPr>
                <w:sz w:val="22"/>
                <w:szCs w:val="22"/>
              </w:rPr>
              <w:t>Homeless Action Resource Project</w:t>
            </w:r>
          </w:p>
        </w:tc>
        <w:tc>
          <w:tcPr>
            <w:tcW w:w="1370" w:type="dxa"/>
            <w:hideMark/>
          </w:tcPr>
          <w:p w:rsidR="002634D3" w:rsidRPr="002634D3" w:rsidRDefault="002634D3" w:rsidP="002634D3">
            <w:pPr>
              <w:rPr>
                <w:sz w:val="22"/>
                <w:szCs w:val="22"/>
              </w:rPr>
            </w:pPr>
            <w:r w:rsidRPr="002634D3">
              <w:rPr>
                <w:sz w:val="22"/>
                <w:szCs w:val="22"/>
              </w:rPr>
              <w:t>Ceylon Road</w:t>
            </w:r>
          </w:p>
        </w:tc>
        <w:tc>
          <w:tcPr>
            <w:tcW w:w="1062" w:type="dxa"/>
            <w:hideMark/>
          </w:tcPr>
          <w:p w:rsidR="002634D3" w:rsidRPr="002634D3" w:rsidRDefault="002634D3" w:rsidP="002634D3">
            <w:pPr>
              <w:rPr>
                <w:sz w:val="22"/>
                <w:szCs w:val="22"/>
              </w:rPr>
            </w:pPr>
            <w:r w:rsidRPr="002634D3">
              <w:rPr>
                <w:sz w:val="22"/>
                <w:szCs w:val="22"/>
              </w:rPr>
              <w:t>Southend-on-Sea</w:t>
            </w:r>
          </w:p>
        </w:tc>
        <w:tc>
          <w:tcPr>
            <w:tcW w:w="977" w:type="dxa"/>
            <w:hideMark/>
          </w:tcPr>
          <w:p w:rsidR="002634D3" w:rsidRPr="002634D3" w:rsidRDefault="002634D3" w:rsidP="002634D3">
            <w:pPr>
              <w:rPr>
                <w:sz w:val="22"/>
                <w:szCs w:val="22"/>
              </w:rPr>
            </w:pPr>
            <w:r w:rsidRPr="002634D3">
              <w:rPr>
                <w:sz w:val="22"/>
                <w:szCs w:val="22"/>
              </w:rPr>
              <w:t>£232,296</w:t>
            </w:r>
          </w:p>
        </w:tc>
        <w:tc>
          <w:tcPr>
            <w:tcW w:w="1605" w:type="dxa"/>
            <w:hideMark/>
          </w:tcPr>
          <w:p w:rsidR="002634D3" w:rsidRPr="002634D3" w:rsidRDefault="002634D3" w:rsidP="002634D3">
            <w:pPr>
              <w:rPr>
                <w:sz w:val="22"/>
                <w:szCs w:val="22"/>
              </w:rPr>
            </w:pPr>
            <w:r w:rsidRPr="002634D3">
              <w:rPr>
                <w:sz w:val="22"/>
                <w:szCs w:val="22"/>
              </w:rPr>
              <w:t>8</w:t>
            </w:r>
          </w:p>
        </w:tc>
      </w:tr>
      <w:tr w:rsidR="002634D3" w:rsidRPr="002634D3" w:rsidTr="002634D3">
        <w:trPr>
          <w:gridAfter w:val="1"/>
          <w:wAfter w:w="15" w:type="dxa"/>
          <w:trHeight w:val="510"/>
        </w:trPr>
        <w:tc>
          <w:tcPr>
            <w:tcW w:w="1858" w:type="dxa"/>
            <w:hideMark/>
          </w:tcPr>
          <w:p w:rsidR="002634D3" w:rsidRPr="002634D3" w:rsidRDefault="002634D3" w:rsidP="002634D3">
            <w:pPr>
              <w:rPr>
                <w:sz w:val="22"/>
                <w:szCs w:val="22"/>
              </w:rPr>
            </w:pPr>
            <w:r w:rsidRPr="002634D3">
              <w:rPr>
                <w:sz w:val="22"/>
                <w:szCs w:val="22"/>
              </w:rPr>
              <w:t>East and South East</w:t>
            </w:r>
          </w:p>
        </w:tc>
        <w:tc>
          <w:tcPr>
            <w:tcW w:w="1650" w:type="dxa"/>
            <w:hideMark/>
          </w:tcPr>
          <w:p w:rsidR="002634D3" w:rsidRPr="002634D3" w:rsidRDefault="002634D3" w:rsidP="002634D3">
            <w:pPr>
              <w:rPr>
                <w:sz w:val="22"/>
                <w:szCs w:val="22"/>
              </w:rPr>
            </w:pPr>
            <w:r w:rsidRPr="002634D3">
              <w:rPr>
                <w:sz w:val="22"/>
                <w:szCs w:val="22"/>
              </w:rPr>
              <w:t>Homeless Action Resource Project</w:t>
            </w:r>
          </w:p>
        </w:tc>
        <w:tc>
          <w:tcPr>
            <w:tcW w:w="1370" w:type="dxa"/>
            <w:hideMark/>
          </w:tcPr>
          <w:p w:rsidR="002634D3" w:rsidRPr="002634D3" w:rsidRDefault="002634D3" w:rsidP="002634D3">
            <w:pPr>
              <w:rPr>
                <w:sz w:val="22"/>
                <w:szCs w:val="22"/>
              </w:rPr>
            </w:pPr>
            <w:r w:rsidRPr="002634D3">
              <w:rPr>
                <w:sz w:val="22"/>
                <w:szCs w:val="22"/>
              </w:rPr>
              <w:t>Land to the Rear of the Bradbury</w:t>
            </w:r>
          </w:p>
        </w:tc>
        <w:tc>
          <w:tcPr>
            <w:tcW w:w="1062" w:type="dxa"/>
            <w:hideMark/>
          </w:tcPr>
          <w:p w:rsidR="002634D3" w:rsidRPr="002634D3" w:rsidRDefault="002634D3" w:rsidP="002634D3">
            <w:pPr>
              <w:rPr>
                <w:sz w:val="22"/>
                <w:szCs w:val="22"/>
              </w:rPr>
            </w:pPr>
            <w:r w:rsidRPr="002634D3">
              <w:rPr>
                <w:sz w:val="22"/>
                <w:szCs w:val="22"/>
              </w:rPr>
              <w:t>Southend-on-Sea</w:t>
            </w:r>
          </w:p>
        </w:tc>
        <w:tc>
          <w:tcPr>
            <w:tcW w:w="977" w:type="dxa"/>
            <w:hideMark/>
          </w:tcPr>
          <w:p w:rsidR="002634D3" w:rsidRPr="002634D3" w:rsidRDefault="002634D3" w:rsidP="002634D3">
            <w:pPr>
              <w:rPr>
                <w:sz w:val="22"/>
                <w:szCs w:val="22"/>
              </w:rPr>
            </w:pPr>
            <w:r w:rsidRPr="002634D3">
              <w:rPr>
                <w:sz w:val="22"/>
                <w:szCs w:val="22"/>
              </w:rPr>
              <w:t>£557,346</w:t>
            </w:r>
          </w:p>
        </w:tc>
        <w:tc>
          <w:tcPr>
            <w:tcW w:w="1605" w:type="dxa"/>
            <w:hideMark/>
          </w:tcPr>
          <w:p w:rsidR="002634D3" w:rsidRPr="002634D3" w:rsidRDefault="002634D3" w:rsidP="002634D3">
            <w:pPr>
              <w:rPr>
                <w:sz w:val="22"/>
                <w:szCs w:val="22"/>
              </w:rPr>
            </w:pPr>
            <w:r w:rsidRPr="002634D3">
              <w:rPr>
                <w:sz w:val="22"/>
                <w:szCs w:val="22"/>
              </w:rPr>
              <w:t>19</w:t>
            </w:r>
          </w:p>
        </w:tc>
      </w:tr>
      <w:tr w:rsidR="002634D3" w:rsidRPr="002634D3" w:rsidTr="002634D3">
        <w:trPr>
          <w:gridAfter w:val="1"/>
          <w:wAfter w:w="15" w:type="dxa"/>
          <w:trHeight w:val="765"/>
        </w:trPr>
        <w:tc>
          <w:tcPr>
            <w:tcW w:w="1858" w:type="dxa"/>
            <w:hideMark/>
          </w:tcPr>
          <w:p w:rsidR="002634D3" w:rsidRPr="002634D3" w:rsidRDefault="002634D3" w:rsidP="002634D3">
            <w:pPr>
              <w:rPr>
                <w:sz w:val="22"/>
                <w:szCs w:val="22"/>
              </w:rPr>
            </w:pPr>
            <w:r w:rsidRPr="002634D3">
              <w:rPr>
                <w:sz w:val="22"/>
                <w:szCs w:val="22"/>
              </w:rPr>
              <w:t>East and South East</w:t>
            </w:r>
          </w:p>
        </w:tc>
        <w:tc>
          <w:tcPr>
            <w:tcW w:w="1650" w:type="dxa"/>
            <w:hideMark/>
          </w:tcPr>
          <w:p w:rsidR="002634D3" w:rsidRPr="002634D3" w:rsidRDefault="002634D3" w:rsidP="002634D3">
            <w:pPr>
              <w:rPr>
                <w:sz w:val="22"/>
                <w:szCs w:val="22"/>
              </w:rPr>
            </w:pPr>
            <w:proofErr w:type="spellStart"/>
            <w:r w:rsidRPr="002634D3">
              <w:rPr>
                <w:sz w:val="22"/>
                <w:szCs w:val="22"/>
              </w:rPr>
              <w:t>Southend</w:t>
            </w:r>
            <w:proofErr w:type="spellEnd"/>
            <w:r w:rsidRPr="002634D3">
              <w:rPr>
                <w:sz w:val="22"/>
                <w:szCs w:val="22"/>
              </w:rPr>
              <w:t xml:space="preserve"> on Sea Borough Council</w:t>
            </w:r>
          </w:p>
        </w:tc>
        <w:tc>
          <w:tcPr>
            <w:tcW w:w="1370" w:type="dxa"/>
            <w:hideMark/>
          </w:tcPr>
          <w:p w:rsidR="002634D3" w:rsidRPr="002634D3" w:rsidRDefault="002634D3" w:rsidP="002634D3">
            <w:pPr>
              <w:rPr>
                <w:sz w:val="22"/>
                <w:szCs w:val="22"/>
              </w:rPr>
            </w:pPr>
            <w:r w:rsidRPr="002634D3">
              <w:rPr>
                <w:sz w:val="22"/>
                <w:szCs w:val="22"/>
              </w:rPr>
              <w:t xml:space="preserve">Homelessness Change </w:t>
            </w:r>
            <w:proofErr w:type="spellStart"/>
            <w:r w:rsidRPr="002634D3">
              <w:rPr>
                <w:sz w:val="22"/>
                <w:szCs w:val="22"/>
              </w:rPr>
              <w:t>Southend</w:t>
            </w:r>
            <w:proofErr w:type="spellEnd"/>
            <w:r w:rsidRPr="002634D3">
              <w:rPr>
                <w:sz w:val="22"/>
                <w:szCs w:val="22"/>
              </w:rPr>
              <w:t xml:space="preserve"> Borough Council</w:t>
            </w:r>
          </w:p>
        </w:tc>
        <w:tc>
          <w:tcPr>
            <w:tcW w:w="1062" w:type="dxa"/>
            <w:hideMark/>
          </w:tcPr>
          <w:p w:rsidR="002634D3" w:rsidRPr="002634D3" w:rsidRDefault="002634D3" w:rsidP="002634D3">
            <w:pPr>
              <w:rPr>
                <w:sz w:val="22"/>
                <w:szCs w:val="22"/>
              </w:rPr>
            </w:pPr>
            <w:r w:rsidRPr="002634D3">
              <w:rPr>
                <w:sz w:val="22"/>
                <w:szCs w:val="22"/>
              </w:rPr>
              <w:t>Southend-on-Sea</w:t>
            </w:r>
          </w:p>
        </w:tc>
        <w:tc>
          <w:tcPr>
            <w:tcW w:w="977" w:type="dxa"/>
            <w:hideMark/>
          </w:tcPr>
          <w:p w:rsidR="002634D3" w:rsidRPr="002634D3" w:rsidRDefault="002634D3" w:rsidP="002634D3">
            <w:pPr>
              <w:rPr>
                <w:sz w:val="22"/>
                <w:szCs w:val="22"/>
              </w:rPr>
            </w:pPr>
            <w:r w:rsidRPr="002634D3">
              <w:rPr>
                <w:sz w:val="22"/>
                <w:szCs w:val="22"/>
              </w:rPr>
              <w:t>£108,622</w:t>
            </w:r>
          </w:p>
        </w:tc>
        <w:tc>
          <w:tcPr>
            <w:tcW w:w="1605" w:type="dxa"/>
            <w:hideMark/>
          </w:tcPr>
          <w:p w:rsidR="002634D3" w:rsidRPr="002634D3" w:rsidRDefault="002634D3" w:rsidP="002634D3">
            <w:pPr>
              <w:rPr>
                <w:sz w:val="22"/>
                <w:szCs w:val="22"/>
              </w:rPr>
            </w:pPr>
            <w:r w:rsidRPr="002634D3">
              <w:rPr>
                <w:sz w:val="22"/>
                <w:szCs w:val="22"/>
              </w:rPr>
              <w:t>10</w:t>
            </w:r>
          </w:p>
        </w:tc>
      </w:tr>
      <w:tr w:rsidR="002634D3" w:rsidTr="002634D3">
        <w:trPr>
          <w:gridAfter w:val="2"/>
          <w:wAfter w:w="1620" w:type="dxa"/>
          <w:trHeight w:val="255"/>
        </w:trPr>
        <w:tc>
          <w:tcPr>
            <w:tcW w:w="1858" w:type="dxa"/>
            <w:noWrap/>
            <w:hideMark/>
          </w:tcPr>
          <w:p w:rsidR="002634D3" w:rsidRDefault="002634D3">
            <w:pPr>
              <w:rPr>
                <w:rFonts w:ascii="Arial" w:hAnsi="Arial" w:cs="Arial"/>
                <w:b/>
                <w:bCs/>
                <w:color w:val="000000"/>
                <w:sz w:val="20"/>
                <w:szCs w:val="20"/>
                <w:u w:val="single"/>
              </w:rPr>
            </w:pPr>
            <w:r>
              <w:rPr>
                <w:rFonts w:ascii="Arial" w:hAnsi="Arial" w:cs="Arial"/>
                <w:b/>
                <w:bCs/>
                <w:color w:val="000000"/>
                <w:sz w:val="20"/>
                <w:szCs w:val="20"/>
                <w:u w:val="single"/>
              </w:rPr>
              <w:t>Platform for Life allocations</w:t>
            </w:r>
          </w:p>
        </w:tc>
        <w:tc>
          <w:tcPr>
            <w:tcW w:w="1650" w:type="dxa"/>
            <w:hideMark/>
          </w:tcPr>
          <w:p w:rsidR="002634D3" w:rsidRDefault="002634D3">
            <w:pPr>
              <w:rPr>
                <w:rFonts w:ascii="Arial" w:hAnsi="Arial" w:cs="Arial"/>
                <w:color w:val="000000"/>
                <w:sz w:val="20"/>
                <w:szCs w:val="20"/>
              </w:rPr>
            </w:pPr>
          </w:p>
        </w:tc>
        <w:tc>
          <w:tcPr>
            <w:tcW w:w="1370" w:type="dxa"/>
            <w:hideMark/>
          </w:tcPr>
          <w:p w:rsidR="002634D3" w:rsidRDefault="002634D3">
            <w:pPr>
              <w:rPr>
                <w:rFonts w:ascii="Arial" w:hAnsi="Arial" w:cs="Arial"/>
                <w:color w:val="000000"/>
                <w:sz w:val="20"/>
                <w:szCs w:val="20"/>
              </w:rPr>
            </w:pPr>
          </w:p>
        </w:tc>
        <w:tc>
          <w:tcPr>
            <w:tcW w:w="1062" w:type="dxa"/>
            <w:hideMark/>
          </w:tcPr>
          <w:p w:rsidR="002634D3" w:rsidRDefault="002634D3">
            <w:pPr>
              <w:rPr>
                <w:rFonts w:ascii="Arial" w:hAnsi="Arial" w:cs="Arial"/>
                <w:color w:val="000000"/>
                <w:sz w:val="20"/>
                <w:szCs w:val="20"/>
              </w:rPr>
            </w:pPr>
          </w:p>
        </w:tc>
        <w:tc>
          <w:tcPr>
            <w:tcW w:w="977" w:type="dxa"/>
            <w:hideMark/>
          </w:tcPr>
          <w:p w:rsidR="002634D3" w:rsidRDefault="002634D3">
            <w:pPr>
              <w:rPr>
                <w:rFonts w:ascii="Arial" w:hAnsi="Arial" w:cs="Arial"/>
                <w:color w:val="000000"/>
                <w:sz w:val="20"/>
                <w:szCs w:val="20"/>
              </w:rPr>
            </w:pPr>
          </w:p>
        </w:tc>
      </w:tr>
      <w:tr w:rsidR="002634D3" w:rsidTr="002634D3">
        <w:trPr>
          <w:trHeight w:val="255"/>
        </w:trPr>
        <w:tc>
          <w:tcPr>
            <w:tcW w:w="1858" w:type="dxa"/>
            <w:hideMark/>
          </w:tcPr>
          <w:p w:rsidR="002634D3" w:rsidRDefault="002634D3">
            <w:pPr>
              <w:rPr>
                <w:rFonts w:ascii="Arial" w:hAnsi="Arial" w:cs="Arial"/>
                <w:color w:val="000000"/>
                <w:sz w:val="20"/>
                <w:szCs w:val="20"/>
              </w:rPr>
            </w:pPr>
          </w:p>
        </w:tc>
        <w:tc>
          <w:tcPr>
            <w:tcW w:w="1650" w:type="dxa"/>
            <w:hideMark/>
          </w:tcPr>
          <w:p w:rsidR="002634D3" w:rsidRDefault="002634D3">
            <w:pPr>
              <w:rPr>
                <w:rFonts w:ascii="Arial" w:hAnsi="Arial" w:cs="Arial"/>
                <w:color w:val="000000"/>
                <w:sz w:val="20"/>
                <w:szCs w:val="20"/>
              </w:rPr>
            </w:pPr>
          </w:p>
        </w:tc>
        <w:tc>
          <w:tcPr>
            <w:tcW w:w="1370" w:type="dxa"/>
            <w:hideMark/>
          </w:tcPr>
          <w:p w:rsidR="002634D3" w:rsidRDefault="002634D3">
            <w:pPr>
              <w:rPr>
                <w:rFonts w:ascii="Arial" w:hAnsi="Arial" w:cs="Arial"/>
                <w:color w:val="000000"/>
                <w:sz w:val="20"/>
                <w:szCs w:val="20"/>
              </w:rPr>
            </w:pPr>
          </w:p>
        </w:tc>
        <w:tc>
          <w:tcPr>
            <w:tcW w:w="1062" w:type="dxa"/>
            <w:hideMark/>
          </w:tcPr>
          <w:p w:rsidR="002634D3" w:rsidRDefault="002634D3">
            <w:pPr>
              <w:rPr>
                <w:rFonts w:ascii="Arial" w:hAnsi="Arial" w:cs="Arial"/>
                <w:color w:val="000000"/>
                <w:sz w:val="20"/>
                <w:szCs w:val="20"/>
              </w:rPr>
            </w:pPr>
          </w:p>
        </w:tc>
        <w:tc>
          <w:tcPr>
            <w:tcW w:w="977" w:type="dxa"/>
            <w:hideMark/>
          </w:tcPr>
          <w:p w:rsidR="002634D3" w:rsidRDefault="002634D3">
            <w:pPr>
              <w:rPr>
                <w:rFonts w:ascii="Arial" w:hAnsi="Arial" w:cs="Arial"/>
                <w:color w:val="000000"/>
                <w:sz w:val="20"/>
                <w:szCs w:val="20"/>
              </w:rPr>
            </w:pPr>
          </w:p>
        </w:tc>
        <w:tc>
          <w:tcPr>
            <w:tcW w:w="1620" w:type="dxa"/>
            <w:gridSpan w:val="2"/>
            <w:hideMark/>
          </w:tcPr>
          <w:p w:rsidR="002634D3" w:rsidRDefault="002634D3">
            <w:pPr>
              <w:rPr>
                <w:rFonts w:ascii="Arial" w:hAnsi="Arial" w:cs="Arial"/>
                <w:color w:val="000000"/>
                <w:sz w:val="20"/>
                <w:szCs w:val="20"/>
              </w:rPr>
            </w:pPr>
          </w:p>
        </w:tc>
      </w:tr>
      <w:tr w:rsidR="002634D3" w:rsidTr="002634D3">
        <w:trPr>
          <w:trHeight w:val="510"/>
        </w:trPr>
        <w:tc>
          <w:tcPr>
            <w:tcW w:w="1858" w:type="dxa"/>
            <w:hideMark/>
          </w:tcPr>
          <w:p w:rsidR="002634D3" w:rsidRDefault="002634D3">
            <w:pPr>
              <w:jc w:val="center"/>
              <w:rPr>
                <w:rFonts w:ascii="Arial" w:hAnsi="Arial" w:cs="Arial"/>
                <w:b/>
                <w:bCs/>
                <w:sz w:val="20"/>
                <w:szCs w:val="20"/>
              </w:rPr>
            </w:pPr>
            <w:r>
              <w:rPr>
                <w:rFonts w:ascii="Arial" w:hAnsi="Arial" w:cs="Arial"/>
                <w:b/>
                <w:bCs/>
                <w:sz w:val="20"/>
                <w:szCs w:val="20"/>
              </w:rPr>
              <w:t>OA</w:t>
            </w:r>
          </w:p>
        </w:tc>
        <w:tc>
          <w:tcPr>
            <w:tcW w:w="1650" w:type="dxa"/>
            <w:hideMark/>
          </w:tcPr>
          <w:p w:rsidR="002634D3" w:rsidRDefault="002634D3">
            <w:pPr>
              <w:jc w:val="center"/>
              <w:rPr>
                <w:rFonts w:ascii="Arial" w:hAnsi="Arial" w:cs="Arial"/>
                <w:b/>
                <w:bCs/>
                <w:sz w:val="20"/>
                <w:szCs w:val="20"/>
              </w:rPr>
            </w:pPr>
            <w:r>
              <w:rPr>
                <w:rFonts w:ascii="Arial" w:hAnsi="Arial" w:cs="Arial"/>
                <w:b/>
                <w:bCs/>
                <w:sz w:val="20"/>
                <w:szCs w:val="20"/>
              </w:rPr>
              <w:t>Lead provider name</w:t>
            </w:r>
          </w:p>
        </w:tc>
        <w:tc>
          <w:tcPr>
            <w:tcW w:w="1370" w:type="dxa"/>
            <w:hideMark/>
          </w:tcPr>
          <w:p w:rsidR="002634D3" w:rsidRDefault="002634D3">
            <w:pPr>
              <w:jc w:val="center"/>
              <w:rPr>
                <w:rFonts w:ascii="Arial" w:hAnsi="Arial" w:cs="Arial"/>
                <w:b/>
                <w:bCs/>
                <w:sz w:val="20"/>
                <w:szCs w:val="20"/>
              </w:rPr>
            </w:pPr>
            <w:r>
              <w:rPr>
                <w:rFonts w:ascii="Arial" w:hAnsi="Arial" w:cs="Arial"/>
                <w:b/>
                <w:bCs/>
                <w:sz w:val="20"/>
                <w:szCs w:val="20"/>
              </w:rPr>
              <w:t>Scheme name</w:t>
            </w:r>
          </w:p>
        </w:tc>
        <w:tc>
          <w:tcPr>
            <w:tcW w:w="1062" w:type="dxa"/>
            <w:hideMark/>
          </w:tcPr>
          <w:p w:rsidR="002634D3" w:rsidRDefault="002634D3">
            <w:pPr>
              <w:jc w:val="center"/>
              <w:rPr>
                <w:rFonts w:ascii="Arial" w:hAnsi="Arial" w:cs="Arial"/>
                <w:b/>
                <w:bCs/>
                <w:sz w:val="20"/>
                <w:szCs w:val="20"/>
              </w:rPr>
            </w:pPr>
            <w:r>
              <w:rPr>
                <w:rFonts w:ascii="Arial" w:hAnsi="Arial" w:cs="Arial"/>
                <w:b/>
                <w:bCs/>
                <w:sz w:val="20"/>
                <w:szCs w:val="20"/>
              </w:rPr>
              <w:t>HCA funding</w:t>
            </w:r>
          </w:p>
        </w:tc>
        <w:tc>
          <w:tcPr>
            <w:tcW w:w="977" w:type="dxa"/>
            <w:hideMark/>
          </w:tcPr>
          <w:p w:rsidR="002634D3" w:rsidRDefault="002634D3">
            <w:pPr>
              <w:jc w:val="center"/>
              <w:rPr>
                <w:rFonts w:ascii="Arial" w:hAnsi="Arial" w:cs="Arial"/>
                <w:b/>
                <w:bCs/>
                <w:sz w:val="20"/>
                <w:szCs w:val="20"/>
              </w:rPr>
            </w:pPr>
            <w:r>
              <w:rPr>
                <w:rFonts w:ascii="Arial" w:hAnsi="Arial" w:cs="Arial"/>
                <w:b/>
                <w:bCs/>
                <w:sz w:val="20"/>
                <w:szCs w:val="20"/>
              </w:rPr>
              <w:t>Local Authority</w:t>
            </w:r>
          </w:p>
        </w:tc>
        <w:tc>
          <w:tcPr>
            <w:tcW w:w="1620" w:type="dxa"/>
            <w:gridSpan w:val="2"/>
            <w:hideMark/>
          </w:tcPr>
          <w:p w:rsidR="002634D3" w:rsidRDefault="002634D3">
            <w:pPr>
              <w:jc w:val="center"/>
              <w:rPr>
                <w:rFonts w:ascii="Arial" w:hAnsi="Arial" w:cs="Arial"/>
                <w:b/>
                <w:bCs/>
                <w:sz w:val="20"/>
                <w:szCs w:val="20"/>
              </w:rPr>
            </w:pPr>
            <w:r>
              <w:rPr>
                <w:rFonts w:ascii="Arial" w:hAnsi="Arial" w:cs="Arial"/>
                <w:b/>
                <w:bCs/>
                <w:sz w:val="20"/>
                <w:szCs w:val="20"/>
              </w:rPr>
              <w:t>Units/</w:t>
            </w:r>
            <w:proofErr w:type="spellStart"/>
            <w:r>
              <w:rPr>
                <w:rFonts w:ascii="Arial" w:hAnsi="Arial" w:cs="Arial"/>
                <w:b/>
                <w:bCs/>
                <w:sz w:val="20"/>
                <w:szCs w:val="20"/>
              </w:rPr>
              <w:t>bedspaces</w:t>
            </w:r>
            <w:proofErr w:type="spellEnd"/>
          </w:p>
        </w:tc>
      </w:tr>
      <w:tr w:rsidR="002634D3" w:rsidTr="002634D3">
        <w:trPr>
          <w:trHeight w:val="510"/>
        </w:trPr>
        <w:tc>
          <w:tcPr>
            <w:tcW w:w="1858" w:type="dxa"/>
            <w:hideMark/>
          </w:tcPr>
          <w:p w:rsidR="002634D3" w:rsidRDefault="002634D3">
            <w:pPr>
              <w:jc w:val="center"/>
              <w:rPr>
                <w:rFonts w:ascii="Arial" w:hAnsi="Arial" w:cs="Arial"/>
                <w:color w:val="000000"/>
                <w:sz w:val="20"/>
                <w:szCs w:val="20"/>
              </w:rPr>
            </w:pPr>
            <w:r>
              <w:rPr>
                <w:rFonts w:ascii="Arial" w:hAnsi="Arial" w:cs="Arial"/>
                <w:color w:val="000000"/>
                <w:sz w:val="20"/>
                <w:szCs w:val="20"/>
              </w:rPr>
              <w:t>East and South East</w:t>
            </w:r>
          </w:p>
        </w:tc>
        <w:tc>
          <w:tcPr>
            <w:tcW w:w="1650" w:type="dxa"/>
            <w:hideMark/>
          </w:tcPr>
          <w:p w:rsidR="002634D3" w:rsidRDefault="002634D3">
            <w:pPr>
              <w:jc w:val="center"/>
              <w:rPr>
                <w:rFonts w:ascii="Arial" w:hAnsi="Arial" w:cs="Arial"/>
                <w:color w:val="000000"/>
                <w:sz w:val="20"/>
                <w:szCs w:val="20"/>
              </w:rPr>
            </w:pPr>
            <w:proofErr w:type="spellStart"/>
            <w:r>
              <w:rPr>
                <w:rFonts w:ascii="Arial" w:hAnsi="Arial" w:cs="Arial"/>
                <w:color w:val="000000"/>
                <w:sz w:val="20"/>
                <w:szCs w:val="20"/>
              </w:rPr>
              <w:t>Southend</w:t>
            </w:r>
            <w:proofErr w:type="spellEnd"/>
            <w:r>
              <w:rPr>
                <w:rFonts w:ascii="Arial" w:hAnsi="Arial" w:cs="Arial"/>
                <w:color w:val="000000"/>
                <w:sz w:val="20"/>
                <w:szCs w:val="20"/>
              </w:rPr>
              <w:t xml:space="preserve"> YMCA</w:t>
            </w:r>
          </w:p>
        </w:tc>
        <w:tc>
          <w:tcPr>
            <w:tcW w:w="1370" w:type="dxa"/>
            <w:hideMark/>
          </w:tcPr>
          <w:p w:rsidR="002634D3" w:rsidRDefault="002634D3">
            <w:pPr>
              <w:jc w:val="center"/>
              <w:rPr>
                <w:rFonts w:ascii="Arial" w:hAnsi="Arial" w:cs="Arial"/>
                <w:color w:val="000000"/>
                <w:sz w:val="20"/>
                <w:szCs w:val="20"/>
              </w:rPr>
            </w:pPr>
            <w:r>
              <w:rPr>
                <w:rFonts w:ascii="Arial" w:hAnsi="Arial" w:cs="Arial"/>
                <w:color w:val="000000"/>
                <w:sz w:val="20"/>
                <w:szCs w:val="20"/>
              </w:rPr>
              <w:t>FFTF Newlands</w:t>
            </w:r>
          </w:p>
        </w:tc>
        <w:tc>
          <w:tcPr>
            <w:tcW w:w="1062" w:type="dxa"/>
            <w:hideMark/>
          </w:tcPr>
          <w:p w:rsidR="002634D3" w:rsidRDefault="002634D3">
            <w:pPr>
              <w:jc w:val="center"/>
              <w:rPr>
                <w:rFonts w:ascii="Arial" w:hAnsi="Arial" w:cs="Arial"/>
                <w:color w:val="000000"/>
                <w:sz w:val="20"/>
                <w:szCs w:val="20"/>
              </w:rPr>
            </w:pPr>
            <w:r>
              <w:rPr>
                <w:rFonts w:ascii="Arial" w:hAnsi="Arial" w:cs="Arial"/>
                <w:color w:val="000000"/>
                <w:sz w:val="20"/>
                <w:szCs w:val="20"/>
              </w:rPr>
              <w:t>£55,550</w:t>
            </w:r>
          </w:p>
        </w:tc>
        <w:tc>
          <w:tcPr>
            <w:tcW w:w="977" w:type="dxa"/>
            <w:hideMark/>
          </w:tcPr>
          <w:p w:rsidR="002634D3" w:rsidRDefault="002634D3">
            <w:pPr>
              <w:jc w:val="center"/>
              <w:rPr>
                <w:rFonts w:ascii="Arial" w:hAnsi="Arial" w:cs="Arial"/>
                <w:color w:val="000000"/>
                <w:sz w:val="20"/>
                <w:szCs w:val="20"/>
              </w:rPr>
            </w:pPr>
            <w:r>
              <w:rPr>
                <w:rFonts w:ascii="Arial" w:hAnsi="Arial" w:cs="Arial"/>
                <w:color w:val="000000"/>
                <w:sz w:val="20"/>
                <w:szCs w:val="20"/>
              </w:rPr>
              <w:t>Southend-on-Sea</w:t>
            </w:r>
          </w:p>
        </w:tc>
        <w:tc>
          <w:tcPr>
            <w:tcW w:w="1620" w:type="dxa"/>
            <w:gridSpan w:val="2"/>
            <w:hideMark/>
          </w:tcPr>
          <w:p w:rsidR="002634D3" w:rsidRDefault="002634D3">
            <w:pPr>
              <w:jc w:val="center"/>
              <w:rPr>
                <w:rFonts w:ascii="Arial" w:hAnsi="Arial" w:cs="Arial"/>
                <w:color w:val="000000"/>
                <w:sz w:val="20"/>
                <w:szCs w:val="20"/>
              </w:rPr>
            </w:pPr>
            <w:r>
              <w:rPr>
                <w:rFonts w:ascii="Arial" w:hAnsi="Arial" w:cs="Arial"/>
                <w:color w:val="000000"/>
                <w:sz w:val="20"/>
                <w:szCs w:val="20"/>
              </w:rPr>
              <w:t>3</w:t>
            </w:r>
          </w:p>
        </w:tc>
      </w:tr>
      <w:tr w:rsidR="002634D3" w:rsidTr="002634D3">
        <w:trPr>
          <w:trHeight w:val="510"/>
        </w:trPr>
        <w:tc>
          <w:tcPr>
            <w:tcW w:w="1858" w:type="dxa"/>
            <w:hideMark/>
          </w:tcPr>
          <w:p w:rsidR="002634D3" w:rsidRDefault="002634D3">
            <w:pPr>
              <w:jc w:val="center"/>
              <w:rPr>
                <w:rFonts w:ascii="Arial" w:hAnsi="Arial" w:cs="Arial"/>
                <w:color w:val="000000"/>
                <w:sz w:val="20"/>
                <w:szCs w:val="20"/>
              </w:rPr>
            </w:pPr>
            <w:r>
              <w:rPr>
                <w:rFonts w:ascii="Arial" w:hAnsi="Arial" w:cs="Arial"/>
                <w:color w:val="000000"/>
                <w:sz w:val="20"/>
                <w:szCs w:val="20"/>
              </w:rPr>
              <w:t>East and South East</w:t>
            </w:r>
          </w:p>
        </w:tc>
        <w:tc>
          <w:tcPr>
            <w:tcW w:w="1650" w:type="dxa"/>
            <w:hideMark/>
          </w:tcPr>
          <w:p w:rsidR="002634D3" w:rsidRDefault="002634D3">
            <w:pPr>
              <w:jc w:val="center"/>
              <w:rPr>
                <w:rFonts w:ascii="Arial" w:hAnsi="Arial" w:cs="Arial"/>
                <w:color w:val="000000"/>
                <w:sz w:val="20"/>
                <w:szCs w:val="20"/>
              </w:rPr>
            </w:pPr>
            <w:proofErr w:type="spellStart"/>
            <w:r>
              <w:rPr>
                <w:rFonts w:ascii="Arial" w:hAnsi="Arial" w:cs="Arial"/>
                <w:color w:val="000000"/>
                <w:sz w:val="20"/>
                <w:szCs w:val="20"/>
              </w:rPr>
              <w:t>Southend</w:t>
            </w:r>
            <w:proofErr w:type="spellEnd"/>
            <w:r>
              <w:rPr>
                <w:rFonts w:ascii="Arial" w:hAnsi="Arial" w:cs="Arial"/>
                <w:color w:val="000000"/>
                <w:sz w:val="20"/>
                <w:szCs w:val="20"/>
              </w:rPr>
              <w:t xml:space="preserve"> YMCA</w:t>
            </w:r>
          </w:p>
        </w:tc>
        <w:tc>
          <w:tcPr>
            <w:tcW w:w="1370" w:type="dxa"/>
            <w:hideMark/>
          </w:tcPr>
          <w:p w:rsidR="002634D3" w:rsidRDefault="002634D3">
            <w:pPr>
              <w:jc w:val="center"/>
              <w:rPr>
                <w:rFonts w:ascii="Arial" w:hAnsi="Arial" w:cs="Arial"/>
                <w:color w:val="000000"/>
                <w:sz w:val="20"/>
                <w:szCs w:val="20"/>
              </w:rPr>
            </w:pPr>
            <w:proofErr w:type="spellStart"/>
            <w:r>
              <w:rPr>
                <w:rFonts w:ascii="Arial" w:hAnsi="Arial" w:cs="Arial"/>
                <w:color w:val="000000"/>
                <w:sz w:val="20"/>
                <w:szCs w:val="20"/>
              </w:rPr>
              <w:t>FFTf</w:t>
            </w:r>
            <w:proofErr w:type="spellEnd"/>
            <w:r>
              <w:rPr>
                <w:rFonts w:ascii="Arial" w:hAnsi="Arial" w:cs="Arial"/>
                <w:color w:val="000000"/>
                <w:sz w:val="20"/>
                <w:szCs w:val="20"/>
              </w:rPr>
              <w:t xml:space="preserve"> Shop Conversion</w:t>
            </w:r>
          </w:p>
        </w:tc>
        <w:tc>
          <w:tcPr>
            <w:tcW w:w="1062" w:type="dxa"/>
            <w:hideMark/>
          </w:tcPr>
          <w:p w:rsidR="002634D3" w:rsidRDefault="002634D3">
            <w:pPr>
              <w:jc w:val="center"/>
              <w:rPr>
                <w:rFonts w:ascii="Arial" w:hAnsi="Arial" w:cs="Arial"/>
                <w:color w:val="000000"/>
                <w:sz w:val="20"/>
                <w:szCs w:val="20"/>
              </w:rPr>
            </w:pPr>
            <w:r>
              <w:rPr>
                <w:rFonts w:ascii="Arial" w:hAnsi="Arial" w:cs="Arial"/>
                <w:color w:val="000000"/>
                <w:sz w:val="20"/>
                <w:szCs w:val="20"/>
              </w:rPr>
              <w:t>£81,805</w:t>
            </w:r>
          </w:p>
        </w:tc>
        <w:tc>
          <w:tcPr>
            <w:tcW w:w="977" w:type="dxa"/>
            <w:hideMark/>
          </w:tcPr>
          <w:p w:rsidR="002634D3" w:rsidRDefault="002634D3">
            <w:pPr>
              <w:jc w:val="center"/>
              <w:rPr>
                <w:rFonts w:ascii="Arial" w:hAnsi="Arial" w:cs="Arial"/>
                <w:color w:val="000000"/>
                <w:sz w:val="20"/>
                <w:szCs w:val="20"/>
              </w:rPr>
            </w:pPr>
            <w:r>
              <w:rPr>
                <w:rFonts w:ascii="Arial" w:hAnsi="Arial" w:cs="Arial"/>
                <w:color w:val="000000"/>
                <w:sz w:val="20"/>
                <w:szCs w:val="20"/>
              </w:rPr>
              <w:t>Southend-on-Sea</w:t>
            </w:r>
          </w:p>
        </w:tc>
        <w:tc>
          <w:tcPr>
            <w:tcW w:w="1620" w:type="dxa"/>
            <w:gridSpan w:val="2"/>
            <w:hideMark/>
          </w:tcPr>
          <w:p w:rsidR="002634D3" w:rsidRDefault="002634D3">
            <w:pPr>
              <w:jc w:val="center"/>
              <w:rPr>
                <w:rFonts w:ascii="Arial" w:hAnsi="Arial" w:cs="Arial"/>
                <w:color w:val="000000"/>
                <w:sz w:val="20"/>
                <w:szCs w:val="20"/>
              </w:rPr>
            </w:pPr>
            <w:r>
              <w:rPr>
                <w:rFonts w:ascii="Arial" w:hAnsi="Arial" w:cs="Arial"/>
                <w:color w:val="000000"/>
                <w:sz w:val="20"/>
                <w:szCs w:val="20"/>
              </w:rPr>
              <w:t>2</w:t>
            </w:r>
          </w:p>
        </w:tc>
      </w:tr>
    </w:tbl>
    <w:p w:rsidR="00642C9F" w:rsidRDefault="00642C9F" w:rsidP="00642C9F">
      <w:pPr>
        <w:spacing w:before="60" w:afterLines="60" w:after="144"/>
        <w:ind w:left="284"/>
        <w:jc w:val="both"/>
        <w:rPr>
          <w:rFonts w:ascii="Arial" w:hAnsi="Arial" w:cs="Arial"/>
          <w:sz w:val="22"/>
          <w:szCs w:val="22"/>
        </w:rPr>
      </w:pPr>
    </w:p>
    <w:p w:rsidR="00824839" w:rsidRPr="002E211B" w:rsidRDefault="00824839" w:rsidP="00824839">
      <w:pPr>
        <w:pStyle w:val="NormalWeb"/>
        <w:numPr>
          <w:ilvl w:val="0"/>
          <w:numId w:val="3"/>
        </w:numPr>
        <w:spacing w:after="144"/>
        <w:ind w:left="646" w:hanging="646"/>
        <w:mirrorIndents/>
        <w:rPr>
          <w:rFonts w:ascii="Arial" w:hAnsi="Arial" w:cs="Arial"/>
          <w:b/>
          <w:sz w:val="22"/>
          <w:szCs w:val="22"/>
          <w:lang w:val="en"/>
        </w:rPr>
      </w:pPr>
      <w:r w:rsidRPr="002E211B">
        <w:rPr>
          <w:rFonts w:ascii="Arial" w:hAnsi="Arial" w:cs="Arial"/>
          <w:b/>
          <w:sz w:val="22"/>
          <w:szCs w:val="22"/>
          <w:lang w:val="en"/>
        </w:rPr>
        <w:t>Build to Rent</w:t>
      </w:r>
    </w:p>
    <w:p w:rsidR="00642C9F" w:rsidRPr="00642C9F" w:rsidRDefault="00642C9F" w:rsidP="00642C9F">
      <w:pPr>
        <w:pStyle w:val="NormalWeb"/>
        <w:spacing w:after="144"/>
        <w:rPr>
          <w:rFonts w:ascii="Arial" w:hAnsi="Arial" w:cs="Arial"/>
          <w:sz w:val="22"/>
          <w:szCs w:val="22"/>
          <w:lang w:val="en"/>
        </w:rPr>
      </w:pPr>
      <w:r w:rsidRPr="00642C9F">
        <w:rPr>
          <w:rFonts w:ascii="Arial" w:hAnsi="Arial" w:cs="Arial"/>
          <w:sz w:val="22"/>
          <w:szCs w:val="22"/>
          <w:lang w:val="en"/>
        </w:rPr>
        <w:t>In September 2012 the Government established the Build to Rent (</w:t>
      </w:r>
      <w:proofErr w:type="spellStart"/>
      <w:r w:rsidRPr="00642C9F">
        <w:rPr>
          <w:rFonts w:ascii="Arial" w:hAnsi="Arial" w:cs="Arial"/>
          <w:sz w:val="22"/>
          <w:szCs w:val="22"/>
          <w:lang w:val="en"/>
        </w:rPr>
        <w:t>BtR</w:t>
      </w:r>
      <w:proofErr w:type="spellEnd"/>
      <w:r w:rsidRPr="00642C9F">
        <w:rPr>
          <w:rFonts w:ascii="Arial" w:hAnsi="Arial" w:cs="Arial"/>
          <w:sz w:val="22"/>
          <w:szCs w:val="22"/>
          <w:lang w:val="en"/>
        </w:rPr>
        <w:t xml:space="preserve">) fund to invest £200m in housing developments to ensure that high quality Private Rented Sector (PRS) homes are delivered. The overall fund was subsequently increased to £1bn as part of the 2013 budget announcement. Through this, the </w:t>
      </w:r>
      <w:proofErr w:type="spellStart"/>
      <w:r w:rsidRPr="00642C9F">
        <w:rPr>
          <w:rFonts w:ascii="Arial" w:hAnsi="Arial" w:cs="Arial"/>
          <w:sz w:val="22"/>
          <w:szCs w:val="22"/>
          <w:lang w:val="en"/>
        </w:rPr>
        <w:t>BtR</w:t>
      </w:r>
      <w:proofErr w:type="spellEnd"/>
      <w:r w:rsidRPr="00642C9F">
        <w:rPr>
          <w:rFonts w:ascii="Arial" w:hAnsi="Arial" w:cs="Arial"/>
          <w:sz w:val="22"/>
          <w:szCs w:val="22"/>
          <w:lang w:val="en"/>
        </w:rPr>
        <w:t xml:space="preserve"> </w:t>
      </w:r>
      <w:proofErr w:type="spellStart"/>
      <w:r w:rsidRPr="00642C9F">
        <w:rPr>
          <w:rFonts w:ascii="Arial" w:hAnsi="Arial" w:cs="Arial"/>
          <w:sz w:val="22"/>
          <w:szCs w:val="22"/>
          <w:lang w:val="en"/>
        </w:rPr>
        <w:t>programme</w:t>
      </w:r>
      <w:proofErr w:type="spellEnd"/>
      <w:r w:rsidRPr="00642C9F">
        <w:rPr>
          <w:rFonts w:ascii="Arial" w:hAnsi="Arial" w:cs="Arial"/>
          <w:sz w:val="22"/>
          <w:szCs w:val="22"/>
          <w:lang w:val="en"/>
        </w:rPr>
        <w:t xml:space="preserve"> aims to attract institutional investors to broaden the market and leverage additional private sector investment into the housing market. </w:t>
      </w:r>
    </w:p>
    <w:p w:rsidR="00642C9F" w:rsidRPr="00642C9F" w:rsidRDefault="00642C9F" w:rsidP="00642C9F">
      <w:pPr>
        <w:pStyle w:val="NormalWeb"/>
        <w:spacing w:after="144"/>
        <w:rPr>
          <w:rFonts w:ascii="Arial" w:hAnsi="Arial" w:cs="Arial"/>
          <w:sz w:val="22"/>
          <w:szCs w:val="22"/>
          <w:lang w:val="en"/>
        </w:rPr>
      </w:pPr>
      <w:r w:rsidRPr="00642C9F">
        <w:rPr>
          <w:rFonts w:ascii="Arial" w:hAnsi="Arial" w:cs="Arial"/>
          <w:sz w:val="22"/>
          <w:szCs w:val="22"/>
          <w:lang w:val="en"/>
        </w:rPr>
        <w:t xml:space="preserve">The investment parameters for Government funding require bidders to commit their equity ahead of any public sector investment. In addition, Government will require a senior debt position or joint first charge and will look to fully recover its loan plus interest within 1-2 years of completion of the PRS units. </w:t>
      </w:r>
    </w:p>
    <w:p w:rsidR="00642C9F" w:rsidRPr="00642C9F" w:rsidRDefault="00642C9F" w:rsidP="00642C9F">
      <w:pPr>
        <w:pStyle w:val="NormalWeb"/>
        <w:spacing w:after="144"/>
        <w:rPr>
          <w:rFonts w:ascii="Arial" w:hAnsi="Arial" w:cs="Arial"/>
          <w:sz w:val="22"/>
          <w:szCs w:val="22"/>
          <w:lang w:val="en"/>
        </w:rPr>
      </w:pPr>
      <w:r w:rsidRPr="00642C9F">
        <w:rPr>
          <w:rFonts w:ascii="Arial" w:hAnsi="Arial" w:cs="Arial"/>
          <w:sz w:val="22"/>
          <w:szCs w:val="22"/>
          <w:lang w:val="en"/>
        </w:rPr>
        <w:t xml:space="preserve">There has strong demand for the fund. A list of contracted schemes is available on the GOV.UK website. The </w:t>
      </w:r>
      <w:proofErr w:type="spellStart"/>
      <w:r w:rsidRPr="00642C9F">
        <w:rPr>
          <w:rFonts w:ascii="Arial" w:hAnsi="Arial" w:cs="Arial"/>
          <w:sz w:val="22"/>
          <w:szCs w:val="22"/>
          <w:lang w:val="en"/>
        </w:rPr>
        <w:t>programme</w:t>
      </w:r>
      <w:proofErr w:type="spellEnd"/>
      <w:r w:rsidRPr="00642C9F">
        <w:rPr>
          <w:rFonts w:ascii="Arial" w:hAnsi="Arial" w:cs="Arial"/>
          <w:sz w:val="22"/>
          <w:szCs w:val="22"/>
          <w:lang w:val="en"/>
        </w:rPr>
        <w:t xml:space="preserve"> is now open on a continuous market engagement (CME) basis and will support high quality schemes which can start on site by March 2016. Schemes can be made up of single or multiple sites, but they must demonstrate good design and quality and that they will be attractive to institutional investors. The fun</w:t>
      </w:r>
      <w:r>
        <w:rPr>
          <w:rFonts w:ascii="Arial" w:hAnsi="Arial" w:cs="Arial"/>
          <w:sz w:val="22"/>
          <w:szCs w:val="22"/>
          <w:lang w:val="en"/>
        </w:rPr>
        <w:t>d will not provide gap funding.</w:t>
      </w:r>
    </w:p>
    <w:p w:rsidR="00642C9F" w:rsidRDefault="00642C9F" w:rsidP="00642C9F">
      <w:pPr>
        <w:pStyle w:val="NormalWeb"/>
        <w:spacing w:after="144"/>
        <w:rPr>
          <w:rFonts w:ascii="Arial" w:hAnsi="Arial" w:cs="Arial"/>
          <w:sz w:val="22"/>
          <w:szCs w:val="22"/>
          <w:lang w:val="en"/>
        </w:rPr>
      </w:pPr>
      <w:r w:rsidRPr="00642C9F">
        <w:rPr>
          <w:rFonts w:ascii="Arial" w:hAnsi="Arial" w:cs="Arial"/>
          <w:sz w:val="22"/>
          <w:szCs w:val="22"/>
          <w:lang w:val="en"/>
        </w:rPr>
        <w:t xml:space="preserve">The minimum size for a proposition in continuous market engagement is 100 new private rented units (which could be across a portfolio of sites). </w:t>
      </w:r>
    </w:p>
    <w:p w:rsidR="00A92174" w:rsidRPr="00642C9F" w:rsidRDefault="00A92174" w:rsidP="00642C9F">
      <w:pPr>
        <w:pStyle w:val="NormalWeb"/>
        <w:spacing w:after="144"/>
        <w:rPr>
          <w:rFonts w:ascii="Arial" w:hAnsi="Arial" w:cs="Arial"/>
          <w:sz w:val="22"/>
          <w:szCs w:val="22"/>
          <w:lang w:val="en"/>
        </w:rPr>
      </w:pPr>
    </w:p>
    <w:p w:rsidR="00116D5D" w:rsidRPr="00642C9F" w:rsidRDefault="00116D5D" w:rsidP="00642C9F">
      <w:pPr>
        <w:pStyle w:val="NormalWeb"/>
        <w:numPr>
          <w:ilvl w:val="0"/>
          <w:numId w:val="3"/>
        </w:numPr>
        <w:spacing w:after="144"/>
        <w:rPr>
          <w:rFonts w:ascii="Arial" w:hAnsi="Arial" w:cs="Arial"/>
          <w:b/>
          <w:sz w:val="22"/>
          <w:szCs w:val="22"/>
          <w:lang w:val="en"/>
        </w:rPr>
      </w:pPr>
      <w:r w:rsidRPr="00642C9F">
        <w:rPr>
          <w:rFonts w:ascii="Arial" w:hAnsi="Arial" w:cs="Arial"/>
          <w:b/>
          <w:sz w:val="22"/>
          <w:szCs w:val="22"/>
          <w:lang w:val="en"/>
        </w:rPr>
        <w:t>Starter Home Initiative</w:t>
      </w:r>
    </w:p>
    <w:p w:rsidR="00116D5D" w:rsidRDefault="00116D5D" w:rsidP="00116D5D">
      <w:pPr>
        <w:pStyle w:val="NormalWeb"/>
        <w:spacing w:before="0" w:beforeAutospacing="0" w:after="0" w:afterAutospacing="0"/>
        <w:rPr>
          <w:rFonts w:ascii="Arial" w:hAnsi="Arial" w:cs="Arial"/>
          <w:sz w:val="22"/>
          <w:szCs w:val="22"/>
          <w:lang w:val="en"/>
        </w:rPr>
      </w:pPr>
      <w:r>
        <w:rPr>
          <w:rFonts w:ascii="Arial" w:hAnsi="Arial" w:cs="Arial"/>
          <w:sz w:val="22"/>
          <w:szCs w:val="22"/>
          <w:lang w:val="en"/>
        </w:rPr>
        <w:lastRenderedPageBreak/>
        <w:t xml:space="preserve">The Government launched </w:t>
      </w:r>
      <w:r w:rsidR="00BB7FAC">
        <w:rPr>
          <w:rFonts w:ascii="Arial" w:hAnsi="Arial" w:cs="Arial"/>
          <w:sz w:val="22"/>
          <w:szCs w:val="22"/>
          <w:lang w:val="en"/>
        </w:rPr>
        <w:t xml:space="preserve">the </w:t>
      </w:r>
      <w:hyperlink r:id="rId15" w:history="1">
        <w:r w:rsidRPr="00116D5D">
          <w:rPr>
            <w:rStyle w:val="Hyperlink"/>
            <w:rFonts w:ascii="Arial" w:hAnsi="Arial" w:cs="Arial"/>
            <w:sz w:val="22"/>
            <w:szCs w:val="22"/>
            <w:lang w:val="en"/>
          </w:rPr>
          <w:t>starter homes initiative</w:t>
        </w:r>
      </w:hyperlink>
      <w:r w:rsidRPr="00116D5D">
        <w:rPr>
          <w:rFonts w:ascii="Arial" w:hAnsi="Arial" w:cs="Arial"/>
          <w:sz w:val="22"/>
          <w:szCs w:val="22"/>
          <w:lang w:val="en"/>
        </w:rPr>
        <w:t xml:space="preserve"> by </w:t>
      </w:r>
      <w:r>
        <w:rPr>
          <w:rFonts w:ascii="Arial" w:hAnsi="Arial" w:cs="Arial"/>
          <w:sz w:val="22"/>
          <w:szCs w:val="22"/>
          <w:lang w:val="en"/>
        </w:rPr>
        <w:t>announcing a</w:t>
      </w:r>
      <w:r w:rsidRPr="00116D5D">
        <w:rPr>
          <w:rFonts w:ascii="Arial" w:hAnsi="Arial" w:cs="Arial"/>
          <w:sz w:val="22"/>
          <w:szCs w:val="22"/>
          <w:lang w:val="en"/>
        </w:rPr>
        <w:t xml:space="preserve"> £26 million fund for housebuilders to demonstrate a range of high quality homes that will be available for first-time buyers.</w:t>
      </w:r>
      <w:r>
        <w:rPr>
          <w:rFonts w:ascii="Arial" w:hAnsi="Arial" w:cs="Arial"/>
          <w:sz w:val="22"/>
          <w:szCs w:val="22"/>
          <w:lang w:val="en"/>
        </w:rPr>
        <w:t xml:space="preserve"> </w:t>
      </w:r>
      <w:r w:rsidRPr="00116D5D">
        <w:rPr>
          <w:rFonts w:ascii="Arial" w:hAnsi="Arial" w:cs="Arial"/>
          <w:sz w:val="22"/>
          <w:szCs w:val="22"/>
          <w:lang w:val="en"/>
        </w:rPr>
        <w:t>These will pave the way for the first wave of starter homes and show aspiring young homeowners the different types of properties they can come to expect from the scheme.</w:t>
      </w:r>
    </w:p>
    <w:p w:rsidR="00116D5D" w:rsidRPr="00116D5D" w:rsidRDefault="00116D5D" w:rsidP="00116D5D">
      <w:pPr>
        <w:pStyle w:val="NormalWeb"/>
        <w:spacing w:before="0" w:beforeAutospacing="0" w:after="0" w:afterAutospacing="0"/>
        <w:rPr>
          <w:rFonts w:ascii="Arial" w:hAnsi="Arial" w:cs="Arial"/>
          <w:sz w:val="22"/>
          <w:szCs w:val="22"/>
          <w:lang w:val="en"/>
        </w:rPr>
      </w:pPr>
      <w:r w:rsidRPr="00116D5D">
        <w:rPr>
          <w:rFonts w:ascii="Arial" w:hAnsi="Arial" w:cs="Arial"/>
          <w:sz w:val="22"/>
          <w:szCs w:val="22"/>
          <w:lang w:val="en"/>
        </w:rPr>
        <w:t>The fund will support architects, developers, councils, housing associations and small builders to build properties that will increase the quality of design</w:t>
      </w:r>
      <w:r>
        <w:rPr>
          <w:rFonts w:ascii="Arial" w:hAnsi="Arial" w:cs="Arial"/>
          <w:sz w:val="22"/>
          <w:szCs w:val="22"/>
          <w:lang w:val="en"/>
        </w:rPr>
        <w:t xml:space="preserve">. </w:t>
      </w:r>
      <w:r w:rsidRPr="00116D5D">
        <w:rPr>
          <w:rFonts w:ascii="Arial" w:hAnsi="Arial" w:cs="Arial"/>
          <w:sz w:val="22"/>
          <w:szCs w:val="22"/>
          <w:lang w:val="en"/>
        </w:rPr>
        <w:t>It will be used to acquire brownfield sites to provide land for starter homes. Money from the sales of these sites will go back to the government</w:t>
      </w:r>
      <w:r>
        <w:rPr>
          <w:rFonts w:ascii="Arial" w:hAnsi="Arial" w:cs="Arial"/>
          <w:sz w:val="22"/>
          <w:szCs w:val="22"/>
          <w:lang w:val="en"/>
        </w:rPr>
        <w:t>.</w:t>
      </w:r>
    </w:p>
    <w:p w:rsidR="00116D5D" w:rsidRPr="00116D5D" w:rsidRDefault="00116D5D" w:rsidP="00116D5D">
      <w:pPr>
        <w:pStyle w:val="NormalWeb"/>
        <w:spacing w:before="0" w:beforeAutospacing="0" w:after="0" w:afterAutospacing="0"/>
        <w:rPr>
          <w:rFonts w:ascii="Arial" w:hAnsi="Arial" w:cs="Arial"/>
          <w:sz w:val="22"/>
          <w:szCs w:val="22"/>
          <w:lang w:val="en"/>
        </w:rPr>
      </w:pPr>
      <w:r w:rsidRPr="00116D5D">
        <w:rPr>
          <w:rFonts w:ascii="Arial" w:hAnsi="Arial" w:cs="Arial"/>
          <w:sz w:val="22"/>
          <w:szCs w:val="22"/>
          <w:lang w:val="en"/>
        </w:rPr>
        <w:t xml:space="preserve">In a further move to support aspiring homeowners the government </w:t>
      </w:r>
      <w:r>
        <w:rPr>
          <w:rFonts w:ascii="Arial" w:hAnsi="Arial" w:cs="Arial"/>
          <w:sz w:val="22"/>
          <w:szCs w:val="22"/>
          <w:lang w:val="en"/>
        </w:rPr>
        <w:t>also</w:t>
      </w:r>
      <w:r w:rsidRPr="00116D5D">
        <w:rPr>
          <w:rFonts w:ascii="Arial" w:hAnsi="Arial" w:cs="Arial"/>
          <w:sz w:val="22"/>
          <w:szCs w:val="22"/>
          <w:lang w:val="en"/>
        </w:rPr>
        <w:t xml:space="preserve"> made available up to £10 million for local authorities to prepare more brownfield land for development of starter homes.</w:t>
      </w:r>
    </w:p>
    <w:p w:rsidR="00116D5D" w:rsidRPr="00116D5D" w:rsidRDefault="00116D5D" w:rsidP="00116D5D">
      <w:pPr>
        <w:pStyle w:val="NormalWeb"/>
        <w:spacing w:before="0" w:beforeAutospacing="0" w:after="0" w:afterAutospacing="0"/>
        <w:rPr>
          <w:rFonts w:ascii="Arial" w:hAnsi="Arial" w:cs="Arial"/>
          <w:sz w:val="22"/>
          <w:szCs w:val="22"/>
          <w:lang w:val="en"/>
        </w:rPr>
      </w:pPr>
    </w:p>
    <w:p w:rsidR="00116D5D" w:rsidRPr="00116D5D" w:rsidRDefault="00116D5D" w:rsidP="00116D5D">
      <w:pPr>
        <w:pStyle w:val="NormalWeb"/>
        <w:numPr>
          <w:ilvl w:val="0"/>
          <w:numId w:val="6"/>
        </w:numPr>
        <w:spacing w:before="0" w:beforeAutospacing="0" w:after="0" w:afterAutospacing="0"/>
        <w:rPr>
          <w:rFonts w:ascii="Arial" w:hAnsi="Arial" w:cs="Arial"/>
          <w:sz w:val="22"/>
          <w:szCs w:val="22"/>
          <w:lang w:val="en"/>
        </w:rPr>
      </w:pPr>
      <w:r w:rsidRPr="00116D5D">
        <w:rPr>
          <w:rFonts w:ascii="Arial" w:hAnsi="Arial" w:cs="Arial"/>
          <w:sz w:val="22"/>
          <w:szCs w:val="22"/>
          <w:lang w:val="en"/>
        </w:rPr>
        <w:t xml:space="preserve">Starter homes will be offered exclusively to first-time buyers aged </w:t>
      </w:r>
      <w:proofErr w:type="gramStart"/>
      <w:r w:rsidRPr="00116D5D">
        <w:rPr>
          <w:rFonts w:ascii="Arial" w:hAnsi="Arial" w:cs="Arial"/>
          <w:sz w:val="22"/>
          <w:szCs w:val="22"/>
          <w:lang w:val="en"/>
        </w:rPr>
        <w:t>under</w:t>
      </w:r>
      <w:proofErr w:type="gramEnd"/>
      <w:r w:rsidRPr="00116D5D">
        <w:rPr>
          <w:rFonts w:ascii="Arial" w:hAnsi="Arial" w:cs="Arial"/>
          <w:sz w:val="22"/>
          <w:szCs w:val="22"/>
          <w:lang w:val="en"/>
        </w:rPr>
        <w:t xml:space="preserve"> 40 with a discount of 20% on market values. </w:t>
      </w:r>
    </w:p>
    <w:p w:rsidR="00116D5D" w:rsidRPr="006B24B4" w:rsidRDefault="00116D5D" w:rsidP="00116D5D">
      <w:pPr>
        <w:pStyle w:val="NormalWeb"/>
        <w:numPr>
          <w:ilvl w:val="0"/>
          <w:numId w:val="6"/>
        </w:numPr>
        <w:spacing w:before="0" w:beforeAutospacing="0" w:after="0" w:afterAutospacing="0"/>
        <w:rPr>
          <w:rFonts w:ascii="Arial" w:hAnsi="Arial" w:cs="Arial"/>
          <w:b/>
          <w:sz w:val="22"/>
          <w:szCs w:val="22"/>
          <w:lang w:val="en"/>
        </w:rPr>
      </w:pPr>
      <w:r w:rsidRPr="00116D5D">
        <w:rPr>
          <w:rFonts w:ascii="Arial" w:hAnsi="Arial" w:cs="Arial"/>
          <w:sz w:val="22"/>
          <w:szCs w:val="22"/>
          <w:lang w:val="en"/>
        </w:rPr>
        <w:t xml:space="preserve">The £26 million fund will be used to identify and purchase sites and prepare them in 2015 to 2016. This will enable more of the properties to be started in 2016 to 2017 and 2017 to 2018. The majority of the sites will be underused brownfield land, currently not allocated for housing. </w:t>
      </w:r>
      <w:r w:rsidR="006B24B4" w:rsidRPr="006B24B4">
        <w:rPr>
          <w:rFonts w:ascii="Arial" w:hAnsi="Arial" w:cs="Arial"/>
          <w:b/>
          <w:sz w:val="22"/>
          <w:szCs w:val="22"/>
          <w:lang w:val="en"/>
        </w:rPr>
        <w:t xml:space="preserve">HCA is currently considering sites for purchase and is happy to look at sites that partners may think are suitable for the initiative. </w:t>
      </w:r>
      <w:r w:rsidR="00751F3D">
        <w:rPr>
          <w:rFonts w:ascii="Arial" w:hAnsi="Arial" w:cs="Arial"/>
          <w:b/>
          <w:sz w:val="22"/>
          <w:szCs w:val="22"/>
          <w:lang w:val="en"/>
        </w:rPr>
        <w:t>There are 9 sites in Kent currently going through the approval process.</w:t>
      </w:r>
    </w:p>
    <w:p w:rsidR="00116D5D" w:rsidRPr="00116D5D" w:rsidRDefault="00116D5D" w:rsidP="00116D5D">
      <w:pPr>
        <w:pStyle w:val="NormalWeb"/>
        <w:numPr>
          <w:ilvl w:val="0"/>
          <w:numId w:val="6"/>
        </w:numPr>
        <w:spacing w:before="0" w:beforeAutospacing="0" w:after="0" w:afterAutospacing="0"/>
        <w:rPr>
          <w:rFonts w:ascii="Arial" w:hAnsi="Arial" w:cs="Arial"/>
          <w:sz w:val="22"/>
          <w:szCs w:val="22"/>
          <w:lang w:val="en"/>
        </w:rPr>
      </w:pPr>
      <w:r w:rsidRPr="00116D5D">
        <w:rPr>
          <w:rFonts w:ascii="Arial" w:hAnsi="Arial" w:cs="Arial"/>
          <w:sz w:val="22"/>
          <w:szCs w:val="22"/>
          <w:lang w:val="en"/>
        </w:rPr>
        <w:t xml:space="preserve">The up to £10 million grant funding will be open to councils to assist them in bringing forward brownfield sites that are currently underused or vacant. It will help them carry out preparation, clearance and infrastructure work to make them viable for starter homes. </w:t>
      </w:r>
    </w:p>
    <w:p w:rsidR="00116D5D" w:rsidRPr="00116D5D" w:rsidRDefault="00116D5D" w:rsidP="00116D5D">
      <w:pPr>
        <w:pStyle w:val="NormalWeb"/>
        <w:numPr>
          <w:ilvl w:val="0"/>
          <w:numId w:val="6"/>
        </w:numPr>
        <w:spacing w:before="0" w:beforeAutospacing="0" w:after="0" w:afterAutospacing="0"/>
        <w:rPr>
          <w:rFonts w:ascii="Arial" w:hAnsi="Arial" w:cs="Arial"/>
          <w:sz w:val="22"/>
          <w:szCs w:val="22"/>
          <w:lang w:val="en"/>
        </w:rPr>
      </w:pPr>
      <w:r w:rsidRPr="00116D5D">
        <w:rPr>
          <w:rFonts w:ascii="Arial" w:hAnsi="Arial" w:cs="Arial"/>
          <w:sz w:val="22"/>
          <w:szCs w:val="22"/>
          <w:lang w:val="en"/>
        </w:rPr>
        <w:t xml:space="preserve">These are one-off funds designed to accelerate provision of starter homes. </w:t>
      </w:r>
    </w:p>
    <w:p w:rsidR="00116D5D" w:rsidRDefault="00116D5D" w:rsidP="00575FE6">
      <w:pPr>
        <w:pStyle w:val="NormalWeb"/>
        <w:numPr>
          <w:ilvl w:val="0"/>
          <w:numId w:val="6"/>
        </w:numPr>
        <w:spacing w:before="0" w:beforeAutospacing="0" w:after="0" w:afterAutospacing="0"/>
        <w:rPr>
          <w:rFonts w:ascii="Arial" w:hAnsi="Arial" w:cs="Arial"/>
          <w:sz w:val="22"/>
          <w:szCs w:val="22"/>
          <w:lang w:val="en"/>
        </w:rPr>
      </w:pPr>
      <w:r w:rsidRPr="00116D5D">
        <w:rPr>
          <w:rFonts w:ascii="Arial" w:hAnsi="Arial" w:cs="Arial"/>
          <w:sz w:val="22"/>
          <w:szCs w:val="22"/>
          <w:lang w:val="en"/>
        </w:rPr>
        <w:t>The government has released a series of exemplar starter home designs to encourage developers to push for excellence when building the properties</w:t>
      </w:r>
      <w:r w:rsidR="00575FE6">
        <w:rPr>
          <w:rFonts w:ascii="Arial" w:hAnsi="Arial" w:cs="Arial"/>
          <w:sz w:val="22"/>
          <w:szCs w:val="22"/>
          <w:lang w:val="en"/>
        </w:rPr>
        <w:t xml:space="preserve"> </w:t>
      </w:r>
      <w:hyperlink r:id="rId16" w:history="1">
        <w:r w:rsidR="00575FE6" w:rsidRPr="004F62D4">
          <w:rPr>
            <w:rStyle w:val="Hyperlink"/>
            <w:rFonts w:ascii="Arial" w:hAnsi="Arial" w:cs="Arial"/>
            <w:sz w:val="22"/>
            <w:szCs w:val="22"/>
            <w:lang w:val="en"/>
          </w:rPr>
          <w:t>https://www.gov.uk/government/uploads/system/uploads/attachment_data/file/419212/150330_-_Starter_Homes_Design_FINAL_bc_lh_pdf.pdf</w:t>
        </w:r>
      </w:hyperlink>
    </w:p>
    <w:p w:rsidR="00575FE6" w:rsidRDefault="00575FE6" w:rsidP="00575FE6">
      <w:pPr>
        <w:pStyle w:val="NormalWeb"/>
        <w:spacing w:before="0" w:beforeAutospacing="0" w:after="0" w:afterAutospacing="0"/>
        <w:ind w:left="360"/>
        <w:rPr>
          <w:rFonts w:ascii="Arial" w:hAnsi="Arial" w:cs="Arial"/>
          <w:sz w:val="22"/>
          <w:szCs w:val="22"/>
          <w:lang w:val="en"/>
        </w:rPr>
      </w:pPr>
    </w:p>
    <w:p w:rsidR="00575FE6" w:rsidRDefault="00575FE6" w:rsidP="00575FE6">
      <w:pPr>
        <w:pStyle w:val="NormalWeb"/>
        <w:spacing w:before="0" w:beforeAutospacing="0" w:after="0" w:afterAutospacing="0"/>
        <w:ind w:left="360"/>
        <w:rPr>
          <w:rFonts w:ascii="Arial" w:hAnsi="Arial" w:cs="Arial"/>
          <w:sz w:val="22"/>
          <w:szCs w:val="22"/>
          <w:lang w:val="en"/>
        </w:rPr>
      </w:pPr>
    </w:p>
    <w:p w:rsidR="007D15A5" w:rsidRDefault="007D15A5" w:rsidP="007D15A5">
      <w:pPr>
        <w:pStyle w:val="NormalWeb"/>
        <w:spacing w:before="0" w:beforeAutospacing="0" w:after="0" w:afterAutospacing="0"/>
        <w:rPr>
          <w:rFonts w:ascii="Arial" w:hAnsi="Arial" w:cs="Arial"/>
          <w:sz w:val="22"/>
          <w:szCs w:val="22"/>
          <w:lang w:val="en"/>
        </w:rPr>
      </w:pPr>
      <w:r>
        <w:rPr>
          <w:rFonts w:ascii="Arial" w:hAnsi="Arial" w:cs="Arial"/>
          <w:sz w:val="22"/>
          <w:szCs w:val="22"/>
          <w:lang w:val="en"/>
        </w:rPr>
        <w:t>The prospectus for the Local Authority element was published on 12 October and can be found on the link below</w:t>
      </w:r>
    </w:p>
    <w:p w:rsidR="007D15A5" w:rsidRDefault="007F5CC6" w:rsidP="007D15A5">
      <w:pPr>
        <w:pStyle w:val="NormalWeb"/>
        <w:spacing w:before="0" w:beforeAutospacing="0" w:after="0" w:afterAutospacing="0"/>
        <w:rPr>
          <w:rStyle w:val="Hyperlink"/>
          <w:rFonts w:ascii="Arial" w:hAnsi="Arial" w:cs="Arial"/>
          <w:sz w:val="22"/>
          <w:szCs w:val="22"/>
          <w:lang w:val="en"/>
        </w:rPr>
      </w:pPr>
      <w:hyperlink r:id="rId17" w:history="1">
        <w:r w:rsidR="007D15A5" w:rsidRPr="00B87740">
          <w:rPr>
            <w:rStyle w:val="Hyperlink"/>
            <w:rFonts w:ascii="Arial" w:hAnsi="Arial" w:cs="Arial"/>
            <w:sz w:val="22"/>
            <w:szCs w:val="22"/>
            <w:lang w:val="en"/>
          </w:rPr>
          <w:t>https://www.gov.uk/government/publications/starter-homes-local-authority-funding-programme-prospectus</w:t>
        </w:r>
      </w:hyperlink>
    </w:p>
    <w:p w:rsidR="00484178" w:rsidRDefault="00484178" w:rsidP="007D15A5">
      <w:pPr>
        <w:pStyle w:val="NormalWeb"/>
        <w:spacing w:before="0" w:beforeAutospacing="0" w:after="0" w:afterAutospacing="0"/>
        <w:rPr>
          <w:rFonts w:ascii="Arial" w:hAnsi="Arial" w:cs="Arial"/>
          <w:sz w:val="22"/>
          <w:szCs w:val="22"/>
          <w:lang w:val="en"/>
        </w:rPr>
      </w:pPr>
    </w:p>
    <w:p w:rsidR="007D15A5" w:rsidRDefault="00575FE6" w:rsidP="007D15A5">
      <w:pPr>
        <w:pStyle w:val="NormalWeb"/>
        <w:spacing w:before="0" w:beforeAutospacing="0" w:after="0" w:afterAutospacing="0"/>
        <w:rPr>
          <w:rFonts w:ascii="Arial" w:hAnsi="Arial" w:cs="Arial"/>
          <w:sz w:val="22"/>
          <w:szCs w:val="22"/>
          <w:lang w:val="en"/>
        </w:rPr>
      </w:pPr>
      <w:r>
        <w:rPr>
          <w:rFonts w:ascii="Arial" w:hAnsi="Arial" w:cs="Arial"/>
          <w:sz w:val="22"/>
          <w:szCs w:val="22"/>
          <w:lang w:val="en"/>
        </w:rPr>
        <w:t>Allocations were announced on 8 December, f</w:t>
      </w:r>
      <w:r w:rsidRPr="00575FE6">
        <w:rPr>
          <w:rFonts w:ascii="Arial" w:hAnsi="Arial" w:cs="Arial"/>
          <w:sz w:val="22"/>
          <w:szCs w:val="22"/>
          <w:lang w:val="en"/>
        </w:rPr>
        <w:t>unding is being made on a grant funding non-recoverable basis and must be spent by March 2016 so that starter homes can be built in 2017 to 2018</w:t>
      </w:r>
      <w:r>
        <w:rPr>
          <w:rFonts w:ascii="Arial" w:hAnsi="Arial" w:cs="Arial"/>
          <w:sz w:val="22"/>
          <w:szCs w:val="22"/>
          <w:lang w:val="en"/>
        </w:rPr>
        <w:t xml:space="preserve">. Successful bidders in Essex and Kent are </w:t>
      </w:r>
      <w:proofErr w:type="spellStart"/>
      <w:r>
        <w:rPr>
          <w:rFonts w:ascii="Arial" w:hAnsi="Arial" w:cs="Arial"/>
          <w:sz w:val="22"/>
          <w:szCs w:val="22"/>
          <w:lang w:val="en"/>
        </w:rPr>
        <w:t>Shepway</w:t>
      </w:r>
      <w:proofErr w:type="spellEnd"/>
      <w:r>
        <w:rPr>
          <w:rFonts w:ascii="Arial" w:hAnsi="Arial" w:cs="Arial"/>
          <w:sz w:val="22"/>
          <w:szCs w:val="22"/>
          <w:lang w:val="en"/>
        </w:rPr>
        <w:t xml:space="preserve"> with funding for 2 sites amounting to £27,764 to bring forward 27 homes</w:t>
      </w:r>
      <w:r w:rsidR="00C630C3">
        <w:rPr>
          <w:rFonts w:ascii="Arial" w:hAnsi="Arial" w:cs="Arial"/>
          <w:sz w:val="22"/>
          <w:szCs w:val="22"/>
          <w:lang w:val="en"/>
        </w:rPr>
        <w:t>,</w:t>
      </w:r>
      <w:r>
        <w:rPr>
          <w:rFonts w:ascii="Arial" w:hAnsi="Arial" w:cs="Arial"/>
          <w:sz w:val="22"/>
          <w:szCs w:val="22"/>
          <w:lang w:val="en"/>
        </w:rPr>
        <w:t xml:space="preserve"> </w:t>
      </w:r>
      <w:proofErr w:type="spellStart"/>
      <w:r>
        <w:rPr>
          <w:rFonts w:ascii="Arial" w:hAnsi="Arial" w:cs="Arial"/>
          <w:sz w:val="22"/>
          <w:szCs w:val="22"/>
          <w:lang w:val="en"/>
        </w:rPr>
        <w:t>Tendring</w:t>
      </w:r>
      <w:proofErr w:type="spellEnd"/>
      <w:r>
        <w:rPr>
          <w:rFonts w:ascii="Arial" w:hAnsi="Arial" w:cs="Arial"/>
          <w:sz w:val="22"/>
          <w:szCs w:val="22"/>
          <w:lang w:val="en"/>
        </w:rPr>
        <w:t xml:space="preserve"> with funding of £200,000 for 1</w:t>
      </w:r>
      <w:r w:rsidR="00C630C3">
        <w:rPr>
          <w:rFonts w:ascii="Arial" w:hAnsi="Arial" w:cs="Arial"/>
          <w:sz w:val="22"/>
          <w:szCs w:val="22"/>
          <w:lang w:val="en"/>
        </w:rPr>
        <w:t xml:space="preserve"> site to bring forward 10 homes and </w:t>
      </w:r>
      <w:proofErr w:type="spellStart"/>
      <w:r w:rsidR="00C630C3">
        <w:rPr>
          <w:rFonts w:ascii="Arial" w:hAnsi="Arial" w:cs="Arial"/>
          <w:sz w:val="22"/>
          <w:szCs w:val="22"/>
          <w:lang w:val="en"/>
        </w:rPr>
        <w:t>Basildon</w:t>
      </w:r>
      <w:proofErr w:type="spellEnd"/>
      <w:r w:rsidR="00C630C3">
        <w:rPr>
          <w:rFonts w:ascii="Arial" w:hAnsi="Arial" w:cs="Arial"/>
          <w:sz w:val="22"/>
          <w:szCs w:val="22"/>
          <w:lang w:val="en"/>
        </w:rPr>
        <w:t xml:space="preserve"> with £200,000 for 1 site to bring forward 8 homes.</w:t>
      </w:r>
    </w:p>
    <w:p w:rsidR="00484178" w:rsidRDefault="00484178" w:rsidP="007D15A5">
      <w:pPr>
        <w:pStyle w:val="NormalWeb"/>
        <w:spacing w:before="0" w:beforeAutospacing="0" w:after="0" w:afterAutospacing="0"/>
        <w:rPr>
          <w:rFonts w:ascii="Arial" w:hAnsi="Arial" w:cs="Arial"/>
          <w:sz w:val="22"/>
          <w:szCs w:val="22"/>
          <w:lang w:val="en"/>
        </w:rPr>
      </w:pPr>
    </w:p>
    <w:p w:rsidR="00484178" w:rsidRPr="00484178" w:rsidRDefault="00484178" w:rsidP="00484178">
      <w:pPr>
        <w:pStyle w:val="NormalWeb"/>
        <w:numPr>
          <w:ilvl w:val="0"/>
          <w:numId w:val="3"/>
        </w:numPr>
        <w:spacing w:before="0" w:beforeAutospacing="0" w:after="0" w:afterAutospacing="0"/>
        <w:rPr>
          <w:rFonts w:ascii="Arial" w:hAnsi="Arial" w:cs="Arial"/>
          <w:b/>
          <w:sz w:val="22"/>
          <w:szCs w:val="22"/>
          <w:lang w:val="en"/>
        </w:rPr>
      </w:pPr>
      <w:r w:rsidRPr="00484178">
        <w:rPr>
          <w:rFonts w:ascii="Arial" w:hAnsi="Arial" w:cs="Arial"/>
          <w:b/>
          <w:sz w:val="22"/>
          <w:szCs w:val="22"/>
          <w:lang w:val="en"/>
        </w:rPr>
        <w:t>Starter Home Fund</w:t>
      </w:r>
    </w:p>
    <w:p w:rsidR="00484178" w:rsidRPr="00751F3D" w:rsidRDefault="00484178" w:rsidP="00484178">
      <w:pPr>
        <w:pStyle w:val="NormalWeb"/>
        <w:rPr>
          <w:rFonts w:ascii="Arial" w:hAnsi="Arial" w:cs="Arial"/>
          <w:sz w:val="22"/>
          <w:szCs w:val="22"/>
          <w:lang w:val="en"/>
        </w:rPr>
      </w:pPr>
      <w:r>
        <w:rPr>
          <w:rFonts w:ascii="Arial" w:hAnsi="Arial" w:cs="Arial"/>
          <w:sz w:val="22"/>
          <w:szCs w:val="22"/>
          <w:lang w:val="en"/>
        </w:rPr>
        <w:t xml:space="preserve">On the 4 January a </w:t>
      </w:r>
      <w:r w:rsidRPr="00751F3D">
        <w:rPr>
          <w:rFonts w:ascii="Arial" w:hAnsi="Arial" w:cs="Arial"/>
          <w:sz w:val="22"/>
          <w:szCs w:val="22"/>
          <w:lang w:val="en"/>
        </w:rPr>
        <w:t>£1.2bn starter home fund</w:t>
      </w:r>
      <w:r>
        <w:rPr>
          <w:rFonts w:ascii="Arial" w:hAnsi="Arial" w:cs="Arial"/>
          <w:sz w:val="22"/>
          <w:szCs w:val="22"/>
          <w:lang w:val="en"/>
        </w:rPr>
        <w:t xml:space="preserve"> was announced </w:t>
      </w:r>
      <w:r w:rsidRPr="00751F3D">
        <w:rPr>
          <w:rFonts w:ascii="Arial" w:hAnsi="Arial" w:cs="Arial"/>
          <w:sz w:val="22"/>
          <w:szCs w:val="22"/>
          <w:lang w:val="en"/>
        </w:rPr>
        <w:t xml:space="preserve">to prepare brownfield sites for new homes. </w:t>
      </w:r>
      <w:r>
        <w:rPr>
          <w:rFonts w:ascii="Arial" w:hAnsi="Arial" w:cs="Arial"/>
          <w:sz w:val="22"/>
          <w:szCs w:val="22"/>
          <w:lang w:val="en"/>
        </w:rPr>
        <w:t xml:space="preserve">The aim is to </w:t>
      </w:r>
      <w:r w:rsidRPr="00751F3D">
        <w:rPr>
          <w:rFonts w:ascii="Arial" w:hAnsi="Arial" w:cs="Arial"/>
          <w:sz w:val="22"/>
          <w:szCs w:val="22"/>
          <w:lang w:val="en"/>
        </w:rPr>
        <w:t>fast-track the creation of at least 30,000 new starter homes and up to 30,000 market homes on 500 new sites by 2020 – helping deliver the commitment to create 200,000 starter homes over the next 5 years.</w:t>
      </w:r>
    </w:p>
    <w:p w:rsidR="00484178" w:rsidRPr="00751F3D" w:rsidRDefault="00484178" w:rsidP="00484178">
      <w:pPr>
        <w:pStyle w:val="NormalWeb"/>
        <w:rPr>
          <w:rFonts w:ascii="Arial" w:hAnsi="Arial" w:cs="Arial"/>
          <w:sz w:val="22"/>
          <w:szCs w:val="22"/>
          <w:lang w:val="en"/>
        </w:rPr>
      </w:pPr>
      <w:r w:rsidRPr="00751F3D">
        <w:rPr>
          <w:rFonts w:ascii="Arial" w:hAnsi="Arial" w:cs="Arial"/>
          <w:sz w:val="22"/>
          <w:szCs w:val="22"/>
          <w:lang w:val="en"/>
        </w:rPr>
        <w:lastRenderedPageBreak/>
        <w:t>The new investment will help kick-start regeneration and secure planning permission in urban areas – renovating disused or under-occupied urban sites so builders can get to work without any delays.</w:t>
      </w:r>
      <w:r>
        <w:rPr>
          <w:rFonts w:ascii="Arial" w:hAnsi="Arial" w:cs="Arial"/>
          <w:sz w:val="22"/>
          <w:szCs w:val="22"/>
          <w:lang w:val="en"/>
        </w:rPr>
        <w:t xml:space="preserve"> Further details will be available in due course </w:t>
      </w:r>
    </w:p>
    <w:p w:rsidR="006B24B4" w:rsidRDefault="006B24B4" w:rsidP="007D15A5">
      <w:pPr>
        <w:pStyle w:val="NormalWeb"/>
        <w:spacing w:before="0" w:beforeAutospacing="0" w:after="0" w:afterAutospacing="0"/>
        <w:rPr>
          <w:rFonts w:ascii="Arial" w:hAnsi="Arial" w:cs="Arial"/>
          <w:sz w:val="22"/>
          <w:szCs w:val="22"/>
          <w:lang w:val="en"/>
        </w:rPr>
      </w:pPr>
    </w:p>
    <w:p w:rsidR="00751F3D" w:rsidRPr="00484178" w:rsidRDefault="00751F3D" w:rsidP="00484178">
      <w:pPr>
        <w:pStyle w:val="NormalWeb"/>
        <w:numPr>
          <w:ilvl w:val="0"/>
          <w:numId w:val="3"/>
        </w:numPr>
        <w:spacing w:before="0" w:beforeAutospacing="0" w:after="0" w:afterAutospacing="0"/>
        <w:rPr>
          <w:rFonts w:ascii="Arial" w:hAnsi="Arial" w:cs="Arial"/>
          <w:b/>
          <w:sz w:val="22"/>
          <w:szCs w:val="22"/>
          <w:lang w:val="en"/>
        </w:rPr>
      </w:pPr>
      <w:r w:rsidRPr="00484178">
        <w:rPr>
          <w:rFonts w:ascii="Arial" w:hAnsi="Arial" w:cs="Arial"/>
          <w:b/>
          <w:sz w:val="22"/>
          <w:szCs w:val="22"/>
          <w:lang w:val="en"/>
        </w:rPr>
        <w:t>Direct Commissioning</w:t>
      </w:r>
    </w:p>
    <w:p w:rsidR="00751F3D" w:rsidRDefault="00751F3D" w:rsidP="007D15A5">
      <w:pPr>
        <w:pStyle w:val="NormalWeb"/>
        <w:spacing w:before="0" w:beforeAutospacing="0" w:after="0" w:afterAutospacing="0"/>
        <w:rPr>
          <w:rFonts w:ascii="Arial" w:hAnsi="Arial" w:cs="Arial"/>
          <w:sz w:val="22"/>
          <w:szCs w:val="22"/>
          <w:lang w:val="en"/>
        </w:rPr>
      </w:pPr>
    </w:p>
    <w:p w:rsidR="00751F3D" w:rsidRPr="00751F3D" w:rsidRDefault="0066192A" w:rsidP="00751F3D">
      <w:pPr>
        <w:pStyle w:val="NormalWeb"/>
        <w:rPr>
          <w:rFonts w:ascii="Arial" w:hAnsi="Arial" w:cs="Arial"/>
          <w:sz w:val="22"/>
          <w:szCs w:val="22"/>
          <w:lang w:val="en"/>
        </w:rPr>
      </w:pPr>
      <w:proofErr w:type="gramStart"/>
      <w:r>
        <w:rPr>
          <w:rFonts w:ascii="Arial" w:hAnsi="Arial" w:cs="Arial"/>
          <w:sz w:val="22"/>
          <w:szCs w:val="22"/>
          <w:lang w:val="en"/>
        </w:rPr>
        <w:t xml:space="preserve">Also </w:t>
      </w:r>
      <w:r w:rsidR="00751F3D">
        <w:rPr>
          <w:rFonts w:ascii="Arial" w:hAnsi="Arial" w:cs="Arial"/>
          <w:sz w:val="22"/>
          <w:szCs w:val="22"/>
          <w:lang w:val="en"/>
        </w:rPr>
        <w:t xml:space="preserve"> on</w:t>
      </w:r>
      <w:proofErr w:type="gramEnd"/>
      <w:r w:rsidR="00751F3D">
        <w:rPr>
          <w:rFonts w:ascii="Arial" w:hAnsi="Arial" w:cs="Arial"/>
          <w:sz w:val="22"/>
          <w:szCs w:val="22"/>
          <w:lang w:val="en"/>
        </w:rPr>
        <w:t xml:space="preserve"> 4 January that </w:t>
      </w:r>
      <w:r w:rsidR="00751F3D" w:rsidRPr="00751F3D">
        <w:rPr>
          <w:rFonts w:ascii="Arial" w:hAnsi="Arial" w:cs="Arial"/>
          <w:sz w:val="22"/>
          <w:szCs w:val="22"/>
          <w:lang w:val="en"/>
        </w:rPr>
        <w:t xml:space="preserve"> the government is to step in and directly commission thousands of new affordable homes</w:t>
      </w:r>
      <w:r w:rsidR="00751F3D">
        <w:rPr>
          <w:rFonts w:ascii="Arial" w:hAnsi="Arial" w:cs="Arial"/>
          <w:sz w:val="22"/>
          <w:szCs w:val="22"/>
          <w:lang w:val="en"/>
        </w:rPr>
        <w:t xml:space="preserve"> on publically owned land </w:t>
      </w:r>
      <w:r w:rsidR="00751F3D" w:rsidRPr="00751F3D">
        <w:rPr>
          <w:rFonts w:ascii="Arial" w:hAnsi="Arial" w:cs="Arial"/>
          <w:sz w:val="22"/>
          <w:szCs w:val="22"/>
          <w:lang w:val="en"/>
        </w:rPr>
        <w:t>.</w:t>
      </w:r>
    </w:p>
    <w:p w:rsidR="00751F3D" w:rsidRDefault="00751F3D" w:rsidP="00751F3D">
      <w:pPr>
        <w:pStyle w:val="NormalWeb"/>
        <w:rPr>
          <w:rFonts w:ascii="Arial" w:hAnsi="Arial" w:cs="Arial"/>
          <w:sz w:val="22"/>
          <w:szCs w:val="22"/>
          <w:lang w:val="en"/>
        </w:rPr>
      </w:pPr>
      <w:r w:rsidRPr="00751F3D">
        <w:rPr>
          <w:rFonts w:ascii="Arial" w:hAnsi="Arial" w:cs="Arial"/>
          <w:sz w:val="22"/>
          <w:szCs w:val="22"/>
          <w:lang w:val="en"/>
        </w:rPr>
        <w:t xml:space="preserve">The first wave of up to 13,000 will start on 4 sites outside of London in 2016 – up to 40% of which will be affordable ‘starter’ homes. This approach will also be used in at the Old Oak Common site in </w:t>
      </w:r>
      <w:proofErr w:type="gramStart"/>
      <w:r w:rsidRPr="00751F3D">
        <w:rPr>
          <w:rFonts w:ascii="Arial" w:hAnsi="Arial" w:cs="Arial"/>
          <w:sz w:val="22"/>
          <w:szCs w:val="22"/>
          <w:lang w:val="en"/>
        </w:rPr>
        <w:t>north west</w:t>
      </w:r>
      <w:proofErr w:type="gramEnd"/>
      <w:r w:rsidRPr="00751F3D">
        <w:rPr>
          <w:rFonts w:ascii="Arial" w:hAnsi="Arial" w:cs="Arial"/>
          <w:sz w:val="22"/>
          <w:szCs w:val="22"/>
          <w:lang w:val="en"/>
        </w:rPr>
        <w:t xml:space="preserve"> London.</w:t>
      </w:r>
    </w:p>
    <w:p w:rsidR="00751F3D" w:rsidRDefault="00751F3D" w:rsidP="00751F3D">
      <w:pPr>
        <w:pStyle w:val="NormalWeb"/>
        <w:rPr>
          <w:rFonts w:ascii="Arial" w:hAnsi="Arial" w:cs="Arial"/>
          <w:sz w:val="22"/>
          <w:szCs w:val="22"/>
          <w:lang w:val="en"/>
        </w:rPr>
      </w:pPr>
      <w:r>
        <w:rPr>
          <w:rFonts w:ascii="Arial" w:hAnsi="Arial" w:cs="Arial"/>
          <w:sz w:val="22"/>
          <w:szCs w:val="22"/>
          <w:lang w:val="en"/>
        </w:rPr>
        <w:t>In Kent Connaught</w:t>
      </w:r>
      <w:r w:rsidR="00484178">
        <w:rPr>
          <w:rFonts w:ascii="Arial" w:hAnsi="Arial" w:cs="Arial"/>
          <w:sz w:val="22"/>
          <w:szCs w:val="22"/>
          <w:lang w:val="en"/>
        </w:rPr>
        <w:t xml:space="preserve"> Barracks is one of the selected sites. This</w:t>
      </w:r>
      <w:r w:rsidR="00484178" w:rsidRPr="00484178">
        <w:rPr>
          <w:rFonts w:ascii="Arial" w:hAnsi="Arial" w:cs="Arial"/>
          <w:sz w:val="22"/>
          <w:szCs w:val="22"/>
          <w:lang w:val="en"/>
        </w:rPr>
        <w:t xml:space="preserve"> is a former MOD site of 55 hectares acquired by the Homes and Communities Agency (HCA) in 2008. At its core is a Napoleonic fort now owned by the Land </w:t>
      </w:r>
      <w:proofErr w:type="gramStart"/>
      <w:r w:rsidR="00484178" w:rsidRPr="00484178">
        <w:rPr>
          <w:rFonts w:ascii="Arial" w:hAnsi="Arial" w:cs="Arial"/>
          <w:sz w:val="22"/>
          <w:szCs w:val="22"/>
          <w:lang w:val="en"/>
        </w:rPr>
        <w:t>Trust.</w:t>
      </w:r>
      <w:proofErr w:type="gramEnd"/>
      <w:r w:rsidR="00484178" w:rsidRPr="00484178">
        <w:rPr>
          <w:rFonts w:ascii="Arial" w:hAnsi="Arial" w:cs="Arial"/>
          <w:sz w:val="22"/>
          <w:szCs w:val="22"/>
          <w:lang w:val="en"/>
        </w:rPr>
        <w:t xml:space="preserve"> The site is allocated for up to 500 housing units. It is considered challenging by private developers due to complex demolition and utility upgrade works that are required prior to development. As a result work on the site is currently stalled and incurs significant holding costs. Direct commissioning will enable this site to be brought forward, reducing the costs to the public purse and bringing forward additional housing that the market alone would not deliver.</w:t>
      </w:r>
    </w:p>
    <w:p w:rsidR="00751F3D" w:rsidRDefault="00751F3D" w:rsidP="007D15A5">
      <w:pPr>
        <w:pStyle w:val="NormalWeb"/>
        <w:spacing w:before="0" w:beforeAutospacing="0" w:after="0" w:afterAutospacing="0"/>
        <w:rPr>
          <w:rFonts w:ascii="Arial" w:hAnsi="Arial" w:cs="Arial"/>
          <w:sz w:val="22"/>
          <w:szCs w:val="22"/>
          <w:lang w:val="en"/>
        </w:rPr>
      </w:pPr>
    </w:p>
    <w:p w:rsidR="007E2563" w:rsidRPr="007E2563" w:rsidRDefault="00824839" w:rsidP="00824839">
      <w:pPr>
        <w:spacing w:before="60" w:afterLines="60" w:after="144"/>
        <w:jc w:val="both"/>
        <w:rPr>
          <w:rFonts w:ascii="Arial" w:hAnsi="Arial" w:cs="Arial"/>
          <w:b/>
        </w:rPr>
      </w:pPr>
      <w:r w:rsidRPr="007E2563">
        <w:rPr>
          <w:rFonts w:ascii="Arial" w:hAnsi="Arial" w:cs="Arial"/>
          <w:b/>
        </w:rPr>
        <w:t>Other Matters of Interest</w:t>
      </w:r>
    </w:p>
    <w:p w:rsidR="00A92174" w:rsidRPr="00E82F11" w:rsidRDefault="00A92174" w:rsidP="00A92174">
      <w:pPr>
        <w:spacing w:after="120"/>
        <w:jc w:val="both"/>
        <w:rPr>
          <w:rFonts w:ascii="Arial" w:eastAsiaTheme="minorHAnsi" w:hAnsi="Arial" w:cs="Arial"/>
          <w:b/>
          <w:sz w:val="22"/>
          <w:szCs w:val="22"/>
          <w:lang w:eastAsia="en-US"/>
        </w:rPr>
      </w:pPr>
      <w:r w:rsidRPr="00E82F11">
        <w:rPr>
          <w:rFonts w:ascii="Arial" w:eastAsiaTheme="minorHAnsi" w:hAnsi="Arial" w:cs="Arial"/>
          <w:b/>
          <w:sz w:val="22"/>
          <w:szCs w:val="22"/>
          <w:lang w:eastAsia="en-US"/>
        </w:rPr>
        <w:t>Housing Statistics</w:t>
      </w:r>
    </w:p>
    <w:p w:rsidR="00A92174" w:rsidRPr="00E82F11" w:rsidRDefault="00A92174" w:rsidP="00A92174">
      <w:pPr>
        <w:spacing w:before="100" w:beforeAutospacing="1" w:after="100" w:afterAutospacing="1"/>
        <w:rPr>
          <w:rFonts w:ascii="Arial" w:hAnsi="Arial" w:cs="Arial"/>
          <w:sz w:val="22"/>
          <w:szCs w:val="22"/>
        </w:rPr>
      </w:pPr>
      <w:r w:rsidRPr="00E82F11">
        <w:rPr>
          <w:rStyle w:val="Strong"/>
          <w:rFonts w:ascii="Arial" w:hAnsi="Arial" w:cs="Arial"/>
          <w:sz w:val="22"/>
          <w:szCs w:val="22"/>
        </w:rPr>
        <w:t>We’ve published our latest set of six-monthly housing statistics, cover the first half of this financial year (1 April to 30 September); they are also the first of the new spending period.</w:t>
      </w:r>
      <w:r w:rsidRPr="00E82F11">
        <w:rPr>
          <w:rFonts w:ascii="Arial" w:hAnsi="Arial" w:cs="Arial"/>
          <w:sz w:val="22"/>
          <w:szCs w:val="22"/>
        </w:rPr>
        <w:t xml:space="preserve"> </w:t>
      </w:r>
    </w:p>
    <w:p w:rsidR="00A92174" w:rsidRPr="00E82F11" w:rsidRDefault="00A92174" w:rsidP="00A92174">
      <w:pPr>
        <w:spacing w:before="100" w:beforeAutospacing="1" w:after="100" w:afterAutospacing="1"/>
        <w:rPr>
          <w:rFonts w:ascii="Arial" w:hAnsi="Arial" w:cs="Arial"/>
          <w:sz w:val="22"/>
          <w:szCs w:val="22"/>
        </w:rPr>
      </w:pPr>
      <w:r w:rsidRPr="00E82F11">
        <w:rPr>
          <w:rFonts w:ascii="Arial" w:hAnsi="Arial" w:cs="Arial"/>
          <w:sz w:val="22"/>
          <w:szCs w:val="22"/>
        </w:rPr>
        <w:t xml:space="preserve">This breaks down as 10,592 new homes started and 9,471 new homes completed. </w:t>
      </w:r>
    </w:p>
    <w:p w:rsidR="00A92174" w:rsidRPr="00E82F11" w:rsidRDefault="00A92174" w:rsidP="00A92174">
      <w:pPr>
        <w:spacing w:before="100" w:beforeAutospacing="1" w:after="100" w:afterAutospacing="1"/>
        <w:rPr>
          <w:rFonts w:ascii="Arial" w:hAnsi="Arial" w:cs="Arial"/>
          <w:sz w:val="22"/>
          <w:szCs w:val="22"/>
        </w:rPr>
      </w:pPr>
      <w:r w:rsidRPr="00E82F11">
        <w:rPr>
          <w:rFonts w:ascii="Arial" w:hAnsi="Arial" w:cs="Arial"/>
          <w:sz w:val="22"/>
          <w:szCs w:val="22"/>
        </w:rPr>
        <w:t xml:space="preserve">7,572 of the starts (71% of the total) were for affordable homes; while 3,020 were for market homes. On completions, 6,447 (68% of the total) were for affordable homes; while 3,024 were for market homes. </w:t>
      </w:r>
      <w:proofErr w:type="gramStart"/>
      <w:r w:rsidRPr="00E82F11">
        <w:rPr>
          <w:rFonts w:ascii="Arial" w:hAnsi="Arial" w:cs="Arial"/>
          <w:sz w:val="22"/>
          <w:szCs w:val="22"/>
        </w:rPr>
        <w:t>The 2015-18 Affordable Homes Programme</w:t>
      </w:r>
      <w:proofErr w:type="gramEnd"/>
      <w:r w:rsidRPr="00E82F11">
        <w:rPr>
          <w:rFonts w:ascii="Arial" w:hAnsi="Arial" w:cs="Arial"/>
          <w:sz w:val="22"/>
          <w:szCs w:val="22"/>
        </w:rPr>
        <w:t xml:space="preserve"> accounted for 91% of the affordable homes started in the first 6 months of 2015-16. </w:t>
      </w:r>
    </w:p>
    <w:p w:rsidR="00A92174" w:rsidRPr="00E82F11" w:rsidRDefault="00A92174" w:rsidP="00A92174">
      <w:pPr>
        <w:spacing w:before="100" w:beforeAutospacing="1" w:after="100" w:afterAutospacing="1"/>
        <w:rPr>
          <w:rFonts w:ascii="Arial" w:hAnsi="Arial" w:cs="Arial"/>
          <w:sz w:val="22"/>
          <w:szCs w:val="22"/>
        </w:rPr>
      </w:pPr>
      <w:r w:rsidRPr="00E82F11">
        <w:rPr>
          <w:rFonts w:ascii="Arial" w:hAnsi="Arial" w:cs="Arial"/>
          <w:sz w:val="22"/>
          <w:szCs w:val="22"/>
        </w:rPr>
        <w:t xml:space="preserve">These figures are in line with what we expected, given the transition between programmes and spending periods, and cyclical nature of our delivery. </w:t>
      </w:r>
    </w:p>
    <w:p w:rsidR="00A92174" w:rsidRPr="00E82F11" w:rsidRDefault="00A92174" w:rsidP="00A92174">
      <w:pPr>
        <w:spacing w:before="100" w:beforeAutospacing="1" w:after="100" w:afterAutospacing="1"/>
        <w:rPr>
          <w:rFonts w:ascii="Arial" w:hAnsi="Arial" w:cs="Arial"/>
          <w:sz w:val="22"/>
          <w:szCs w:val="22"/>
        </w:rPr>
      </w:pPr>
      <w:r w:rsidRPr="00E82F11">
        <w:rPr>
          <w:rFonts w:ascii="Arial" w:hAnsi="Arial" w:cs="Arial"/>
          <w:sz w:val="22"/>
          <w:szCs w:val="22"/>
        </w:rPr>
        <w:t xml:space="preserve">Andy Rose said: “The performance over the first six months reflects the early stages of a new programme. Given the significant housing investment announced in the Spending Review, we look forward to working with our partners to help deliver Government’s ambition for housing supply, home ownership and strong local places.” </w:t>
      </w:r>
    </w:p>
    <w:p w:rsidR="00A92174" w:rsidRPr="00E82F11" w:rsidRDefault="00A92174" w:rsidP="00A92174">
      <w:pPr>
        <w:spacing w:before="100" w:beforeAutospacing="1" w:after="100" w:afterAutospacing="1"/>
        <w:rPr>
          <w:rFonts w:ascii="Arial" w:hAnsi="Arial" w:cs="Arial"/>
          <w:sz w:val="22"/>
          <w:szCs w:val="22"/>
        </w:rPr>
      </w:pPr>
      <w:r w:rsidRPr="00E82F11">
        <w:rPr>
          <w:rFonts w:ascii="Arial" w:hAnsi="Arial" w:cs="Arial"/>
          <w:sz w:val="22"/>
          <w:szCs w:val="22"/>
        </w:rPr>
        <w:t xml:space="preserve">The figures don’t include homes completed with the assistance of the Help to </w:t>
      </w:r>
      <w:proofErr w:type="gramStart"/>
      <w:r w:rsidRPr="00E82F11">
        <w:rPr>
          <w:rFonts w:ascii="Arial" w:hAnsi="Arial" w:cs="Arial"/>
          <w:sz w:val="22"/>
          <w:szCs w:val="22"/>
        </w:rPr>
        <w:t>Buy</w:t>
      </w:r>
      <w:proofErr w:type="gramEnd"/>
      <w:r w:rsidRPr="00E82F11">
        <w:rPr>
          <w:rFonts w:ascii="Arial" w:hAnsi="Arial" w:cs="Arial"/>
          <w:sz w:val="22"/>
          <w:szCs w:val="22"/>
        </w:rPr>
        <w:t xml:space="preserve"> equity loan, which are due to be reported separately by DCLG on 9 December. </w:t>
      </w:r>
    </w:p>
    <w:p w:rsidR="00A92174" w:rsidRDefault="00A92174" w:rsidP="00A92174">
      <w:pPr>
        <w:spacing w:before="100" w:beforeAutospacing="1" w:after="100" w:afterAutospacing="1"/>
      </w:pPr>
      <w:r w:rsidRPr="00E82F11">
        <w:rPr>
          <w:rFonts w:ascii="Arial" w:hAnsi="Arial" w:cs="Arial"/>
          <w:sz w:val="22"/>
          <w:szCs w:val="22"/>
        </w:rPr>
        <w:lastRenderedPageBreak/>
        <w:t xml:space="preserve">To see the full breakdown of the statistics by area and tenure, visit </w:t>
      </w:r>
      <w:hyperlink r:id="rId18" w:history="1">
        <w:r w:rsidRPr="00E44013">
          <w:rPr>
            <w:rStyle w:val="Hyperlink"/>
          </w:rPr>
          <w:t>https://www.gov.uk/government/statistics/housing-statistics-1-april-2015-to-30-september-2015--2</w:t>
        </w:r>
      </w:hyperlink>
    </w:p>
    <w:p w:rsidR="007E2563" w:rsidRPr="007E2563" w:rsidRDefault="007E2563" w:rsidP="007E2563">
      <w:pPr>
        <w:rPr>
          <w:rFonts w:ascii="Arial" w:hAnsi="Arial" w:cs="Arial"/>
          <w:sz w:val="22"/>
          <w:szCs w:val="22"/>
        </w:rPr>
      </w:pPr>
      <w:r w:rsidRPr="007E2563">
        <w:rPr>
          <w:rFonts w:ascii="Arial" w:hAnsi="Arial" w:cs="Arial"/>
          <w:sz w:val="22"/>
          <w:szCs w:val="22"/>
        </w:rPr>
        <w:t>.</w:t>
      </w:r>
    </w:p>
    <w:p w:rsidR="007E2563" w:rsidRPr="007E2563" w:rsidRDefault="007E2563" w:rsidP="007E2563">
      <w:pPr>
        <w:rPr>
          <w:rFonts w:ascii="Arial" w:hAnsi="Arial" w:cs="Arial"/>
          <w:sz w:val="22"/>
          <w:szCs w:val="22"/>
        </w:rPr>
      </w:pPr>
    </w:p>
    <w:p w:rsidR="007E2563" w:rsidRPr="007E2563" w:rsidRDefault="007E2563" w:rsidP="007E2563">
      <w:pPr>
        <w:rPr>
          <w:rFonts w:ascii="Arial" w:hAnsi="Arial" w:cs="Arial"/>
          <w:sz w:val="22"/>
          <w:szCs w:val="22"/>
        </w:rPr>
      </w:pPr>
    </w:p>
    <w:p w:rsidR="006F42A9" w:rsidRPr="006F42A9" w:rsidRDefault="006F42A9" w:rsidP="006F42A9">
      <w:pPr>
        <w:spacing w:before="100" w:beforeAutospacing="1"/>
        <w:rPr>
          <w:rFonts w:ascii="Arial" w:hAnsi="Arial" w:cs="Arial"/>
          <w:sz w:val="22"/>
          <w:szCs w:val="22"/>
        </w:rPr>
      </w:pPr>
    </w:p>
    <w:sectPr w:rsidR="006F42A9" w:rsidRPr="006F42A9">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87" w:rsidRDefault="00F33187" w:rsidP="00824839">
      <w:r>
        <w:separator/>
      </w:r>
    </w:p>
  </w:endnote>
  <w:endnote w:type="continuationSeparator" w:id="0">
    <w:p w:rsidR="00F33187" w:rsidRDefault="00F33187" w:rsidP="0082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87" w:rsidRDefault="00F33187" w:rsidP="00824839">
    <w:pPr>
      <w:pStyle w:val="Footer"/>
    </w:pPr>
    <w:bookmarkStart w:id="1" w:name="aliashAdvancedFooterprot1FooterEvenPages"/>
  </w:p>
  <w:bookmarkEnd w:id="1"/>
  <w:p w:rsidR="00F33187" w:rsidRDefault="00F33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87" w:rsidRDefault="00F33187" w:rsidP="00824839">
    <w:pPr>
      <w:pStyle w:val="Footer"/>
    </w:pPr>
    <w:bookmarkStart w:id="2" w:name="aliashAdvancedFooterprotec1FooterPrimary"/>
  </w:p>
  <w:bookmarkEnd w:id="2"/>
  <w:p w:rsidR="00F33187" w:rsidRDefault="00F33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87" w:rsidRDefault="00F33187" w:rsidP="00824839">
    <w:pPr>
      <w:pStyle w:val="Footer"/>
    </w:pPr>
    <w:bookmarkStart w:id="3" w:name="aliashAdvancedFooterprot1FooterFirstPage"/>
  </w:p>
  <w:bookmarkEnd w:id="3"/>
  <w:p w:rsidR="00F33187" w:rsidRDefault="00F33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87" w:rsidRDefault="00F33187" w:rsidP="00824839">
      <w:r>
        <w:separator/>
      </w:r>
    </w:p>
  </w:footnote>
  <w:footnote w:type="continuationSeparator" w:id="0">
    <w:p w:rsidR="00F33187" w:rsidRDefault="00F33187" w:rsidP="00824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87" w:rsidRDefault="00F33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87" w:rsidRDefault="00F33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87" w:rsidRDefault="00F33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E0450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7F08C3"/>
    <w:multiLevelType w:val="hybridMultilevel"/>
    <w:tmpl w:val="A802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3571C"/>
    <w:multiLevelType w:val="hybridMultilevel"/>
    <w:tmpl w:val="17DA4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E9151C"/>
    <w:multiLevelType w:val="hybridMultilevel"/>
    <w:tmpl w:val="1A384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9C42113"/>
    <w:multiLevelType w:val="multilevel"/>
    <w:tmpl w:val="0396E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372BA3"/>
    <w:multiLevelType w:val="hybridMultilevel"/>
    <w:tmpl w:val="6BF89D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214B650A"/>
    <w:multiLevelType w:val="hybridMultilevel"/>
    <w:tmpl w:val="14D6D704"/>
    <w:lvl w:ilvl="0" w:tplc="08090001">
      <w:start w:val="1"/>
      <w:numFmt w:val="bullet"/>
      <w:lvlText w:val=""/>
      <w:lvlJc w:val="left"/>
      <w:pPr>
        <w:ind w:left="361" w:hanging="360"/>
      </w:pPr>
      <w:rPr>
        <w:rFonts w:ascii="Symbol" w:hAnsi="Symbol" w:hint="default"/>
      </w:rPr>
    </w:lvl>
    <w:lvl w:ilvl="1" w:tplc="F5823564">
      <w:start w:val="1"/>
      <w:numFmt w:val="bullet"/>
      <w:lvlText w:val="­"/>
      <w:lvlJc w:val="left"/>
      <w:pPr>
        <w:ind w:left="1081" w:hanging="360"/>
      </w:pPr>
      <w:rPr>
        <w:rFonts w:ascii="Courier New" w:hAnsi="Courier New" w:cs="Times New Roman" w:hint="default"/>
      </w:rPr>
    </w:lvl>
    <w:lvl w:ilvl="2" w:tplc="08090005">
      <w:start w:val="1"/>
      <w:numFmt w:val="bullet"/>
      <w:lvlText w:val=""/>
      <w:lvlJc w:val="left"/>
      <w:pPr>
        <w:ind w:left="1801" w:hanging="360"/>
      </w:pPr>
      <w:rPr>
        <w:rFonts w:ascii="Wingdings" w:hAnsi="Wingdings" w:hint="default"/>
      </w:rPr>
    </w:lvl>
    <w:lvl w:ilvl="3" w:tplc="08090001">
      <w:start w:val="1"/>
      <w:numFmt w:val="bullet"/>
      <w:lvlText w:val=""/>
      <w:lvlJc w:val="left"/>
      <w:pPr>
        <w:ind w:left="2521" w:hanging="360"/>
      </w:pPr>
      <w:rPr>
        <w:rFonts w:ascii="Symbol" w:hAnsi="Symbol" w:hint="default"/>
      </w:rPr>
    </w:lvl>
    <w:lvl w:ilvl="4" w:tplc="08090003">
      <w:start w:val="1"/>
      <w:numFmt w:val="bullet"/>
      <w:lvlText w:val="o"/>
      <w:lvlJc w:val="left"/>
      <w:pPr>
        <w:ind w:left="3241" w:hanging="360"/>
      </w:pPr>
      <w:rPr>
        <w:rFonts w:ascii="Courier New" w:hAnsi="Courier New" w:cs="Courier New" w:hint="default"/>
      </w:rPr>
    </w:lvl>
    <w:lvl w:ilvl="5" w:tplc="08090005">
      <w:start w:val="1"/>
      <w:numFmt w:val="bullet"/>
      <w:lvlText w:val=""/>
      <w:lvlJc w:val="left"/>
      <w:pPr>
        <w:ind w:left="3961" w:hanging="360"/>
      </w:pPr>
      <w:rPr>
        <w:rFonts w:ascii="Wingdings" w:hAnsi="Wingdings" w:hint="default"/>
      </w:rPr>
    </w:lvl>
    <w:lvl w:ilvl="6" w:tplc="08090001">
      <w:start w:val="1"/>
      <w:numFmt w:val="bullet"/>
      <w:lvlText w:val=""/>
      <w:lvlJc w:val="left"/>
      <w:pPr>
        <w:ind w:left="4681" w:hanging="360"/>
      </w:pPr>
      <w:rPr>
        <w:rFonts w:ascii="Symbol" w:hAnsi="Symbol" w:hint="default"/>
      </w:rPr>
    </w:lvl>
    <w:lvl w:ilvl="7" w:tplc="08090003">
      <w:start w:val="1"/>
      <w:numFmt w:val="bullet"/>
      <w:lvlText w:val="o"/>
      <w:lvlJc w:val="left"/>
      <w:pPr>
        <w:ind w:left="5401" w:hanging="360"/>
      </w:pPr>
      <w:rPr>
        <w:rFonts w:ascii="Courier New" w:hAnsi="Courier New" w:cs="Courier New" w:hint="default"/>
      </w:rPr>
    </w:lvl>
    <w:lvl w:ilvl="8" w:tplc="08090005">
      <w:start w:val="1"/>
      <w:numFmt w:val="bullet"/>
      <w:lvlText w:val=""/>
      <w:lvlJc w:val="left"/>
      <w:pPr>
        <w:ind w:left="6121" w:hanging="360"/>
      </w:pPr>
      <w:rPr>
        <w:rFonts w:ascii="Wingdings" w:hAnsi="Wingdings" w:hint="default"/>
      </w:rPr>
    </w:lvl>
  </w:abstractNum>
  <w:abstractNum w:abstractNumId="7">
    <w:nsid w:val="22624647"/>
    <w:multiLevelType w:val="hybridMultilevel"/>
    <w:tmpl w:val="E98E9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5254A2"/>
    <w:multiLevelType w:val="hybridMultilevel"/>
    <w:tmpl w:val="260E610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nsid w:val="38887092"/>
    <w:multiLevelType w:val="hybridMultilevel"/>
    <w:tmpl w:val="7BD40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C50E66"/>
    <w:multiLevelType w:val="hybridMultilevel"/>
    <w:tmpl w:val="61101BC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307280"/>
    <w:multiLevelType w:val="hybridMultilevel"/>
    <w:tmpl w:val="B0D8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9C310F"/>
    <w:multiLevelType w:val="hybridMultilevel"/>
    <w:tmpl w:val="A0D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3F739B"/>
    <w:multiLevelType w:val="hybridMultilevel"/>
    <w:tmpl w:val="A2AC1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093298E"/>
    <w:multiLevelType w:val="multilevel"/>
    <w:tmpl w:val="AD46C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8EF62FD"/>
    <w:multiLevelType w:val="hybridMultilevel"/>
    <w:tmpl w:val="84064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B1C6CFA"/>
    <w:multiLevelType w:val="hybridMultilevel"/>
    <w:tmpl w:val="FEA0E4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6CA82DCF"/>
    <w:multiLevelType w:val="hybridMultilevel"/>
    <w:tmpl w:val="1F1CF0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06A6C22"/>
    <w:multiLevelType w:val="multilevel"/>
    <w:tmpl w:val="5C70B3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7A7041"/>
    <w:multiLevelType w:val="hybridMultilevel"/>
    <w:tmpl w:val="87904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4A95186"/>
    <w:multiLevelType w:val="hybridMultilevel"/>
    <w:tmpl w:val="48601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474E55"/>
    <w:multiLevelType w:val="multilevel"/>
    <w:tmpl w:val="D036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526267"/>
    <w:multiLevelType w:val="hybridMultilevel"/>
    <w:tmpl w:val="AF3A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0"/>
    <w:lvlOverride w:ilvl="0">
      <w:lvl w:ilvl="0" w:tplc="08090011">
        <w:start w:val="1"/>
        <w:numFmt w:val="decimal"/>
        <w:lvlText w:val="%1)"/>
        <w:lvlJc w:val="left"/>
        <w:pPr>
          <w:ind w:left="644" w:hanging="644"/>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
    <w:abstractNumId w:val="18"/>
  </w:num>
  <w:num w:numId="5">
    <w:abstractNumId w:val="14"/>
  </w:num>
  <w:num w:numId="6">
    <w:abstractNumId w:val="11"/>
  </w:num>
  <w:num w:numId="7">
    <w:abstractNumId w:val="22"/>
  </w:num>
  <w:num w:numId="8">
    <w:abstractNumId w:val="16"/>
  </w:num>
  <w:num w:numId="9">
    <w:abstractNumId w:val="21"/>
  </w:num>
  <w:num w:numId="10">
    <w:abstractNumId w:val="20"/>
  </w:num>
  <w:num w:numId="11">
    <w:abstractNumId w:val="4"/>
  </w:num>
  <w:num w:numId="12">
    <w:abstractNumId w:val="1"/>
  </w:num>
  <w:num w:numId="13">
    <w:abstractNumId w:val="17"/>
  </w:num>
  <w:num w:numId="14">
    <w:abstractNumId w:val="7"/>
  </w:num>
  <w:num w:numId="15">
    <w:abstractNumId w:val="12"/>
  </w:num>
  <w:num w:numId="16">
    <w:abstractNumId w:val="0"/>
  </w:num>
  <w:num w:numId="17">
    <w:abstractNumId w:val="17"/>
  </w:num>
  <w:num w:numId="18">
    <w:abstractNumId w:val="6"/>
  </w:num>
  <w:num w:numId="19">
    <w:abstractNumId w:val="2"/>
  </w:num>
  <w:num w:numId="20">
    <w:abstractNumId w:val="19"/>
  </w:num>
  <w:num w:numId="21">
    <w:abstractNumId w:val="3"/>
  </w:num>
  <w:num w:numId="22">
    <w:abstractNumId w:val="8"/>
  </w:num>
  <w:num w:numId="23">
    <w:abstractNumId w:val="15"/>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39"/>
    <w:rsid w:val="000028C7"/>
    <w:rsid w:val="00010219"/>
    <w:rsid w:val="0003378F"/>
    <w:rsid w:val="00035287"/>
    <w:rsid w:val="00043453"/>
    <w:rsid w:val="00074E9E"/>
    <w:rsid w:val="00085F64"/>
    <w:rsid w:val="00086720"/>
    <w:rsid w:val="00091854"/>
    <w:rsid w:val="00093D5F"/>
    <w:rsid w:val="00097697"/>
    <w:rsid w:val="000A01E0"/>
    <w:rsid w:val="000B293F"/>
    <w:rsid w:val="000B63E7"/>
    <w:rsid w:val="000C0448"/>
    <w:rsid w:val="000C5A00"/>
    <w:rsid w:val="000E3CC1"/>
    <w:rsid w:val="000F1478"/>
    <w:rsid w:val="000F22F3"/>
    <w:rsid w:val="001047B3"/>
    <w:rsid w:val="00110131"/>
    <w:rsid w:val="001106DE"/>
    <w:rsid w:val="00115981"/>
    <w:rsid w:val="00116D5D"/>
    <w:rsid w:val="0012379F"/>
    <w:rsid w:val="00131205"/>
    <w:rsid w:val="00136C57"/>
    <w:rsid w:val="001424B9"/>
    <w:rsid w:val="00151DBC"/>
    <w:rsid w:val="00153036"/>
    <w:rsid w:val="00163484"/>
    <w:rsid w:val="00180EB0"/>
    <w:rsid w:val="00185D6F"/>
    <w:rsid w:val="001D0C45"/>
    <w:rsid w:val="001E1AEA"/>
    <w:rsid w:val="001F15D9"/>
    <w:rsid w:val="001F216C"/>
    <w:rsid w:val="001F6CE9"/>
    <w:rsid w:val="00201A75"/>
    <w:rsid w:val="00207D5F"/>
    <w:rsid w:val="00214E5D"/>
    <w:rsid w:val="002210A5"/>
    <w:rsid w:val="002216CD"/>
    <w:rsid w:val="0022437F"/>
    <w:rsid w:val="002279E9"/>
    <w:rsid w:val="00227CAD"/>
    <w:rsid w:val="00250B9C"/>
    <w:rsid w:val="00256CFF"/>
    <w:rsid w:val="0025775B"/>
    <w:rsid w:val="002634D3"/>
    <w:rsid w:val="00264BB6"/>
    <w:rsid w:val="00270BFA"/>
    <w:rsid w:val="00271503"/>
    <w:rsid w:val="00272B08"/>
    <w:rsid w:val="00290F42"/>
    <w:rsid w:val="00294F94"/>
    <w:rsid w:val="002A2308"/>
    <w:rsid w:val="002A6821"/>
    <w:rsid w:val="002B0622"/>
    <w:rsid w:val="002C4D4A"/>
    <w:rsid w:val="002D2895"/>
    <w:rsid w:val="002F57FF"/>
    <w:rsid w:val="00303431"/>
    <w:rsid w:val="003148A1"/>
    <w:rsid w:val="003174D2"/>
    <w:rsid w:val="00317B56"/>
    <w:rsid w:val="00321602"/>
    <w:rsid w:val="003268F1"/>
    <w:rsid w:val="003308AD"/>
    <w:rsid w:val="00350EB8"/>
    <w:rsid w:val="0035196F"/>
    <w:rsid w:val="00355ADE"/>
    <w:rsid w:val="003720A6"/>
    <w:rsid w:val="0037592A"/>
    <w:rsid w:val="00376D10"/>
    <w:rsid w:val="003775B8"/>
    <w:rsid w:val="00392EB4"/>
    <w:rsid w:val="003B3412"/>
    <w:rsid w:val="003B3588"/>
    <w:rsid w:val="003B6E3F"/>
    <w:rsid w:val="003C2FE1"/>
    <w:rsid w:val="003C3AEA"/>
    <w:rsid w:val="003C4E77"/>
    <w:rsid w:val="003E20DF"/>
    <w:rsid w:val="003E3E19"/>
    <w:rsid w:val="003E74A6"/>
    <w:rsid w:val="003F69E5"/>
    <w:rsid w:val="00403503"/>
    <w:rsid w:val="00406E9C"/>
    <w:rsid w:val="00412D16"/>
    <w:rsid w:val="00412E07"/>
    <w:rsid w:val="00413433"/>
    <w:rsid w:val="00416D60"/>
    <w:rsid w:val="00421D67"/>
    <w:rsid w:val="004266D7"/>
    <w:rsid w:val="00426BD7"/>
    <w:rsid w:val="00427992"/>
    <w:rsid w:val="00433559"/>
    <w:rsid w:val="00456780"/>
    <w:rsid w:val="00456D7B"/>
    <w:rsid w:val="0046130D"/>
    <w:rsid w:val="00467AD5"/>
    <w:rsid w:val="00467BCB"/>
    <w:rsid w:val="004755B4"/>
    <w:rsid w:val="004800C8"/>
    <w:rsid w:val="00484178"/>
    <w:rsid w:val="00490CD0"/>
    <w:rsid w:val="00491894"/>
    <w:rsid w:val="0049255A"/>
    <w:rsid w:val="004A4386"/>
    <w:rsid w:val="004A68CF"/>
    <w:rsid w:val="004B098B"/>
    <w:rsid w:val="004C4BB8"/>
    <w:rsid w:val="004D3D2D"/>
    <w:rsid w:val="004E1FE3"/>
    <w:rsid w:val="004E3F7E"/>
    <w:rsid w:val="004E72ED"/>
    <w:rsid w:val="00500A17"/>
    <w:rsid w:val="0052425C"/>
    <w:rsid w:val="00535DF8"/>
    <w:rsid w:val="0054559F"/>
    <w:rsid w:val="0055065D"/>
    <w:rsid w:val="005515AD"/>
    <w:rsid w:val="00573A25"/>
    <w:rsid w:val="00573AA6"/>
    <w:rsid w:val="00575FE6"/>
    <w:rsid w:val="00576897"/>
    <w:rsid w:val="00577D64"/>
    <w:rsid w:val="005B30F1"/>
    <w:rsid w:val="005C580F"/>
    <w:rsid w:val="005D002D"/>
    <w:rsid w:val="005D4124"/>
    <w:rsid w:val="005D6405"/>
    <w:rsid w:val="005E0E50"/>
    <w:rsid w:val="005F11F5"/>
    <w:rsid w:val="0061514E"/>
    <w:rsid w:val="00617BB7"/>
    <w:rsid w:val="006273AA"/>
    <w:rsid w:val="006323EE"/>
    <w:rsid w:val="00642C9F"/>
    <w:rsid w:val="006454E6"/>
    <w:rsid w:val="00651A9F"/>
    <w:rsid w:val="0066192A"/>
    <w:rsid w:val="00663C25"/>
    <w:rsid w:val="00687012"/>
    <w:rsid w:val="006A39CE"/>
    <w:rsid w:val="006A3B60"/>
    <w:rsid w:val="006A66BA"/>
    <w:rsid w:val="006B24B4"/>
    <w:rsid w:val="006C2698"/>
    <w:rsid w:val="006D03B0"/>
    <w:rsid w:val="006D0667"/>
    <w:rsid w:val="006D1654"/>
    <w:rsid w:val="006E6DEB"/>
    <w:rsid w:val="006F42A9"/>
    <w:rsid w:val="006F4FF3"/>
    <w:rsid w:val="00704E48"/>
    <w:rsid w:val="0071032C"/>
    <w:rsid w:val="007151D9"/>
    <w:rsid w:val="00715421"/>
    <w:rsid w:val="00722458"/>
    <w:rsid w:val="007229E8"/>
    <w:rsid w:val="00725628"/>
    <w:rsid w:val="00731136"/>
    <w:rsid w:val="00733135"/>
    <w:rsid w:val="00751F3D"/>
    <w:rsid w:val="0076656A"/>
    <w:rsid w:val="00774FB6"/>
    <w:rsid w:val="007810A9"/>
    <w:rsid w:val="00792DB8"/>
    <w:rsid w:val="00794D84"/>
    <w:rsid w:val="007A1396"/>
    <w:rsid w:val="007B3315"/>
    <w:rsid w:val="007B3538"/>
    <w:rsid w:val="007B4AFB"/>
    <w:rsid w:val="007D15A5"/>
    <w:rsid w:val="007E1D13"/>
    <w:rsid w:val="007E2563"/>
    <w:rsid w:val="007E3A1B"/>
    <w:rsid w:val="007F5CC6"/>
    <w:rsid w:val="0081201C"/>
    <w:rsid w:val="00812775"/>
    <w:rsid w:val="00824839"/>
    <w:rsid w:val="00836E66"/>
    <w:rsid w:val="008429D0"/>
    <w:rsid w:val="00846D35"/>
    <w:rsid w:val="008526DD"/>
    <w:rsid w:val="008601A3"/>
    <w:rsid w:val="008701E8"/>
    <w:rsid w:val="00870797"/>
    <w:rsid w:val="00871756"/>
    <w:rsid w:val="00874ADF"/>
    <w:rsid w:val="00877E10"/>
    <w:rsid w:val="00893FF5"/>
    <w:rsid w:val="008A3B72"/>
    <w:rsid w:val="008C5150"/>
    <w:rsid w:val="008D2327"/>
    <w:rsid w:val="008D3F52"/>
    <w:rsid w:val="008F4472"/>
    <w:rsid w:val="008F71AF"/>
    <w:rsid w:val="00901263"/>
    <w:rsid w:val="009100B2"/>
    <w:rsid w:val="009144BB"/>
    <w:rsid w:val="00920C6A"/>
    <w:rsid w:val="009406D6"/>
    <w:rsid w:val="00942B53"/>
    <w:rsid w:val="009440C3"/>
    <w:rsid w:val="00950980"/>
    <w:rsid w:val="00955BBB"/>
    <w:rsid w:val="00960D5C"/>
    <w:rsid w:val="009713C2"/>
    <w:rsid w:val="00973FA5"/>
    <w:rsid w:val="009761B8"/>
    <w:rsid w:val="0099483E"/>
    <w:rsid w:val="009A66BB"/>
    <w:rsid w:val="009A7428"/>
    <w:rsid w:val="009C5098"/>
    <w:rsid w:val="009C653B"/>
    <w:rsid w:val="009D0001"/>
    <w:rsid w:val="009D0B64"/>
    <w:rsid w:val="009D1B6E"/>
    <w:rsid w:val="009F4267"/>
    <w:rsid w:val="009F42A0"/>
    <w:rsid w:val="00A024FA"/>
    <w:rsid w:val="00A032B1"/>
    <w:rsid w:val="00A05833"/>
    <w:rsid w:val="00A13345"/>
    <w:rsid w:val="00A164E5"/>
    <w:rsid w:val="00A2351C"/>
    <w:rsid w:val="00A251CE"/>
    <w:rsid w:val="00A35FA2"/>
    <w:rsid w:val="00A43E42"/>
    <w:rsid w:val="00A56B03"/>
    <w:rsid w:val="00A60EB0"/>
    <w:rsid w:val="00A614FB"/>
    <w:rsid w:val="00A701C3"/>
    <w:rsid w:val="00A83C2C"/>
    <w:rsid w:val="00A85651"/>
    <w:rsid w:val="00A866CC"/>
    <w:rsid w:val="00A92174"/>
    <w:rsid w:val="00A953F6"/>
    <w:rsid w:val="00AA7952"/>
    <w:rsid w:val="00AB4620"/>
    <w:rsid w:val="00AB65ED"/>
    <w:rsid w:val="00AC3C42"/>
    <w:rsid w:val="00AC747B"/>
    <w:rsid w:val="00AD0D80"/>
    <w:rsid w:val="00AE0B03"/>
    <w:rsid w:val="00AE1196"/>
    <w:rsid w:val="00AF0B84"/>
    <w:rsid w:val="00AF19C4"/>
    <w:rsid w:val="00AF1C0B"/>
    <w:rsid w:val="00AF412F"/>
    <w:rsid w:val="00B0068A"/>
    <w:rsid w:val="00B06290"/>
    <w:rsid w:val="00B07952"/>
    <w:rsid w:val="00B143E2"/>
    <w:rsid w:val="00B30899"/>
    <w:rsid w:val="00B31137"/>
    <w:rsid w:val="00B35D73"/>
    <w:rsid w:val="00B375F6"/>
    <w:rsid w:val="00B43731"/>
    <w:rsid w:val="00B46198"/>
    <w:rsid w:val="00B46856"/>
    <w:rsid w:val="00B47164"/>
    <w:rsid w:val="00B544C9"/>
    <w:rsid w:val="00B80FFF"/>
    <w:rsid w:val="00B82B33"/>
    <w:rsid w:val="00B95E37"/>
    <w:rsid w:val="00BA2A58"/>
    <w:rsid w:val="00BA5754"/>
    <w:rsid w:val="00BB7FAC"/>
    <w:rsid w:val="00BC27EC"/>
    <w:rsid w:val="00BE0DB2"/>
    <w:rsid w:val="00BF5D31"/>
    <w:rsid w:val="00C01041"/>
    <w:rsid w:val="00C21A5D"/>
    <w:rsid w:val="00C269B0"/>
    <w:rsid w:val="00C62D03"/>
    <w:rsid w:val="00C630C3"/>
    <w:rsid w:val="00C70932"/>
    <w:rsid w:val="00C87133"/>
    <w:rsid w:val="00C926DD"/>
    <w:rsid w:val="00CA065A"/>
    <w:rsid w:val="00CA6DB3"/>
    <w:rsid w:val="00CB623D"/>
    <w:rsid w:val="00CC1CD1"/>
    <w:rsid w:val="00CE00E9"/>
    <w:rsid w:val="00CF037D"/>
    <w:rsid w:val="00CF11D8"/>
    <w:rsid w:val="00CF3334"/>
    <w:rsid w:val="00D03337"/>
    <w:rsid w:val="00D0700D"/>
    <w:rsid w:val="00D0722A"/>
    <w:rsid w:val="00D30EF0"/>
    <w:rsid w:val="00D3217A"/>
    <w:rsid w:val="00D61BC6"/>
    <w:rsid w:val="00D65F55"/>
    <w:rsid w:val="00D71969"/>
    <w:rsid w:val="00D82520"/>
    <w:rsid w:val="00D84AAF"/>
    <w:rsid w:val="00D91706"/>
    <w:rsid w:val="00DA56F0"/>
    <w:rsid w:val="00DB41EA"/>
    <w:rsid w:val="00DC39F8"/>
    <w:rsid w:val="00DD2499"/>
    <w:rsid w:val="00DD75D3"/>
    <w:rsid w:val="00DF1082"/>
    <w:rsid w:val="00DF35D5"/>
    <w:rsid w:val="00DF3876"/>
    <w:rsid w:val="00DF64EE"/>
    <w:rsid w:val="00E2585C"/>
    <w:rsid w:val="00E40F03"/>
    <w:rsid w:val="00E41107"/>
    <w:rsid w:val="00E527BD"/>
    <w:rsid w:val="00E56A3D"/>
    <w:rsid w:val="00E64B47"/>
    <w:rsid w:val="00E73C3D"/>
    <w:rsid w:val="00E776F8"/>
    <w:rsid w:val="00E82F11"/>
    <w:rsid w:val="00E830BD"/>
    <w:rsid w:val="00E9548A"/>
    <w:rsid w:val="00EA0BF0"/>
    <w:rsid w:val="00EC03D5"/>
    <w:rsid w:val="00EC7541"/>
    <w:rsid w:val="00ED2219"/>
    <w:rsid w:val="00ED729C"/>
    <w:rsid w:val="00EE123C"/>
    <w:rsid w:val="00EE3FC8"/>
    <w:rsid w:val="00EF2ED2"/>
    <w:rsid w:val="00EF78C8"/>
    <w:rsid w:val="00F079E8"/>
    <w:rsid w:val="00F156DC"/>
    <w:rsid w:val="00F31C97"/>
    <w:rsid w:val="00F33187"/>
    <w:rsid w:val="00F36F19"/>
    <w:rsid w:val="00F3751E"/>
    <w:rsid w:val="00F407BD"/>
    <w:rsid w:val="00F5209C"/>
    <w:rsid w:val="00F614EC"/>
    <w:rsid w:val="00F716B5"/>
    <w:rsid w:val="00F869C0"/>
    <w:rsid w:val="00F87893"/>
    <w:rsid w:val="00F908C2"/>
    <w:rsid w:val="00F93356"/>
    <w:rsid w:val="00FD1A58"/>
    <w:rsid w:val="00FD4E42"/>
    <w:rsid w:val="00FD6539"/>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2" w:uiPriority="99" w:qFormat="1"/>
    <w:lsdException w:name="Title" w:qFormat="1"/>
    <w:lsdException w:name="Body Text" w:uiPriority="99"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839"/>
    <w:rPr>
      <w:sz w:val="24"/>
      <w:szCs w:val="24"/>
    </w:rPr>
  </w:style>
  <w:style w:type="paragraph" w:styleId="Heading1">
    <w:name w:val="heading 1"/>
    <w:basedOn w:val="Normal"/>
    <w:next w:val="BodyText"/>
    <w:link w:val="Heading1Char"/>
    <w:qFormat/>
    <w:rsid w:val="00651A9F"/>
    <w:pPr>
      <w:keepNext/>
      <w:keepLines/>
      <w:spacing w:before="200" w:after="200"/>
      <w:outlineLvl w:val="0"/>
    </w:pPr>
    <w:rPr>
      <w:rFonts w:ascii="Arial" w:hAnsi="Arial"/>
      <w:b/>
      <w:bCs/>
      <w:sz w:val="32"/>
      <w:szCs w:val="28"/>
    </w:rPr>
  </w:style>
  <w:style w:type="paragraph" w:styleId="Heading2">
    <w:name w:val="heading 2"/>
    <w:basedOn w:val="Normal"/>
    <w:next w:val="BodyText"/>
    <w:link w:val="Heading2Char"/>
    <w:semiHidden/>
    <w:unhideWhenUsed/>
    <w:qFormat/>
    <w:rsid w:val="00651A9F"/>
    <w:pPr>
      <w:keepNext/>
      <w:keepLines/>
      <w:spacing w:before="200" w:after="100"/>
      <w:outlineLvl w:val="1"/>
    </w:pPr>
    <w:rPr>
      <w:rFonts w:ascii="Arial" w:hAnsi="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824839"/>
    <w:pPr>
      <w:ind w:left="720"/>
      <w:contextualSpacing/>
    </w:pPr>
  </w:style>
  <w:style w:type="paragraph" w:styleId="NormalWeb">
    <w:name w:val="Normal (Web)"/>
    <w:basedOn w:val="Normal"/>
    <w:uiPriority w:val="99"/>
    <w:unhideWhenUsed/>
    <w:rsid w:val="00824839"/>
    <w:pPr>
      <w:spacing w:before="100" w:beforeAutospacing="1" w:after="100" w:afterAutospacing="1"/>
    </w:pPr>
  </w:style>
  <w:style w:type="character" w:styleId="Hyperlink">
    <w:name w:val="Hyperlink"/>
    <w:basedOn w:val="DefaultParagraphFont"/>
    <w:rsid w:val="00824839"/>
    <w:rPr>
      <w:color w:val="0000FF" w:themeColor="hyperlink"/>
      <w:u w:val="single"/>
    </w:rPr>
  </w:style>
  <w:style w:type="paragraph" w:customStyle="1" w:styleId="Default">
    <w:name w:val="Default"/>
    <w:rsid w:val="00824839"/>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824839"/>
    <w:rPr>
      <w:b/>
      <w:bCs/>
    </w:rPr>
  </w:style>
  <w:style w:type="character" w:styleId="Emphasis">
    <w:name w:val="Emphasis"/>
    <w:basedOn w:val="DefaultParagraphFont"/>
    <w:uiPriority w:val="20"/>
    <w:qFormat/>
    <w:rsid w:val="00824839"/>
    <w:rPr>
      <w:i/>
      <w:iCs/>
    </w:rPr>
  </w:style>
  <w:style w:type="character" w:styleId="FollowedHyperlink">
    <w:name w:val="FollowedHyperlink"/>
    <w:basedOn w:val="DefaultParagraphFont"/>
    <w:rsid w:val="00824839"/>
    <w:rPr>
      <w:color w:val="800080" w:themeColor="followedHyperlink"/>
      <w:u w:val="single"/>
    </w:rPr>
  </w:style>
  <w:style w:type="paragraph" w:styleId="Header">
    <w:name w:val="header"/>
    <w:basedOn w:val="Normal"/>
    <w:link w:val="HeaderChar"/>
    <w:rsid w:val="00824839"/>
    <w:pPr>
      <w:tabs>
        <w:tab w:val="center" w:pos="4513"/>
        <w:tab w:val="right" w:pos="9026"/>
      </w:tabs>
    </w:pPr>
  </w:style>
  <w:style w:type="character" w:customStyle="1" w:styleId="HeaderChar">
    <w:name w:val="Header Char"/>
    <w:basedOn w:val="DefaultParagraphFont"/>
    <w:link w:val="Header"/>
    <w:rsid w:val="00824839"/>
    <w:rPr>
      <w:sz w:val="24"/>
      <w:szCs w:val="24"/>
    </w:rPr>
  </w:style>
  <w:style w:type="paragraph" w:styleId="Footer">
    <w:name w:val="footer"/>
    <w:basedOn w:val="Normal"/>
    <w:link w:val="FooterChar"/>
    <w:rsid w:val="00824839"/>
    <w:pPr>
      <w:tabs>
        <w:tab w:val="center" w:pos="4513"/>
        <w:tab w:val="right" w:pos="9026"/>
      </w:tabs>
    </w:pPr>
  </w:style>
  <w:style w:type="character" w:customStyle="1" w:styleId="FooterChar">
    <w:name w:val="Footer Char"/>
    <w:basedOn w:val="DefaultParagraphFont"/>
    <w:link w:val="Footer"/>
    <w:rsid w:val="00824839"/>
    <w:rPr>
      <w:sz w:val="24"/>
      <w:szCs w:val="24"/>
    </w:rPr>
  </w:style>
  <w:style w:type="paragraph" w:styleId="BalloonText">
    <w:name w:val="Balloon Text"/>
    <w:basedOn w:val="Normal"/>
    <w:link w:val="BalloonTextChar"/>
    <w:rsid w:val="00271503"/>
    <w:rPr>
      <w:rFonts w:ascii="Tahoma" w:hAnsi="Tahoma" w:cs="Tahoma"/>
      <w:sz w:val="16"/>
      <w:szCs w:val="16"/>
    </w:rPr>
  </w:style>
  <w:style w:type="character" w:customStyle="1" w:styleId="BalloonTextChar">
    <w:name w:val="Balloon Text Char"/>
    <w:basedOn w:val="DefaultParagraphFont"/>
    <w:link w:val="BalloonText"/>
    <w:rsid w:val="00271503"/>
    <w:rPr>
      <w:rFonts w:ascii="Tahoma" w:hAnsi="Tahoma" w:cs="Tahoma"/>
      <w:sz w:val="16"/>
      <w:szCs w:val="16"/>
    </w:rPr>
  </w:style>
  <w:style w:type="character" w:customStyle="1" w:styleId="Heading1Char">
    <w:name w:val="Heading 1 Char"/>
    <w:basedOn w:val="DefaultParagraphFont"/>
    <w:link w:val="Heading1"/>
    <w:rsid w:val="00651A9F"/>
    <w:rPr>
      <w:rFonts w:ascii="Arial" w:hAnsi="Arial"/>
      <w:b/>
      <w:bCs/>
      <w:sz w:val="32"/>
      <w:szCs w:val="28"/>
    </w:rPr>
  </w:style>
  <w:style w:type="character" w:customStyle="1" w:styleId="Heading2Char">
    <w:name w:val="Heading 2 Char"/>
    <w:basedOn w:val="DefaultParagraphFont"/>
    <w:link w:val="Heading2"/>
    <w:semiHidden/>
    <w:rsid w:val="00651A9F"/>
    <w:rPr>
      <w:rFonts w:ascii="Arial" w:hAnsi="Arial"/>
      <w:b/>
      <w:bCs/>
      <w:sz w:val="28"/>
      <w:szCs w:val="26"/>
    </w:rPr>
  </w:style>
  <w:style w:type="paragraph" w:styleId="BodyText">
    <w:name w:val="Body Text"/>
    <w:basedOn w:val="Normal"/>
    <w:link w:val="BodyTextChar"/>
    <w:uiPriority w:val="99"/>
    <w:unhideWhenUsed/>
    <w:qFormat/>
    <w:rsid w:val="00651A9F"/>
    <w:pPr>
      <w:spacing w:after="165" w:line="260" w:lineRule="atLeast"/>
    </w:pPr>
    <w:rPr>
      <w:rFonts w:ascii="Arial" w:hAnsi="Arial"/>
      <w:sz w:val="22"/>
    </w:rPr>
  </w:style>
  <w:style w:type="character" w:customStyle="1" w:styleId="BodyTextChar">
    <w:name w:val="Body Text Char"/>
    <w:basedOn w:val="DefaultParagraphFont"/>
    <w:link w:val="BodyText"/>
    <w:uiPriority w:val="99"/>
    <w:rsid w:val="00651A9F"/>
    <w:rPr>
      <w:rFonts w:ascii="Arial" w:hAnsi="Arial"/>
      <w:sz w:val="22"/>
      <w:szCs w:val="24"/>
    </w:rPr>
  </w:style>
  <w:style w:type="paragraph" w:styleId="ListBullet2">
    <w:name w:val="List Bullet 2"/>
    <w:basedOn w:val="Normal"/>
    <w:uiPriority w:val="99"/>
    <w:unhideWhenUsed/>
    <w:qFormat/>
    <w:rsid w:val="00651A9F"/>
    <w:pPr>
      <w:numPr>
        <w:numId w:val="16"/>
      </w:numPr>
      <w:contextualSpacing/>
    </w:pPr>
    <w:rPr>
      <w:rFonts w:ascii="Arial" w:hAnsi="Arial"/>
      <w:sz w:val="22"/>
    </w:rPr>
  </w:style>
  <w:style w:type="paragraph" w:styleId="NoSpacing">
    <w:name w:val="No Spacing"/>
    <w:uiPriority w:val="1"/>
    <w:qFormat/>
    <w:rsid w:val="00651A9F"/>
    <w:rPr>
      <w:sz w:val="24"/>
      <w:szCs w:val="24"/>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651A9F"/>
    <w:rPr>
      <w:sz w:val="24"/>
      <w:szCs w:val="24"/>
    </w:rPr>
  </w:style>
  <w:style w:type="character" w:customStyle="1" w:styleId="ColouredText">
    <w:name w:val="Coloured Text"/>
    <w:basedOn w:val="DefaultParagraphFont"/>
    <w:rsid w:val="00651A9F"/>
    <w:rPr>
      <w:color w:val="5A7324"/>
    </w:rPr>
  </w:style>
  <w:style w:type="table" w:styleId="TableGrid">
    <w:name w:val="Table Grid"/>
    <w:basedOn w:val="TableNormal"/>
    <w:uiPriority w:val="59"/>
    <w:rsid w:val="002634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2" w:uiPriority="99" w:qFormat="1"/>
    <w:lsdException w:name="Title" w:qFormat="1"/>
    <w:lsdException w:name="Body Text" w:uiPriority="99"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839"/>
    <w:rPr>
      <w:sz w:val="24"/>
      <w:szCs w:val="24"/>
    </w:rPr>
  </w:style>
  <w:style w:type="paragraph" w:styleId="Heading1">
    <w:name w:val="heading 1"/>
    <w:basedOn w:val="Normal"/>
    <w:next w:val="BodyText"/>
    <w:link w:val="Heading1Char"/>
    <w:qFormat/>
    <w:rsid w:val="00651A9F"/>
    <w:pPr>
      <w:keepNext/>
      <w:keepLines/>
      <w:spacing w:before="200" w:after="200"/>
      <w:outlineLvl w:val="0"/>
    </w:pPr>
    <w:rPr>
      <w:rFonts w:ascii="Arial" w:hAnsi="Arial"/>
      <w:b/>
      <w:bCs/>
      <w:sz w:val="32"/>
      <w:szCs w:val="28"/>
    </w:rPr>
  </w:style>
  <w:style w:type="paragraph" w:styleId="Heading2">
    <w:name w:val="heading 2"/>
    <w:basedOn w:val="Normal"/>
    <w:next w:val="BodyText"/>
    <w:link w:val="Heading2Char"/>
    <w:semiHidden/>
    <w:unhideWhenUsed/>
    <w:qFormat/>
    <w:rsid w:val="00651A9F"/>
    <w:pPr>
      <w:keepNext/>
      <w:keepLines/>
      <w:spacing w:before="200" w:after="100"/>
      <w:outlineLvl w:val="1"/>
    </w:pPr>
    <w:rPr>
      <w:rFonts w:ascii="Arial" w:hAnsi="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824839"/>
    <w:pPr>
      <w:ind w:left="720"/>
      <w:contextualSpacing/>
    </w:pPr>
  </w:style>
  <w:style w:type="paragraph" w:styleId="NormalWeb">
    <w:name w:val="Normal (Web)"/>
    <w:basedOn w:val="Normal"/>
    <w:uiPriority w:val="99"/>
    <w:unhideWhenUsed/>
    <w:rsid w:val="00824839"/>
    <w:pPr>
      <w:spacing w:before="100" w:beforeAutospacing="1" w:after="100" w:afterAutospacing="1"/>
    </w:pPr>
  </w:style>
  <w:style w:type="character" w:styleId="Hyperlink">
    <w:name w:val="Hyperlink"/>
    <w:basedOn w:val="DefaultParagraphFont"/>
    <w:rsid w:val="00824839"/>
    <w:rPr>
      <w:color w:val="0000FF" w:themeColor="hyperlink"/>
      <w:u w:val="single"/>
    </w:rPr>
  </w:style>
  <w:style w:type="paragraph" w:customStyle="1" w:styleId="Default">
    <w:name w:val="Default"/>
    <w:rsid w:val="00824839"/>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824839"/>
    <w:rPr>
      <w:b/>
      <w:bCs/>
    </w:rPr>
  </w:style>
  <w:style w:type="character" w:styleId="Emphasis">
    <w:name w:val="Emphasis"/>
    <w:basedOn w:val="DefaultParagraphFont"/>
    <w:uiPriority w:val="20"/>
    <w:qFormat/>
    <w:rsid w:val="00824839"/>
    <w:rPr>
      <w:i/>
      <w:iCs/>
    </w:rPr>
  </w:style>
  <w:style w:type="character" w:styleId="FollowedHyperlink">
    <w:name w:val="FollowedHyperlink"/>
    <w:basedOn w:val="DefaultParagraphFont"/>
    <w:rsid w:val="00824839"/>
    <w:rPr>
      <w:color w:val="800080" w:themeColor="followedHyperlink"/>
      <w:u w:val="single"/>
    </w:rPr>
  </w:style>
  <w:style w:type="paragraph" w:styleId="Header">
    <w:name w:val="header"/>
    <w:basedOn w:val="Normal"/>
    <w:link w:val="HeaderChar"/>
    <w:rsid w:val="00824839"/>
    <w:pPr>
      <w:tabs>
        <w:tab w:val="center" w:pos="4513"/>
        <w:tab w:val="right" w:pos="9026"/>
      </w:tabs>
    </w:pPr>
  </w:style>
  <w:style w:type="character" w:customStyle="1" w:styleId="HeaderChar">
    <w:name w:val="Header Char"/>
    <w:basedOn w:val="DefaultParagraphFont"/>
    <w:link w:val="Header"/>
    <w:rsid w:val="00824839"/>
    <w:rPr>
      <w:sz w:val="24"/>
      <w:szCs w:val="24"/>
    </w:rPr>
  </w:style>
  <w:style w:type="paragraph" w:styleId="Footer">
    <w:name w:val="footer"/>
    <w:basedOn w:val="Normal"/>
    <w:link w:val="FooterChar"/>
    <w:rsid w:val="00824839"/>
    <w:pPr>
      <w:tabs>
        <w:tab w:val="center" w:pos="4513"/>
        <w:tab w:val="right" w:pos="9026"/>
      </w:tabs>
    </w:pPr>
  </w:style>
  <w:style w:type="character" w:customStyle="1" w:styleId="FooterChar">
    <w:name w:val="Footer Char"/>
    <w:basedOn w:val="DefaultParagraphFont"/>
    <w:link w:val="Footer"/>
    <w:rsid w:val="00824839"/>
    <w:rPr>
      <w:sz w:val="24"/>
      <w:szCs w:val="24"/>
    </w:rPr>
  </w:style>
  <w:style w:type="paragraph" w:styleId="BalloonText">
    <w:name w:val="Balloon Text"/>
    <w:basedOn w:val="Normal"/>
    <w:link w:val="BalloonTextChar"/>
    <w:rsid w:val="00271503"/>
    <w:rPr>
      <w:rFonts w:ascii="Tahoma" w:hAnsi="Tahoma" w:cs="Tahoma"/>
      <w:sz w:val="16"/>
      <w:szCs w:val="16"/>
    </w:rPr>
  </w:style>
  <w:style w:type="character" w:customStyle="1" w:styleId="BalloonTextChar">
    <w:name w:val="Balloon Text Char"/>
    <w:basedOn w:val="DefaultParagraphFont"/>
    <w:link w:val="BalloonText"/>
    <w:rsid w:val="00271503"/>
    <w:rPr>
      <w:rFonts w:ascii="Tahoma" w:hAnsi="Tahoma" w:cs="Tahoma"/>
      <w:sz w:val="16"/>
      <w:szCs w:val="16"/>
    </w:rPr>
  </w:style>
  <w:style w:type="character" w:customStyle="1" w:styleId="Heading1Char">
    <w:name w:val="Heading 1 Char"/>
    <w:basedOn w:val="DefaultParagraphFont"/>
    <w:link w:val="Heading1"/>
    <w:rsid w:val="00651A9F"/>
    <w:rPr>
      <w:rFonts w:ascii="Arial" w:hAnsi="Arial"/>
      <w:b/>
      <w:bCs/>
      <w:sz w:val="32"/>
      <w:szCs w:val="28"/>
    </w:rPr>
  </w:style>
  <w:style w:type="character" w:customStyle="1" w:styleId="Heading2Char">
    <w:name w:val="Heading 2 Char"/>
    <w:basedOn w:val="DefaultParagraphFont"/>
    <w:link w:val="Heading2"/>
    <w:semiHidden/>
    <w:rsid w:val="00651A9F"/>
    <w:rPr>
      <w:rFonts w:ascii="Arial" w:hAnsi="Arial"/>
      <w:b/>
      <w:bCs/>
      <w:sz w:val="28"/>
      <w:szCs w:val="26"/>
    </w:rPr>
  </w:style>
  <w:style w:type="paragraph" w:styleId="BodyText">
    <w:name w:val="Body Text"/>
    <w:basedOn w:val="Normal"/>
    <w:link w:val="BodyTextChar"/>
    <w:uiPriority w:val="99"/>
    <w:unhideWhenUsed/>
    <w:qFormat/>
    <w:rsid w:val="00651A9F"/>
    <w:pPr>
      <w:spacing w:after="165" w:line="260" w:lineRule="atLeast"/>
    </w:pPr>
    <w:rPr>
      <w:rFonts w:ascii="Arial" w:hAnsi="Arial"/>
      <w:sz w:val="22"/>
    </w:rPr>
  </w:style>
  <w:style w:type="character" w:customStyle="1" w:styleId="BodyTextChar">
    <w:name w:val="Body Text Char"/>
    <w:basedOn w:val="DefaultParagraphFont"/>
    <w:link w:val="BodyText"/>
    <w:uiPriority w:val="99"/>
    <w:rsid w:val="00651A9F"/>
    <w:rPr>
      <w:rFonts w:ascii="Arial" w:hAnsi="Arial"/>
      <w:sz w:val="22"/>
      <w:szCs w:val="24"/>
    </w:rPr>
  </w:style>
  <w:style w:type="paragraph" w:styleId="ListBullet2">
    <w:name w:val="List Bullet 2"/>
    <w:basedOn w:val="Normal"/>
    <w:uiPriority w:val="99"/>
    <w:unhideWhenUsed/>
    <w:qFormat/>
    <w:rsid w:val="00651A9F"/>
    <w:pPr>
      <w:numPr>
        <w:numId w:val="16"/>
      </w:numPr>
      <w:contextualSpacing/>
    </w:pPr>
    <w:rPr>
      <w:rFonts w:ascii="Arial" w:hAnsi="Arial"/>
      <w:sz w:val="22"/>
    </w:rPr>
  </w:style>
  <w:style w:type="paragraph" w:styleId="NoSpacing">
    <w:name w:val="No Spacing"/>
    <w:uiPriority w:val="1"/>
    <w:qFormat/>
    <w:rsid w:val="00651A9F"/>
    <w:rPr>
      <w:sz w:val="24"/>
      <w:szCs w:val="24"/>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651A9F"/>
    <w:rPr>
      <w:sz w:val="24"/>
      <w:szCs w:val="24"/>
    </w:rPr>
  </w:style>
  <w:style w:type="character" w:customStyle="1" w:styleId="ColouredText">
    <w:name w:val="Coloured Text"/>
    <w:basedOn w:val="DefaultParagraphFont"/>
    <w:rsid w:val="00651A9F"/>
    <w:rPr>
      <w:color w:val="5A7324"/>
    </w:rPr>
  </w:style>
  <w:style w:type="table" w:styleId="TableGrid">
    <w:name w:val="Table Grid"/>
    <w:basedOn w:val="TableNormal"/>
    <w:uiPriority w:val="59"/>
    <w:rsid w:val="002634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536">
      <w:bodyDiv w:val="1"/>
      <w:marLeft w:val="0"/>
      <w:marRight w:val="0"/>
      <w:marTop w:val="0"/>
      <w:marBottom w:val="0"/>
      <w:divBdr>
        <w:top w:val="none" w:sz="0" w:space="0" w:color="auto"/>
        <w:left w:val="none" w:sz="0" w:space="0" w:color="auto"/>
        <w:bottom w:val="none" w:sz="0" w:space="0" w:color="auto"/>
        <w:right w:val="none" w:sz="0" w:space="0" w:color="auto"/>
      </w:divBdr>
    </w:div>
    <w:div w:id="29730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84915">
          <w:marLeft w:val="0"/>
          <w:marRight w:val="0"/>
          <w:marTop w:val="0"/>
          <w:marBottom w:val="0"/>
          <w:divBdr>
            <w:top w:val="none" w:sz="0" w:space="0" w:color="auto"/>
            <w:left w:val="none" w:sz="0" w:space="0" w:color="auto"/>
            <w:bottom w:val="none" w:sz="0" w:space="0" w:color="auto"/>
            <w:right w:val="none" w:sz="0" w:space="0" w:color="auto"/>
          </w:divBdr>
          <w:divsChild>
            <w:div w:id="1691103477">
              <w:marLeft w:val="0"/>
              <w:marRight w:val="0"/>
              <w:marTop w:val="0"/>
              <w:marBottom w:val="0"/>
              <w:divBdr>
                <w:top w:val="none" w:sz="0" w:space="0" w:color="auto"/>
                <w:left w:val="none" w:sz="0" w:space="0" w:color="auto"/>
                <w:bottom w:val="none" w:sz="0" w:space="0" w:color="auto"/>
                <w:right w:val="none" w:sz="0" w:space="0" w:color="auto"/>
              </w:divBdr>
              <w:divsChild>
                <w:div w:id="1877350875">
                  <w:marLeft w:val="0"/>
                  <w:marRight w:val="0"/>
                  <w:marTop w:val="0"/>
                  <w:marBottom w:val="0"/>
                  <w:divBdr>
                    <w:top w:val="none" w:sz="0" w:space="0" w:color="auto"/>
                    <w:left w:val="none" w:sz="0" w:space="0" w:color="auto"/>
                    <w:bottom w:val="none" w:sz="0" w:space="0" w:color="auto"/>
                    <w:right w:val="none" w:sz="0" w:space="0" w:color="auto"/>
                  </w:divBdr>
                  <w:divsChild>
                    <w:div w:id="131096542">
                      <w:marLeft w:val="0"/>
                      <w:marRight w:val="0"/>
                      <w:marTop w:val="0"/>
                      <w:marBottom w:val="0"/>
                      <w:divBdr>
                        <w:top w:val="none" w:sz="0" w:space="0" w:color="auto"/>
                        <w:left w:val="none" w:sz="0" w:space="0" w:color="auto"/>
                        <w:bottom w:val="none" w:sz="0" w:space="0" w:color="auto"/>
                        <w:right w:val="none" w:sz="0" w:space="0" w:color="auto"/>
                      </w:divBdr>
                      <w:divsChild>
                        <w:div w:id="1005782630">
                          <w:marLeft w:val="0"/>
                          <w:marRight w:val="0"/>
                          <w:marTop w:val="0"/>
                          <w:marBottom w:val="0"/>
                          <w:divBdr>
                            <w:top w:val="none" w:sz="0" w:space="0" w:color="auto"/>
                            <w:left w:val="none" w:sz="0" w:space="0" w:color="auto"/>
                            <w:bottom w:val="none" w:sz="0" w:space="0" w:color="auto"/>
                            <w:right w:val="none" w:sz="0" w:space="0" w:color="auto"/>
                          </w:divBdr>
                          <w:divsChild>
                            <w:div w:id="643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14232">
      <w:bodyDiv w:val="1"/>
      <w:marLeft w:val="0"/>
      <w:marRight w:val="0"/>
      <w:marTop w:val="0"/>
      <w:marBottom w:val="0"/>
      <w:divBdr>
        <w:top w:val="none" w:sz="0" w:space="0" w:color="auto"/>
        <w:left w:val="none" w:sz="0" w:space="0" w:color="auto"/>
        <w:bottom w:val="none" w:sz="0" w:space="0" w:color="auto"/>
        <w:right w:val="none" w:sz="0" w:space="0" w:color="auto"/>
      </w:divBdr>
      <w:divsChild>
        <w:div w:id="1137837698">
          <w:marLeft w:val="0"/>
          <w:marRight w:val="0"/>
          <w:marTop w:val="0"/>
          <w:marBottom w:val="0"/>
          <w:divBdr>
            <w:top w:val="none" w:sz="0" w:space="0" w:color="auto"/>
            <w:left w:val="none" w:sz="0" w:space="0" w:color="auto"/>
            <w:bottom w:val="none" w:sz="0" w:space="0" w:color="auto"/>
            <w:right w:val="none" w:sz="0" w:space="0" w:color="auto"/>
          </w:divBdr>
          <w:divsChild>
            <w:div w:id="999309785">
              <w:marLeft w:val="0"/>
              <w:marRight w:val="0"/>
              <w:marTop w:val="0"/>
              <w:marBottom w:val="0"/>
              <w:divBdr>
                <w:top w:val="none" w:sz="0" w:space="0" w:color="auto"/>
                <w:left w:val="none" w:sz="0" w:space="0" w:color="auto"/>
                <w:bottom w:val="none" w:sz="0" w:space="0" w:color="auto"/>
                <w:right w:val="none" w:sz="0" w:space="0" w:color="auto"/>
              </w:divBdr>
              <w:divsChild>
                <w:div w:id="1304584417">
                  <w:marLeft w:val="0"/>
                  <w:marRight w:val="0"/>
                  <w:marTop w:val="0"/>
                  <w:marBottom w:val="0"/>
                  <w:divBdr>
                    <w:top w:val="none" w:sz="0" w:space="0" w:color="auto"/>
                    <w:left w:val="none" w:sz="0" w:space="0" w:color="auto"/>
                    <w:bottom w:val="none" w:sz="0" w:space="0" w:color="auto"/>
                    <w:right w:val="none" w:sz="0" w:space="0" w:color="auto"/>
                  </w:divBdr>
                  <w:divsChild>
                    <w:div w:id="1198736674">
                      <w:marLeft w:val="0"/>
                      <w:marRight w:val="0"/>
                      <w:marTop w:val="0"/>
                      <w:marBottom w:val="0"/>
                      <w:divBdr>
                        <w:top w:val="none" w:sz="0" w:space="0" w:color="auto"/>
                        <w:left w:val="none" w:sz="0" w:space="0" w:color="auto"/>
                        <w:bottom w:val="none" w:sz="0" w:space="0" w:color="auto"/>
                        <w:right w:val="none" w:sz="0" w:space="0" w:color="auto"/>
                      </w:divBdr>
                      <w:divsChild>
                        <w:div w:id="1720322798">
                          <w:marLeft w:val="0"/>
                          <w:marRight w:val="0"/>
                          <w:marTop w:val="0"/>
                          <w:marBottom w:val="0"/>
                          <w:divBdr>
                            <w:top w:val="none" w:sz="0" w:space="0" w:color="auto"/>
                            <w:left w:val="none" w:sz="0" w:space="0" w:color="auto"/>
                            <w:bottom w:val="none" w:sz="0" w:space="0" w:color="auto"/>
                            <w:right w:val="none" w:sz="0" w:space="0" w:color="auto"/>
                          </w:divBdr>
                          <w:divsChild>
                            <w:div w:id="811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311611">
      <w:bodyDiv w:val="1"/>
      <w:marLeft w:val="0"/>
      <w:marRight w:val="0"/>
      <w:marTop w:val="0"/>
      <w:marBottom w:val="0"/>
      <w:divBdr>
        <w:top w:val="none" w:sz="0" w:space="0" w:color="auto"/>
        <w:left w:val="none" w:sz="0" w:space="0" w:color="auto"/>
        <w:bottom w:val="none" w:sz="0" w:space="0" w:color="auto"/>
        <w:right w:val="none" w:sz="0" w:space="0" w:color="auto"/>
      </w:divBdr>
    </w:div>
    <w:div w:id="937105905">
      <w:bodyDiv w:val="1"/>
      <w:marLeft w:val="0"/>
      <w:marRight w:val="0"/>
      <w:marTop w:val="0"/>
      <w:marBottom w:val="0"/>
      <w:divBdr>
        <w:top w:val="none" w:sz="0" w:space="0" w:color="auto"/>
        <w:left w:val="none" w:sz="0" w:space="0" w:color="auto"/>
        <w:bottom w:val="none" w:sz="0" w:space="0" w:color="auto"/>
        <w:right w:val="none" w:sz="0" w:space="0" w:color="auto"/>
      </w:divBdr>
      <w:divsChild>
        <w:div w:id="1795175796">
          <w:marLeft w:val="0"/>
          <w:marRight w:val="0"/>
          <w:marTop w:val="0"/>
          <w:marBottom w:val="0"/>
          <w:divBdr>
            <w:top w:val="none" w:sz="0" w:space="0" w:color="auto"/>
            <w:left w:val="none" w:sz="0" w:space="0" w:color="auto"/>
            <w:bottom w:val="none" w:sz="0" w:space="0" w:color="auto"/>
            <w:right w:val="none" w:sz="0" w:space="0" w:color="auto"/>
          </w:divBdr>
          <w:divsChild>
            <w:div w:id="1863131117">
              <w:marLeft w:val="0"/>
              <w:marRight w:val="0"/>
              <w:marTop w:val="0"/>
              <w:marBottom w:val="0"/>
              <w:divBdr>
                <w:top w:val="none" w:sz="0" w:space="0" w:color="auto"/>
                <w:left w:val="none" w:sz="0" w:space="0" w:color="auto"/>
                <w:bottom w:val="none" w:sz="0" w:space="0" w:color="auto"/>
                <w:right w:val="none" w:sz="0" w:space="0" w:color="auto"/>
              </w:divBdr>
              <w:divsChild>
                <w:div w:id="1126195837">
                  <w:marLeft w:val="0"/>
                  <w:marRight w:val="0"/>
                  <w:marTop w:val="0"/>
                  <w:marBottom w:val="0"/>
                  <w:divBdr>
                    <w:top w:val="none" w:sz="0" w:space="0" w:color="auto"/>
                    <w:left w:val="none" w:sz="0" w:space="0" w:color="auto"/>
                    <w:bottom w:val="none" w:sz="0" w:space="0" w:color="auto"/>
                    <w:right w:val="none" w:sz="0" w:space="0" w:color="auto"/>
                  </w:divBdr>
                  <w:divsChild>
                    <w:div w:id="282807840">
                      <w:marLeft w:val="0"/>
                      <w:marRight w:val="0"/>
                      <w:marTop w:val="0"/>
                      <w:marBottom w:val="0"/>
                      <w:divBdr>
                        <w:top w:val="none" w:sz="0" w:space="0" w:color="auto"/>
                        <w:left w:val="none" w:sz="0" w:space="0" w:color="auto"/>
                        <w:bottom w:val="none" w:sz="0" w:space="0" w:color="auto"/>
                        <w:right w:val="none" w:sz="0" w:space="0" w:color="auto"/>
                      </w:divBdr>
                      <w:divsChild>
                        <w:div w:id="1095202331">
                          <w:marLeft w:val="0"/>
                          <w:marRight w:val="0"/>
                          <w:marTop w:val="0"/>
                          <w:marBottom w:val="0"/>
                          <w:divBdr>
                            <w:top w:val="none" w:sz="0" w:space="0" w:color="auto"/>
                            <w:left w:val="none" w:sz="0" w:space="0" w:color="auto"/>
                            <w:bottom w:val="none" w:sz="0" w:space="0" w:color="auto"/>
                            <w:right w:val="none" w:sz="0" w:space="0" w:color="auto"/>
                          </w:divBdr>
                          <w:divsChild>
                            <w:div w:id="1769160143">
                              <w:marLeft w:val="0"/>
                              <w:marRight w:val="0"/>
                              <w:marTop w:val="0"/>
                              <w:marBottom w:val="0"/>
                              <w:divBdr>
                                <w:top w:val="none" w:sz="0" w:space="0" w:color="auto"/>
                                <w:left w:val="none" w:sz="0" w:space="0" w:color="auto"/>
                                <w:bottom w:val="none" w:sz="0" w:space="0" w:color="auto"/>
                                <w:right w:val="none" w:sz="0" w:space="0" w:color="auto"/>
                              </w:divBdr>
                              <w:divsChild>
                                <w:div w:id="749228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461810">
      <w:bodyDiv w:val="1"/>
      <w:marLeft w:val="0"/>
      <w:marRight w:val="0"/>
      <w:marTop w:val="0"/>
      <w:marBottom w:val="0"/>
      <w:divBdr>
        <w:top w:val="none" w:sz="0" w:space="0" w:color="auto"/>
        <w:left w:val="none" w:sz="0" w:space="0" w:color="auto"/>
        <w:bottom w:val="none" w:sz="0" w:space="0" w:color="auto"/>
        <w:right w:val="none" w:sz="0" w:space="0" w:color="auto"/>
      </w:divBdr>
    </w:div>
    <w:div w:id="1217474166">
      <w:bodyDiv w:val="1"/>
      <w:marLeft w:val="0"/>
      <w:marRight w:val="0"/>
      <w:marTop w:val="0"/>
      <w:marBottom w:val="0"/>
      <w:divBdr>
        <w:top w:val="none" w:sz="0" w:space="0" w:color="auto"/>
        <w:left w:val="none" w:sz="0" w:space="0" w:color="auto"/>
        <w:bottom w:val="none" w:sz="0" w:space="0" w:color="auto"/>
        <w:right w:val="none" w:sz="0" w:space="0" w:color="auto"/>
      </w:divBdr>
      <w:divsChild>
        <w:div w:id="1992828899">
          <w:marLeft w:val="0"/>
          <w:marRight w:val="0"/>
          <w:marTop w:val="0"/>
          <w:marBottom w:val="0"/>
          <w:divBdr>
            <w:top w:val="none" w:sz="0" w:space="0" w:color="auto"/>
            <w:left w:val="none" w:sz="0" w:space="0" w:color="auto"/>
            <w:bottom w:val="none" w:sz="0" w:space="0" w:color="auto"/>
            <w:right w:val="none" w:sz="0" w:space="0" w:color="auto"/>
          </w:divBdr>
          <w:divsChild>
            <w:div w:id="910970848">
              <w:marLeft w:val="0"/>
              <w:marRight w:val="0"/>
              <w:marTop w:val="0"/>
              <w:marBottom w:val="0"/>
              <w:divBdr>
                <w:top w:val="none" w:sz="0" w:space="0" w:color="auto"/>
                <w:left w:val="none" w:sz="0" w:space="0" w:color="auto"/>
                <w:bottom w:val="none" w:sz="0" w:space="0" w:color="auto"/>
                <w:right w:val="none" w:sz="0" w:space="0" w:color="auto"/>
              </w:divBdr>
              <w:divsChild>
                <w:div w:id="1213662663">
                  <w:marLeft w:val="0"/>
                  <w:marRight w:val="0"/>
                  <w:marTop w:val="0"/>
                  <w:marBottom w:val="0"/>
                  <w:divBdr>
                    <w:top w:val="none" w:sz="0" w:space="0" w:color="auto"/>
                    <w:left w:val="none" w:sz="0" w:space="0" w:color="auto"/>
                    <w:bottom w:val="none" w:sz="0" w:space="0" w:color="auto"/>
                    <w:right w:val="none" w:sz="0" w:space="0" w:color="auto"/>
                  </w:divBdr>
                  <w:divsChild>
                    <w:div w:id="206766826">
                      <w:marLeft w:val="0"/>
                      <w:marRight w:val="0"/>
                      <w:marTop w:val="0"/>
                      <w:marBottom w:val="0"/>
                      <w:divBdr>
                        <w:top w:val="none" w:sz="0" w:space="0" w:color="auto"/>
                        <w:left w:val="none" w:sz="0" w:space="0" w:color="auto"/>
                        <w:bottom w:val="none" w:sz="0" w:space="0" w:color="auto"/>
                        <w:right w:val="none" w:sz="0" w:space="0" w:color="auto"/>
                      </w:divBdr>
                      <w:divsChild>
                        <w:div w:id="710568741">
                          <w:marLeft w:val="0"/>
                          <w:marRight w:val="0"/>
                          <w:marTop w:val="0"/>
                          <w:marBottom w:val="0"/>
                          <w:divBdr>
                            <w:top w:val="none" w:sz="0" w:space="0" w:color="auto"/>
                            <w:left w:val="none" w:sz="0" w:space="0" w:color="auto"/>
                            <w:bottom w:val="none" w:sz="0" w:space="0" w:color="auto"/>
                            <w:right w:val="none" w:sz="0" w:space="0" w:color="auto"/>
                          </w:divBdr>
                          <w:divsChild>
                            <w:div w:id="10130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439458">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sChild>
        <w:div w:id="645863301">
          <w:marLeft w:val="0"/>
          <w:marRight w:val="0"/>
          <w:marTop w:val="0"/>
          <w:marBottom w:val="0"/>
          <w:divBdr>
            <w:top w:val="none" w:sz="0" w:space="0" w:color="auto"/>
            <w:left w:val="none" w:sz="0" w:space="0" w:color="auto"/>
            <w:bottom w:val="none" w:sz="0" w:space="0" w:color="auto"/>
            <w:right w:val="none" w:sz="0" w:space="0" w:color="auto"/>
          </w:divBdr>
          <w:divsChild>
            <w:div w:id="1061563092">
              <w:marLeft w:val="0"/>
              <w:marRight w:val="0"/>
              <w:marTop w:val="0"/>
              <w:marBottom w:val="0"/>
              <w:divBdr>
                <w:top w:val="none" w:sz="0" w:space="0" w:color="auto"/>
                <w:left w:val="none" w:sz="0" w:space="0" w:color="auto"/>
                <w:bottom w:val="none" w:sz="0" w:space="0" w:color="auto"/>
                <w:right w:val="none" w:sz="0" w:space="0" w:color="auto"/>
              </w:divBdr>
              <w:divsChild>
                <w:div w:id="1113983448">
                  <w:marLeft w:val="0"/>
                  <w:marRight w:val="0"/>
                  <w:marTop w:val="0"/>
                  <w:marBottom w:val="0"/>
                  <w:divBdr>
                    <w:top w:val="none" w:sz="0" w:space="0" w:color="auto"/>
                    <w:left w:val="none" w:sz="0" w:space="0" w:color="auto"/>
                    <w:bottom w:val="none" w:sz="0" w:space="0" w:color="auto"/>
                    <w:right w:val="none" w:sz="0" w:space="0" w:color="auto"/>
                  </w:divBdr>
                  <w:divsChild>
                    <w:div w:id="2138907228">
                      <w:marLeft w:val="0"/>
                      <w:marRight w:val="0"/>
                      <w:marTop w:val="0"/>
                      <w:marBottom w:val="0"/>
                      <w:divBdr>
                        <w:top w:val="none" w:sz="0" w:space="0" w:color="auto"/>
                        <w:left w:val="none" w:sz="0" w:space="0" w:color="auto"/>
                        <w:bottom w:val="none" w:sz="0" w:space="0" w:color="auto"/>
                        <w:right w:val="none" w:sz="0" w:space="0" w:color="auto"/>
                      </w:divBdr>
                      <w:divsChild>
                        <w:div w:id="825049603">
                          <w:marLeft w:val="0"/>
                          <w:marRight w:val="0"/>
                          <w:marTop w:val="0"/>
                          <w:marBottom w:val="0"/>
                          <w:divBdr>
                            <w:top w:val="none" w:sz="0" w:space="0" w:color="auto"/>
                            <w:left w:val="none" w:sz="0" w:space="0" w:color="auto"/>
                            <w:bottom w:val="none" w:sz="0" w:space="0" w:color="auto"/>
                            <w:right w:val="none" w:sz="0" w:space="0" w:color="auto"/>
                          </w:divBdr>
                          <w:divsChild>
                            <w:div w:id="1593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416121">
      <w:bodyDiv w:val="1"/>
      <w:marLeft w:val="0"/>
      <w:marRight w:val="0"/>
      <w:marTop w:val="0"/>
      <w:marBottom w:val="0"/>
      <w:divBdr>
        <w:top w:val="none" w:sz="0" w:space="0" w:color="auto"/>
        <w:left w:val="none" w:sz="0" w:space="0" w:color="auto"/>
        <w:bottom w:val="none" w:sz="0" w:space="0" w:color="auto"/>
        <w:right w:val="none" w:sz="0" w:space="0" w:color="auto"/>
      </w:divBdr>
      <w:divsChild>
        <w:div w:id="647249294">
          <w:marLeft w:val="0"/>
          <w:marRight w:val="0"/>
          <w:marTop w:val="0"/>
          <w:marBottom w:val="0"/>
          <w:divBdr>
            <w:top w:val="none" w:sz="0" w:space="0" w:color="auto"/>
            <w:left w:val="none" w:sz="0" w:space="0" w:color="auto"/>
            <w:bottom w:val="none" w:sz="0" w:space="0" w:color="auto"/>
            <w:right w:val="none" w:sz="0" w:space="0" w:color="auto"/>
          </w:divBdr>
          <w:divsChild>
            <w:div w:id="2066178352">
              <w:marLeft w:val="0"/>
              <w:marRight w:val="0"/>
              <w:marTop w:val="0"/>
              <w:marBottom w:val="0"/>
              <w:divBdr>
                <w:top w:val="none" w:sz="0" w:space="0" w:color="auto"/>
                <w:left w:val="none" w:sz="0" w:space="0" w:color="auto"/>
                <w:bottom w:val="none" w:sz="0" w:space="0" w:color="auto"/>
                <w:right w:val="none" w:sz="0" w:space="0" w:color="auto"/>
              </w:divBdr>
              <w:divsChild>
                <w:div w:id="1380015707">
                  <w:marLeft w:val="0"/>
                  <w:marRight w:val="0"/>
                  <w:marTop w:val="0"/>
                  <w:marBottom w:val="0"/>
                  <w:divBdr>
                    <w:top w:val="none" w:sz="0" w:space="0" w:color="auto"/>
                    <w:left w:val="none" w:sz="0" w:space="0" w:color="auto"/>
                    <w:bottom w:val="none" w:sz="0" w:space="0" w:color="auto"/>
                    <w:right w:val="none" w:sz="0" w:space="0" w:color="auto"/>
                  </w:divBdr>
                  <w:divsChild>
                    <w:div w:id="1286809435">
                      <w:marLeft w:val="0"/>
                      <w:marRight w:val="0"/>
                      <w:marTop w:val="0"/>
                      <w:marBottom w:val="0"/>
                      <w:divBdr>
                        <w:top w:val="none" w:sz="0" w:space="0" w:color="auto"/>
                        <w:left w:val="none" w:sz="0" w:space="0" w:color="auto"/>
                        <w:bottom w:val="none" w:sz="0" w:space="0" w:color="auto"/>
                        <w:right w:val="none" w:sz="0" w:space="0" w:color="auto"/>
                      </w:divBdr>
                      <w:divsChild>
                        <w:div w:id="1023244278">
                          <w:marLeft w:val="0"/>
                          <w:marRight w:val="0"/>
                          <w:marTop w:val="0"/>
                          <w:marBottom w:val="0"/>
                          <w:divBdr>
                            <w:top w:val="none" w:sz="0" w:space="0" w:color="auto"/>
                            <w:left w:val="none" w:sz="0" w:space="0" w:color="auto"/>
                            <w:bottom w:val="none" w:sz="0" w:space="0" w:color="auto"/>
                            <w:right w:val="none" w:sz="0" w:space="0" w:color="auto"/>
                          </w:divBdr>
                          <w:divsChild>
                            <w:div w:id="10742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large-sites-infrastructure-programme-prospectus" TargetMode="External"/><Relationship Id="rId18" Type="http://schemas.openxmlformats.org/officeDocument/2006/relationships/hyperlink" Target="https://www.gov.uk/government/statistics/housing-statistics-1-april-2015-to-30-september-2015--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overnment/publications/affordable-homes-programme-2015-to-2018-quarterly-updates" TargetMode="External"/><Relationship Id="rId17" Type="http://schemas.openxmlformats.org/officeDocument/2006/relationships/hyperlink" Target="https://www.gov.uk/government/publications/starter-homes-local-authority-funding-programme-prospect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419212/150330_-_Starter_Homes_Design_FINAL_bc_lh_pdf.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ces.parliament.uk/bills/2015-16/housingandplanning.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new-homes.co.uk/starter-homes/" TargetMode="External"/><Relationship Id="rId23" Type="http://schemas.openxmlformats.org/officeDocument/2006/relationships/header" Target="header3.xml"/><Relationship Id="rId10" Type="http://schemas.openxmlformats.org/officeDocument/2006/relationships/hyperlink" Target="http://cdn.budgetresponsibility.independent.gov.uk/EFO_November__2015.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uploads/system/uploads/attachment_data/file/479749/52229_Blue_Book_PU1865_Web_Accessible.pdf" TargetMode="External"/><Relationship Id="rId14" Type="http://schemas.openxmlformats.org/officeDocument/2006/relationships/hyperlink" Target="https://www.gov.uk/government/statistics/help-to-buy-equity-loan-scheme-and-help-to-buy-newbuy-statistics-april-2013-to-march-201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23BC-F399-4983-8017-1C261C33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8E9887D2</Template>
  <TotalTime>0</TotalTime>
  <Pages>10</Pages>
  <Words>3585</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Stoner</dc:creator>
  <cp:lastModifiedBy>Heather Stoner</cp:lastModifiedBy>
  <cp:revision>3</cp:revision>
  <cp:lastPrinted>2015-11-09T10:24:00Z</cp:lastPrinted>
  <dcterms:created xsi:type="dcterms:W3CDTF">2016-01-18T12:56:00Z</dcterms:created>
  <dcterms:modified xsi:type="dcterms:W3CDTF">2016-01-18T12:56:00Z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e9d7f318-1351-4355-8a9c-818636bb5fe6</vt:lpwstr>
  </property>
  <property fmtid="{D5CDD505-2E9C-101B-9397-08002B2CF9AE}" pid="3" name="HCAGPMS">
    <vt:lpwstr>OFFICIAL</vt:lpwstr>
  </property>
</Properties>
</file>