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41" w:rsidRPr="00463C41" w:rsidRDefault="00463C41" w:rsidP="00463C41">
      <w:pPr>
        <w:pStyle w:val="Reasons"/>
        <w:tabs>
          <w:tab w:val="left" w:pos="1418"/>
        </w:tabs>
        <w:spacing w:after="120"/>
        <w:ind w:left="0" w:right="-164"/>
        <w:rPr>
          <w:b/>
        </w:rPr>
      </w:pPr>
      <w:bookmarkStart w:id="0" w:name="_GoBack"/>
      <w:bookmarkEnd w:id="0"/>
      <w:r w:rsidRPr="00463C41">
        <w:rPr>
          <w:b/>
        </w:rPr>
        <w:t>To:</w:t>
      </w:r>
      <w:r w:rsidRPr="00463C41">
        <w:rPr>
          <w:b/>
        </w:rPr>
        <w:tab/>
      </w:r>
      <w:r w:rsidR="009E7EA4">
        <w:rPr>
          <w:b/>
        </w:rPr>
        <w:tab/>
      </w:r>
      <w:r w:rsidR="009E7EA4">
        <w:rPr>
          <w:b/>
        </w:rPr>
        <w:tab/>
      </w:r>
      <w:r w:rsidRPr="00463C41">
        <w:rPr>
          <w:b/>
        </w:rPr>
        <w:t>West Kent Health and Wellbeing Board</w:t>
      </w:r>
    </w:p>
    <w:p w:rsidR="001209CA" w:rsidRDefault="001209CA" w:rsidP="000F10BA">
      <w:pPr>
        <w:rPr>
          <w:b/>
        </w:rPr>
      </w:pPr>
    </w:p>
    <w:p w:rsidR="009E7EA4" w:rsidRDefault="009E7EA4" w:rsidP="009E7EA4">
      <w:pPr>
        <w:rPr>
          <w:rFonts w:cs="Arial"/>
          <w:b/>
        </w:rPr>
      </w:pPr>
      <w:r w:rsidRPr="00D2504D">
        <w:rPr>
          <w:b/>
        </w:rPr>
        <w:t xml:space="preserve">Report </w:t>
      </w:r>
      <w:r w:rsidRPr="00D2504D">
        <w:rPr>
          <w:rFonts w:cs="Arial"/>
          <w:b/>
        </w:rPr>
        <w:t>Authors</w:t>
      </w:r>
      <w:r>
        <w:rPr>
          <w:rFonts w:cs="Arial"/>
          <w:b/>
        </w:rPr>
        <w:t>:</w:t>
      </w:r>
      <w:r>
        <w:rPr>
          <w:rFonts w:cs="Arial"/>
          <w:b/>
        </w:rPr>
        <w:tab/>
        <w:t>Work Related Matters</w:t>
      </w:r>
    </w:p>
    <w:p w:rsidR="009E7EA4" w:rsidRPr="00D2504D" w:rsidRDefault="009E7EA4" w:rsidP="009E7EA4">
      <w:pPr>
        <w:ind w:left="1440" w:firstLine="720"/>
        <w:rPr>
          <w:rFonts w:cs="Arial"/>
          <w:b/>
        </w:rPr>
      </w:pPr>
      <w:r w:rsidRPr="00D2504D">
        <w:rPr>
          <w:rFonts w:cs="Arial"/>
          <w:b/>
        </w:rPr>
        <w:t>Andrew Holmes</w:t>
      </w:r>
    </w:p>
    <w:p w:rsidR="00D2504D" w:rsidRPr="00D2504D" w:rsidRDefault="00D2504D" w:rsidP="009E7EA4">
      <w:pPr>
        <w:ind w:left="1440" w:firstLine="720"/>
        <w:rPr>
          <w:rFonts w:cs="Arial"/>
          <w:b/>
          <w:szCs w:val="24"/>
        </w:rPr>
      </w:pPr>
      <w:r w:rsidRPr="00D2504D">
        <w:rPr>
          <w:rFonts w:cs="Arial"/>
          <w:b/>
          <w:szCs w:val="24"/>
        </w:rPr>
        <w:t>Integrated Partnership Manager</w:t>
      </w:r>
    </w:p>
    <w:p w:rsidR="00D2504D" w:rsidRPr="00D2504D" w:rsidRDefault="00D2504D" w:rsidP="009E7EA4">
      <w:pPr>
        <w:ind w:left="1440" w:firstLine="720"/>
        <w:rPr>
          <w:rFonts w:cs="Arial"/>
          <w:b/>
          <w:szCs w:val="24"/>
        </w:rPr>
      </w:pPr>
      <w:r w:rsidRPr="00D2504D">
        <w:rPr>
          <w:rFonts w:cs="Arial"/>
          <w:b/>
          <w:szCs w:val="24"/>
        </w:rPr>
        <w:t xml:space="preserve">Department for Work and Pensions </w:t>
      </w:r>
    </w:p>
    <w:p w:rsidR="00D2504D" w:rsidRPr="00D2504D" w:rsidRDefault="00D2504D" w:rsidP="009E7EA4">
      <w:pPr>
        <w:ind w:left="1440" w:firstLine="720"/>
        <w:rPr>
          <w:rFonts w:cs="Arial"/>
          <w:b/>
          <w:szCs w:val="24"/>
        </w:rPr>
      </w:pPr>
      <w:r w:rsidRPr="00D2504D">
        <w:rPr>
          <w:rFonts w:cs="Arial"/>
          <w:b/>
          <w:szCs w:val="24"/>
        </w:rPr>
        <w:t xml:space="preserve">Tonbridge Jobcentre </w:t>
      </w:r>
    </w:p>
    <w:p w:rsidR="00D2504D" w:rsidRDefault="00D2504D" w:rsidP="00D2504D">
      <w:pPr>
        <w:ind w:left="720" w:firstLine="720"/>
        <w:rPr>
          <w:rFonts w:cs="Arial"/>
          <w:b/>
        </w:rPr>
      </w:pPr>
    </w:p>
    <w:p w:rsidR="009E7EA4" w:rsidRDefault="009E7EA4" w:rsidP="009E7EA4">
      <w:pPr>
        <w:ind w:left="1440" w:firstLine="720"/>
        <w:rPr>
          <w:rFonts w:cs="Arial"/>
          <w:b/>
        </w:rPr>
      </w:pPr>
      <w:r>
        <w:rPr>
          <w:rFonts w:cs="Arial"/>
          <w:b/>
        </w:rPr>
        <w:t>Housing Related Matters</w:t>
      </w:r>
    </w:p>
    <w:p w:rsidR="000F10BA" w:rsidRPr="00D2504D" w:rsidRDefault="000F10BA" w:rsidP="009E7EA4">
      <w:pPr>
        <w:ind w:left="1440" w:firstLine="720"/>
        <w:rPr>
          <w:rFonts w:cs="Arial"/>
          <w:b/>
        </w:rPr>
      </w:pPr>
      <w:r w:rsidRPr="00D2504D">
        <w:rPr>
          <w:rFonts w:cs="Arial"/>
          <w:b/>
        </w:rPr>
        <w:t xml:space="preserve">Satnam Kaur </w:t>
      </w:r>
    </w:p>
    <w:p w:rsidR="000F10BA" w:rsidRPr="00D2504D" w:rsidRDefault="000F10BA" w:rsidP="009E7EA4">
      <w:pPr>
        <w:ind w:left="1440" w:firstLine="720"/>
        <w:rPr>
          <w:rFonts w:cs="Arial"/>
          <w:b/>
          <w:szCs w:val="24"/>
          <w:lang w:eastAsia="en-GB"/>
        </w:rPr>
      </w:pPr>
      <w:r w:rsidRPr="00D2504D">
        <w:rPr>
          <w:rFonts w:cs="Arial"/>
          <w:b/>
          <w:szCs w:val="24"/>
          <w:lang w:eastAsia="en-GB"/>
        </w:rPr>
        <w:t>Chief Housing Officer</w:t>
      </w:r>
    </w:p>
    <w:p w:rsidR="009E7EA4" w:rsidRDefault="009E7EA4" w:rsidP="00463C41">
      <w:pPr>
        <w:pStyle w:val="Reasons"/>
        <w:tabs>
          <w:tab w:val="left" w:pos="1418"/>
        </w:tabs>
        <w:spacing w:after="120"/>
        <w:ind w:left="0" w:right="-164"/>
        <w:rPr>
          <w:rFonts w:cs="Arial"/>
          <w:b/>
          <w:szCs w:val="24"/>
          <w:lang w:eastAsia="en-GB"/>
        </w:rPr>
      </w:pPr>
      <w:r>
        <w:rPr>
          <w:rFonts w:cs="Arial"/>
          <w:b/>
          <w:szCs w:val="24"/>
          <w:lang w:eastAsia="en-GB"/>
        </w:rPr>
        <w:tab/>
      </w:r>
      <w:r>
        <w:rPr>
          <w:rFonts w:cs="Arial"/>
          <w:b/>
          <w:szCs w:val="24"/>
          <w:lang w:eastAsia="en-GB"/>
        </w:rPr>
        <w:tab/>
      </w:r>
      <w:r>
        <w:rPr>
          <w:rFonts w:cs="Arial"/>
          <w:b/>
          <w:szCs w:val="24"/>
          <w:lang w:eastAsia="en-GB"/>
        </w:rPr>
        <w:tab/>
      </w:r>
      <w:r w:rsidR="000F10BA" w:rsidRPr="00D2504D">
        <w:rPr>
          <w:rFonts w:cs="Arial"/>
          <w:b/>
          <w:szCs w:val="24"/>
          <w:lang w:eastAsia="en-GB"/>
        </w:rPr>
        <w:t>Tonbridge&amp; Malling Borough Council</w:t>
      </w:r>
    </w:p>
    <w:p w:rsidR="009E7EA4" w:rsidRDefault="009E7EA4" w:rsidP="00463C41">
      <w:pPr>
        <w:pStyle w:val="Reasons"/>
        <w:tabs>
          <w:tab w:val="left" w:pos="1418"/>
        </w:tabs>
        <w:spacing w:after="120"/>
        <w:ind w:left="0" w:right="-164"/>
        <w:rPr>
          <w:rFonts w:cs="Arial"/>
          <w:b/>
          <w:szCs w:val="24"/>
          <w:lang w:eastAsia="en-GB"/>
        </w:rPr>
      </w:pPr>
    </w:p>
    <w:p w:rsidR="00463C41" w:rsidRPr="00463C41" w:rsidRDefault="009E7EA4" w:rsidP="00463C41">
      <w:pPr>
        <w:pStyle w:val="Reasons"/>
        <w:tabs>
          <w:tab w:val="left" w:pos="1418"/>
        </w:tabs>
        <w:spacing w:after="120"/>
        <w:ind w:left="0" w:right="-164"/>
        <w:rPr>
          <w:b/>
        </w:rPr>
      </w:pPr>
      <w:r>
        <w:rPr>
          <w:rFonts w:cs="Arial"/>
          <w:b/>
          <w:szCs w:val="24"/>
          <w:lang w:eastAsia="en-GB"/>
        </w:rPr>
        <w:t>D</w:t>
      </w:r>
      <w:r w:rsidR="00463C41" w:rsidRPr="00463C41">
        <w:rPr>
          <w:b/>
        </w:rPr>
        <w:t>ate:</w:t>
      </w:r>
      <w:r w:rsidR="00463C41" w:rsidRPr="00463C41">
        <w:rPr>
          <w:b/>
        </w:rPr>
        <w:tab/>
      </w:r>
      <w:r>
        <w:rPr>
          <w:b/>
        </w:rPr>
        <w:tab/>
      </w:r>
      <w:r>
        <w:rPr>
          <w:b/>
        </w:rPr>
        <w:tab/>
      </w:r>
      <w:r w:rsidR="00463C41" w:rsidRPr="00463C41">
        <w:rPr>
          <w:b/>
        </w:rPr>
        <w:t>19</w:t>
      </w:r>
      <w:r w:rsidR="00463C41" w:rsidRPr="00463C41">
        <w:rPr>
          <w:b/>
          <w:vertAlign w:val="superscript"/>
        </w:rPr>
        <w:t>th</w:t>
      </w:r>
      <w:r w:rsidR="00463C41" w:rsidRPr="00463C41">
        <w:rPr>
          <w:b/>
        </w:rPr>
        <w:t xml:space="preserve"> April 2016</w:t>
      </w:r>
    </w:p>
    <w:p w:rsidR="001209CA" w:rsidRDefault="001209CA" w:rsidP="00463C41">
      <w:pPr>
        <w:pStyle w:val="Reasons"/>
        <w:tabs>
          <w:tab w:val="left" w:pos="1418"/>
        </w:tabs>
        <w:spacing w:after="120"/>
        <w:ind w:left="1418" w:right="-164" w:hanging="1418"/>
        <w:rPr>
          <w:b/>
        </w:rPr>
      </w:pPr>
    </w:p>
    <w:p w:rsidR="001209CA" w:rsidRDefault="00463C41" w:rsidP="009E7EA4">
      <w:pPr>
        <w:pStyle w:val="Reasons"/>
        <w:tabs>
          <w:tab w:val="left" w:pos="1418"/>
        </w:tabs>
        <w:spacing w:after="120"/>
        <w:ind w:left="2160" w:right="-164" w:hanging="2160"/>
        <w:rPr>
          <w:b/>
        </w:rPr>
      </w:pPr>
      <w:r w:rsidRPr="00463C41">
        <w:rPr>
          <w:b/>
        </w:rPr>
        <w:t>Subject:</w:t>
      </w:r>
      <w:r w:rsidRPr="00463C41">
        <w:rPr>
          <w:b/>
        </w:rPr>
        <w:tab/>
      </w:r>
      <w:r w:rsidR="009E7EA4">
        <w:rPr>
          <w:b/>
        </w:rPr>
        <w:tab/>
      </w:r>
      <w:r w:rsidRPr="00463C41">
        <w:rPr>
          <w:b/>
        </w:rPr>
        <w:t>Welfare Reforms and Housing and Planning Bill (2015-16) – Impact on Health</w:t>
      </w:r>
    </w:p>
    <w:p w:rsidR="009E7EA4" w:rsidRDefault="00481B82" w:rsidP="00295974">
      <w:pPr>
        <w:pStyle w:val="ReportLevel2"/>
        <w:numPr>
          <w:ilvl w:val="0"/>
          <w:numId w:val="0"/>
        </w:numPr>
        <w:spacing w:line="276" w:lineRule="auto"/>
        <w:rPr>
          <w:b w:val="0"/>
        </w:rPr>
      </w:pPr>
      <w:r>
        <w:rPr>
          <w:b w:val="0"/>
          <w:u w:val="single"/>
        </w:rPr>
        <w:tab/>
      </w:r>
      <w:r>
        <w:rPr>
          <w:b w:val="0"/>
          <w:u w:val="single"/>
        </w:rPr>
        <w:tab/>
      </w:r>
      <w:r w:rsidR="001209CA">
        <w:rPr>
          <w:b w:val="0"/>
          <w:u w:val="single"/>
        </w:rPr>
        <w:tab/>
      </w:r>
      <w:r w:rsidR="00A764D5">
        <w:rPr>
          <w:b w:val="0"/>
          <w:u w:val="single"/>
        </w:rPr>
        <w:tab/>
      </w:r>
      <w:r w:rsidR="00093518">
        <w:rPr>
          <w:b w:val="0"/>
          <w:u w:val="single"/>
        </w:rPr>
        <w:tab/>
      </w:r>
      <w:r w:rsidR="00093518">
        <w:rPr>
          <w:b w:val="0"/>
          <w:u w:val="single"/>
        </w:rPr>
        <w:tab/>
      </w:r>
      <w:r w:rsidR="00093518">
        <w:rPr>
          <w:b w:val="0"/>
          <w:u w:val="single"/>
        </w:rPr>
        <w:tab/>
      </w:r>
      <w:r w:rsidR="00093518">
        <w:rPr>
          <w:b w:val="0"/>
          <w:u w:val="single"/>
        </w:rPr>
        <w:tab/>
      </w:r>
      <w:r w:rsidR="00093518">
        <w:rPr>
          <w:b w:val="0"/>
          <w:u w:val="single"/>
        </w:rPr>
        <w:tab/>
      </w:r>
      <w:r w:rsidR="00093518">
        <w:rPr>
          <w:b w:val="0"/>
          <w:u w:val="single"/>
        </w:rPr>
        <w:tab/>
      </w:r>
      <w:r w:rsidR="009E7EA4">
        <w:rPr>
          <w:b w:val="0"/>
        </w:rPr>
        <w:t xml:space="preserve">           </w:t>
      </w:r>
    </w:p>
    <w:p w:rsidR="001209CA" w:rsidRDefault="009E7EA4" w:rsidP="00295974">
      <w:pPr>
        <w:pStyle w:val="ReportLevel2"/>
        <w:numPr>
          <w:ilvl w:val="0"/>
          <w:numId w:val="0"/>
        </w:numPr>
        <w:spacing w:line="276" w:lineRule="auto"/>
        <w:rPr>
          <w:b w:val="0"/>
        </w:rPr>
      </w:pPr>
      <w:r w:rsidRPr="00481B82">
        <w:t>S</w:t>
      </w:r>
      <w:r w:rsidR="00093518">
        <w:t>ummary</w:t>
      </w:r>
    </w:p>
    <w:p w:rsidR="000F10BA" w:rsidRPr="00295974" w:rsidRDefault="00137E25" w:rsidP="00295974">
      <w:pPr>
        <w:pStyle w:val="ReportLevel2"/>
        <w:numPr>
          <w:ilvl w:val="0"/>
          <w:numId w:val="0"/>
        </w:numPr>
        <w:spacing w:line="276" w:lineRule="auto"/>
      </w:pPr>
      <w:r w:rsidRPr="00137E25">
        <w:rPr>
          <w:b w:val="0"/>
        </w:rPr>
        <w:t>This</w:t>
      </w:r>
      <w:r w:rsidR="00481B82">
        <w:rPr>
          <w:b w:val="0"/>
        </w:rPr>
        <w:t xml:space="preserve"> </w:t>
      </w:r>
      <w:r w:rsidRPr="00137E25">
        <w:rPr>
          <w:b w:val="0"/>
        </w:rPr>
        <w:t xml:space="preserve">paper </w:t>
      </w:r>
      <w:r w:rsidR="000F10BA">
        <w:rPr>
          <w:b w:val="0"/>
        </w:rPr>
        <w:t xml:space="preserve">provides </w:t>
      </w:r>
      <w:r w:rsidRPr="00137E25">
        <w:rPr>
          <w:b w:val="0"/>
        </w:rPr>
        <w:t xml:space="preserve">a </w:t>
      </w:r>
      <w:r w:rsidR="000F10BA">
        <w:rPr>
          <w:b w:val="0"/>
        </w:rPr>
        <w:t xml:space="preserve">comprehensive </w:t>
      </w:r>
      <w:r w:rsidRPr="00137E25">
        <w:rPr>
          <w:b w:val="0"/>
        </w:rPr>
        <w:t xml:space="preserve">review of key legislative changes </w:t>
      </w:r>
      <w:r w:rsidR="000F10BA">
        <w:rPr>
          <w:b w:val="0"/>
        </w:rPr>
        <w:t xml:space="preserve">set out </w:t>
      </w:r>
      <w:r w:rsidRPr="00137E25">
        <w:rPr>
          <w:b w:val="0"/>
        </w:rPr>
        <w:t>in the Housing and Planning Bill and We</w:t>
      </w:r>
      <w:r w:rsidR="00A03ABE">
        <w:rPr>
          <w:b w:val="0"/>
        </w:rPr>
        <w:t xml:space="preserve">lfare Reform and Work Act (2016) </w:t>
      </w:r>
      <w:r w:rsidRPr="00137E25">
        <w:rPr>
          <w:b w:val="0"/>
        </w:rPr>
        <w:t>and assesses the likely impacts on the health and wellbeing of West Kent residents.</w:t>
      </w:r>
      <w:r w:rsidR="00E12EAE">
        <w:rPr>
          <w:b w:val="0"/>
        </w:rPr>
        <w:t xml:space="preserve"> </w:t>
      </w:r>
      <w:r w:rsidR="000F10BA">
        <w:rPr>
          <w:b w:val="0"/>
        </w:rPr>
        <w:t>Sections 2, 3 and 4 of the paper offers an overview of the main issues with further details and analysis provided in a series of linked Appendices to the report.</w:t>
      </w:r>
      <w:r w:rsidR="001209CA">
        <w:rPr>
          <w:b w:val="0"/>
        </w:rPr>
        <w:t xml:space="preserve"> Section 5 evaluates the potential cumulative impacts and West Kent implications, whilst sections 6, 7 and 8 assess the current status, future prospects and recommendations for the Board to consider. </w:t>
      </w:r>
    </w:p>
    <w:p w:rsidR="00E12EAE" w:rsidRDefault="008524EC" w:rsidP="00A764D5">
      <w:pPr>
        <w:pStyle w:val="ReportLevel2"/>
        <w:numPr>
          <w:ilvl w:val="0"/>
          <w:numId w:val="0"/>
        </w:numPr>
        <w:spacing w:line="276" w:lineRule="auto"/>
        <w:jc w:val="both"/>
        <w:rPr>
          <w:b w:val="0"/>
        </w:rPr>
      </w:pPr>
      <w:r>
        <w:rPr>
          <w:b w:val="0"/>
        </w:rPr>
        <w:t xml:space="preserve">The Housing and Planning Bill and Welfare Reform and Work Act </w:t>
      </w:r>
      <w:r w:rsidR="00137E25" w:rsidRPr="00E12EAE">
        <w:rPr>
          <w:b w:val="0"/>
        </w:rPr>
        <w:t>2016 make provision for the introduction of extensive changes to affordable housing, welfare benefits, tax credits and social housing rent levels</w:t>
      </w:r>
      <w:r w:rsidR="00E12EAE">
        <w:rPr>
          <w:b w:val="0"/>
        </w:rPr>
        <w:t xml:space="preserve"> </w:t>
      </w:r>
      <w:r w:rsidR="000F10BA">
        <w:rPr>
          <w:b w:val="0"/>
        </w:rPr>
        <w:t xml:space="preserve">which taken together, </w:t>
      </w:r>
      <w:r w:rsidR="00E12EAE" w:rsidRPr="00E12EAE">
        <w:rPr>
          <w:b w:val="0"/>
        </w:rPr>
        <w:t xml:space="preserve"> </w:t>
      </w:r>
      <w:r w:rsidR="009E4CDD" w:rsidRPr="00E12EAE">
        <w:rPr>
          <w:b w:val="0"/>
        </w:rPr>
        <w:t>represent a fundamental shift in the landscape of traditional methods of delivering affordable housing supply and meeting housing need.</w:t>
      </w:r>
      <w:r w:rsidR="009E4CDD">
        <w:t xml:space="preserve"> </w:t>
      </w:r>
      <w:r w:rsidR="009E4CDD" w:rsidRPr="00E12EAE">
        <w:rPr>
          <w:b w:val="0"/>
        </w:rPr>
        <w:t>The Government’s stated aims are to “help to achieve a more sustainable welfare system”</w:t>
      </w:r>
      <w:r w:rsidR="00A764D5">
        <w:rPr>
          <w:b w:val="0"/>
        </w:rPr>
        <w:t>,</w:t>
      </w:r>
      <w:r w:rsidR="009E4CDD" w:rsidRPr="00E12EAE">
        <w:rPr>
          <w:b w:val="0"/>
        </w:rPr>
        <w:t xml:space="preserve"> increase employment and “support the policy of rewarding hard work while increasing fairness with working households”</w:t>
      </w:r>
      <w:r w:rsidR="00A764D5">
        <w:rPr>
          <w:b w:val="0"/>
        </w:rPr>
        <w:t>.</w:t>
      </w:r>
      <w:r w:rsidR="009E4CDD">
        <w:t xml:space="preserve"> </w:t>
      </w:r>
      <w:r w:rsidR="00E12EAE">
        <w:rPr>
          <w:vertAlign w:val="superscript"/>
        </w:rPr>
        <w:t xml:space="preserve">1 </w:t>
      </w:r>
      <w:r w:rsidR="00A764D5" w:rsidRPr="00A764D5">
        <w:rPr>
          <w:b w:val="0"/>
          <w:i/>
        </w:rPr>
        <w:t>See Appendix</w:t>
      </w:r>
      <w:r w:rsidR="00A764D5" w:rsidRPr="00A764D5">
        <w:t xml:space="preserve"> </w:t>
      </w:r>
      <w:r w:rsidR="00A764D5" w:rsidRPr="00A764D5">
        <w:rPr>
          <w:b w:val="0"/>
          <w:i/>
        </w:rPr>
        <w:t>1</w:t>
      </w:r>
      <w:r w:rsidR="00A764D5">
        <w:rPr>
          <w:b w:val="0"/>
        </w:rPr>
        <w:t xml:space="preserve"> </w:t>
      </w:r>
      <w:r w:rsidR="00D67108" w:rsidRPr="00E12EAE">
        <w:rPr>
          <w:b w:val="0"/>
        </w:rPr>
        <w:t>This paper seeks to identify areas where joint working between partners represented on the Health and Wellbeing Board, housing</w:t>
      </w:r>
      <w:r w:rsidR="00A764D5">
        <w:rPr>
          <w:b w:val="0"/>
        </w:rPr>
        <w:t xml:space="preserve"> bodies</w:t>
      </w:r>
      <w:r w:rsidR="00D67108" w:rsidRPr="00E12EAE">
        <w:rPr>
          <w:b w:val="0"/>
        </w:rPr>
        <w:t xml:space="preserve"> and the Department for Work and Pensions (DWP) can be further developed and strengthened</w:t>
      </w:r>
      <w:r w:rsidR="00E12EAE">
        <w:rPr>
          <w:b w:val="0"/>
        </w:rPr>
        <w:t>:</w:t>
      </w:r>
    </w:p>
    <w:p w:rsidR="00E12EAE" w:rsidRPr="00E12EAE" w:rsidRDefault="00D67108" w:rsidP="00E12EAE">
      <w:pPr>
        <w:pStyle w:val="ReportLevel2"/>
        <w:numPr>
          <w:ilvl w:val="0"/>
          <w:numId w:val="38"/>
        </w:numPr>
        <w:spacing w:after="0" w:line="276" w:lineRule="auto"/>
      </w:pPr>
      <w:r w:rsidRPr="00E12EAE">
        <w:rPr>
          <w:b w:val="0"/>
        </w:rPr>
        <w:t xml:space="preserve">to mitigate against </w:t>
      </w:r>
      <w:r w:rsidR="00C60831" w:rsidRPr="00E12EAE">
        <w:rPr>
          <w:b w:val="0"/>
        </w:rPr>
        <w:t>some of the emerging impa</w:t>
      </w:r>
      <w:r w:rsidR="00E12EAE">
        <w:rPr>
          <w:b w:val="0"/>
        </w:rPr>
        <w:t>cts</w:t>
      </w:r>
      <w:r w:rsidRPr="00E12EAE">
        <w:rPr>
          <w:b w:val="0"/>
        </w:rPr>
        <w:t xml:space="preserve"> </w:t>
      </w:r>
    </w:p>
    <w:p w:rsidR="00E12EAE" w:rsidRPr="00E12EAE" w:rsidRDefault="00D67108" w:rsidP="00E12EAE">
      <w:pPr>
        <w:pStyle w:val="ReportLevel2"/>
        <w:numPr>
          <w:ilvl w:val="0"/>
          <w:numId w:val="38"/>
        </w:numPr>
        <w:spacing w:after="0" w:line="276" w:lineRule="auto"/>
      </w:pPr>
      <w:r w:rsidRPr="00E12EAE">
        <w:rPr>
          <w:b w:val="0"/>
        </w:rPr>
        <w:t xml:space="preserve">prevent the widening of </w:t>
      </w:r>
      <w:r w:rsidR="00E12EAE">
        <w:rPr>
          <w:b w:val="0"/>
        </w:rPr>
        <w:t xml:space="preserve">economic inequalities </w:t>
      </w:r>
      <w:r w:rsidR="00C60831" w:rsidRPr="00E12EAE">
        <w:rPr>
          <w:b w:val="0"/>
        </w:rPr>
        <w:t xml:space="preserve"> </w:t>
      </w:r>
    </w:p>
    <w:p w:rsidR="00D67108" w:rsidRDefault="00C60831" w:rsidP="00E12EAE">
      <w:pPr>
        <w:pStyle w:val="ReportLevel2"/>
        <w:numPr>
          <w:ilvl w:val="0"/>
          <w:numId w:val="38"/>
        </w:numPr>
        <w:spacing w:after="0" w:line="276" w:lineRule="auto"/>
        <w:rPr>
          <w:b w:val="0"/>
        </w:rPr>
      </w:pPr>
      <w:r w:rsidRPr="00E12EAE">
        <w:rPr>
          <w:b w:val="0"/>
        </w:rPr>
        <w:t>promote the financial resilience of local residents</w:t>
      </w:r>
    </w:p>
    <w:p w:rsidR="00C60831" w:rsidRDefault="00C60831" w:rsidP="00E12EAE">
      <w:pPr>
        <w:pStyle w:val="ReportLevel3"/>
        <w:numPr>
          <w:ilvl w:val="0"/>
          <w:numId w:val="0"/>
        </w:numPr>
        <w:spacing w:line="276" w:lineRule="auto"/>
      </w:pPr>
      <w:r>
        <w:lastRenderedPageBreak/>
        <w:t>The paper makes recommendations which assist the Board meet the four priorities identified in the Joint Health and Wellbeing Strategy:</w:t>
      </w:r>
    </w:p>
    <w:p w:rsidR="00C60831" w:rsidRDefault="00C60831" w:rsidP="00A03ABE">
      <w:pPr>
        <w:pStyle w:val="ReportLevel3"/>
        <w:numPr>
          <w:ilvl w:val="0"/>
          <w:numId w:val="0"/>
        </w:numPr>
        <w:spacing w:line="276" w:lineRule="auto"/>
        <w:ind w:left="1440"/>
      </w:pPr>
      <w:r w:rsidRPr="006E603A">
        <w:rPr>
          <w:b/>
        </w:rPr>
        <w:t>Priority 1</w:t>
      </w:r>
      <w:r>
        <w:t>:</w:t>
      </w:r>
      <w:r w:rsidR="006E603A">
        <w:t xml:space="preserve"> </w:t>
      </w:r>
      <w:r>
        <w:t>Tackle key health issues where Kent is performing worse than the England average</w:t>
      </w:r>
    </w:p>
    <w:p w:rsidR="00C60831" w:rsidRDefault="00C60831" w:rsidP="00A03ABE">
      <w:pPr>
        <w:pStyle w:val="ReportLevel3"/>
        <w:numPr>
          <w:ilvl w:val="0"/>
          <w:numId w:val="0"/>
        </w:numPr>
        <w:spacing w:line="276" w:lineRule="auto"/>
        <w:ind w:left="1440"/>
      </w:pPr>
      <w:r w:rsidRPr="006E603A">
        <w:rPr>
          <w:b/>
        </w:rPr>
        <w:t>Priority 2</w:t>
      </w:r>
      <w:r>
        <w:t>: Tackle health inequalities</w:t>
      </w:r>
    </w:p>
    <w:p w:rsidR="00C60831" w:rsidRDefault="00C60831" w:rsidP="00A03ABE">
      <w:pPr>
        <w:pStyle w:val="ReportLevel3"/>
        <w:numPr>
          <w:ilvl w:val="0"/>
          <w:numId w:val="0"/>
        </w:numPr>
        <w:spacing w:line="276" w:lineRule="auto"/>
        <w:ind w:left="1440"/>
      </w:pPr>
      <w:r w:rsidRPr="006E603A">
        <w:rPr>
          <w:b/>
        </w:rPr>
        <w:t>Priority 3</w:t>
      </w:r>
      <w:r>
        <w:t>: Tackle gaps in provision</w:t>
      </w:r>
    </w:p>
    <w:p w:rsidR="00C60831" w:rsidRDefault="00C60831" w:rsidP="00A03ABE">
      <w:pPr>
        <w:pStyle w:val="ReportLevel3"/>
        <w:numPr>
          <w:ilvl w:val="0"/>
          <w:numId w:val="0"/>
        </w:numPr>
        <w:spacing w:line="276" w:lineRule="auto"/>
        <w:ind w:left="1418"/>
      </w:pPr>
      <w:r w:rsidRPr="006E603A">
        <w:rPr>
          <w:b/>
        </w:rPr>
        <w:t>Priority 4</w:t>
      </w:r>
      <w:r>
        <w:t>: Transform services to improve outcomes, patient experience and value for money.</w:t>
      </w:r>
    </w:p>
    <w:p w:rsidR="00814AD0" w:rsidRDefault="00C60831" w:rsidP="00814AD0">
      <w:pPr>
        <w:pStyle w:val="ReportLevel3"/>
        <w:numPr>
          <w:ilvl w:val="0"/>
          <w:numId w:val="0"/>
        </w:numPr>
        <w:spacing w:before="240" w:line="276" w:lineRule="auto"/>
        <w:ind w:left="720" w:hanging="720"/>
        <w:rPr>
          <w:b/>
        </w:rPr>
      </w:pPr>
      <w:r w:rsidRPr="00C60831">
        <w:rPr>
          <w:b/>
        </w:rPr>
        <w:t>Recommendations</w:t>
      </w:r>
    </w:p>
    <w:p w:rsidR="00C60831" w:rsidRPr="00814AD0" w:rsidRDefault="00C60831" w:rsidP="00814AD0">
      <w:pPr>
        <w:pStyle w:val="ReportLevel3"/>
        <w:numPr>
          <w:ilvl w:val="0"/>
          <w:numId w:val="0"/>
        </w:numPr>
        <w:spacing w:before="240" w:line="276" w:lineRule="auto"/>
        <w:ind w:left="720" w:hanging="720"/>
        <w:rPr>
          <w:b/>
        </w:rPr>
      </w:pPr>
      <w:r>
        <w:t xml:space="preserve">The </w:t>
      </w:r>
      <w:r w:rsidRPr="00C60831">
        <w:t>Board is recommended to:</w:t>
      </w:r>
    </w:p>
    <w:p w:rsidR="00C60831" w:rsidRPr="00B47304" w:rsidRDefault="006E603A" w:rsidP="00A764D5">
      <w:pPr>
        <w:pStyle w:val="ReportLevel1"/>
        <w:spacing w:line="276" w:lineRule="auto"/>
        <w:jc w:val="both"/>
        <w:rPr>
          <w:b w:val="0"/>
          <w:u w:val="none"/>
        </w:rPr>
      </w:pPr>
      <w:r>
        <w:rPr>
          <w:b w:val="0"/>
          <w:caps w:val="0"/>
          <w:u w:val="none"/>
        </w:rPr>
        <w:t>Make Every Contact Count.  C</w:t>
      </w:r>
      <w:r w:rsidR="00B47304" w:rsidRPr="00B47304">
        <w:rPr>
          <w:b w:val="0"/>
          <w:caps w:val="0"/>
          <w:u w:val="none"/>
        </w:rPr>
        <w:t xml:space="preserve">ommissioners of services in </w:t>
      </w:r>
      <w:r w:rsidR="008B7376">
        <w:rPr>
          <w:b w:val="0"/>
          <w:caps w:val="0"/>
          <w:u w:val="none"/>
        </w:rPr>
        <w:t>W</w:t>
      </w:r>
      <w:r w:rsidR="00B47304" w:rsidRPr="00B47304">
        <w:rPr>
          <w:b w:val="0"/>
          <w:caps w:val="0"/>
          <w:u w:val="none"/>
        </w:rPr>
        <w:t xml:space="preserve">est </w:t>
      </w:r>
      <w:r w:rsidR="008B7376">
        <w:rPr>
          <w:b w:val="0"/>
          <w:caps w:val="0"/>
          <w:u w:val="none"/>
        </w:rPr>
        <w:t>K</w:t>
      </w:r>
      <w:r w:rsidR="00B47304" w:rsidRPr="00B47304">
        <w:rPr>
          <w:b w:val="0"/>
          <w:caps w:val="0"/>
          <w:u w:val="none"/>
        </w:rPr>
        <w:t xml:space="preserve">ent (such as </w:t>
      </w:r>
      <w:r w:rsidR="00814AD0">
        <w:rPr>
          <w:b w:val="0"/>
          <w:caps w:val="0"/>
          <w:u w:val="none"/>
        </w:rPr>
        <w:t xml:space="preserve">the </w:t>
      </w:r>
      <w:r w:rsidR="00F456FF">
        <w:rPr>
          <w:b w:val="0"/>
          <w:caps w:val="0"/>
          <w:u w:val="none"/>
        </w:rPr>
        <w:t>C</w:t>
      </w:r>
      <w:r w:rsidR="00B47304" w:rsidRPr="00B47304">
        <w:rPr>
          <w:b w:val="0"/>
          <w:caps w:val="0"/>
          <w:u w:val="none"/>
        </w:rPr>
        <w:t xml:space="preserve">linical </w:t>
      </w:r>
      <w:r w:rsidR="00F456FF">
        <w:rPr>
          <w:b w:val="0"/>
          <w:caps w:val="0"/>
          <w:u w:val="none"/>
        </w:rPr>
        <w:t>C</w:t>
      </w:r>
      <w:r w:rsidR="00B47304" w:rsidRPr="00B47304">
        <w:rPr>
          <w:b w:val="0"/>
          <w:caps w:val="0"/>
          <w:u w:val="none"/>
        </w:rPr>
        <w:t xml:space="preserve">ommissioning </w:t>
      </w:r>
      <w:r w:rsidR="00F456FF">
        <w:rPr>
          <w:b w:val="0"/>
          <w:caps w:val="0"/>
          <w:u w:val="none"/>
        </w:rPr>
        <w:t>G</w:t>
      </w:r>
      <w:r w:rsidR="00814AD0">
        <w:rPr>
          <w:b w:val="0"/>
          <w:caps w:val="0"/>
          <w:u w:val="none"/>
        </w:rPr>
        <w:t>roup</w:t>
      </w:r>
      <w:r w:rsidR="00B47304" w:rsidRPr="00B47304">
        <w:rPr>
          <w:b w:val="0"/>
          <w:caps w:val="0"/>
          <w:u w:val="none"/>
        </w:rPr>
        <w:t xml:space="preserve"> and local authorities) jointly </w:t>
      </w:r>
      <w:r w:rsidR="00A03ABE">
        <w:rPr>
          <w:b w:val="0"/>
          <w:caps w:val="0"/>
          <w:u w:val="none"/>
        </w:rPr>
        <w:t xml:space="preserve">consider </w:t>
      </w:r>
      <w:r w:rsidR="00B47304" w:rsidRPr="00B47304">
        <w:rPr>
          <w:b w:val="0"/>
          <w:caps w:val="0"/>
          <w:u w:val="none"/>
        </w:rPr>
        <w:t xml:space="preserve">a local single point of contact </w:t>
      </w:r>
      <w:r w:rsidR="007C3EFC">
        <w:rPr>
          <w:b w:val="0"/>
          <w:caps w:val="0"/>
          <w:u w:val="none"/>
        </w:rPr>
        <w:t>for wellbeing and housing related</w:t>
      </w:r>
      <w:r w:rsidR="00B47304" w:rsidRPr="00B47304">
        <w:rPr>
          <w:b w:val="0"/>
          <w:caps w:val="0"/>
          <w:u w:val="none"/>
        </w:rPr>
        <w:t xml:space="preserve"> service</w:t>
      </w:r>
      <w:r w:rsidR="007C3EFC">
        <w:rPr>
          <w:b w:val="0"/>
          <w:caps w:val="0"/>
          <w:u w:val="none"/>
        </w:rPr>
        <w:t>s</w:t>
      </w:r>
      <w:r w:rsidR="00B47304" w:rsidRPr="00B47304">
        <w:rPr>
          <w:b w:val="0"/>
          <w:caps w:val="0"/>
          <w:u w:val="none"/>
        </w:rPr>
        <w:t xml:space="preserve"> that helps people who are identified as being vulnerable to the health problems associated with issues such as homelessness, financial hardship</w:t>
      </w:r>
      <w:r w:rsidR="007C3EFC">
        <w:rPr>
          <w:b w:val="0"/>
          <w:caps w:val="0"/>
          <w:u w:val="none"/>
        </w:rPr>
        <w:t>, frailty</w:t>
      </w:r>
      <w:r w:rsidR="00B47304" w:rsidRPr="00B47304">
        <w:rPr>
          <w:b w:val="0"/>
          <w:caps w:val="0"/>
          <w:u w:val="none"/>
        </w:rPr>
        <w:t xml:space="preserve"> and cold homes to receive tailored support in order to improve health</w:t>
      </w:r>
      <w:r w:rsidR="007C3EFC">
        <w:rPr>
          <w:b w:val="0"/>
          <w:caps w:val="0"/>
          <w:u w:val="none"/>
        </w:rPr>
        <w:t xml:space="preserve"> outcomes</w:t>
      </w:r>
      <w:r w:rsidR="00B47304" w:rsidRPr="00B47304">
        <w:rPr>
          <w:b w:val="0"/>
          <w:caps w:val="0"/>
          <w:u w:val="none"/>
        </w:rPr>
        <w:t>.</w:t>
      </w:r>
    </w:p>
    <w:p w:rsidR="00B957C3" w:rsidRPr="00B957C3" w:rsidRDefault="00B957C3" w:rsidP="00A764D5">
      <w:pPr>
        <w:pStyle w:val="ReportLevel1"/>
        <w:numPr>
          <w:ilvl w:val="0"/>
          <w:numId w:val="0"/>
        </w:numPr>
        <w:ind w:left="720" w:hanging="720"/>
        <w:jc w:val="both"/>
        <w:rPr>
          <w:b w:val="0"/>
          <w:u w:val="none"/>
        </w:rPr>
      </w:pPr>
      <w:r w:rsidRPr="00B957C3">
        <w:rPr>
          <w:u w:val="none"/>
        </w:rPr>
        <w:t>2</w:t>
      </w:r>
      <w:r>
        <w:rPr>
          <w:b w:val="0"/>
          <w:u w:val="none"/>
        </w:rPr>
        <w:tab/>
      </w:r>
      <w:r>
        <w:rPr>
          <w:b w:val="0"/>
          <w:caps w:val="0"/>
          <w:u w:val="none"/>
        </w:rPr>
        <w:t>E</w:t>
      </w:r>
      <w:r w:rsidRPr="00B957C3">
        <w:rPr>
          <w:b w:val="0"/>
          <w:caps w:val="0"/>
          <w:u w:val="none"/>
        </w:rPr>
        <w:t xml:space="preserve">ncourage participation in preventative activities </w:t>
      </w:r>
      <w:r>
        <w:rPr>
          <w:b w:val="0"/>
          <w:caps w:val="0"/>
          <w:u w:val="none"/>
        </w:rPr>
        <w:t>that contribute to the maintenance of good health, and to reducing episodes of poor health</w:t>
      </w:r>
      <w:r w:rsidR="007C3EFC">
        <w:rPr>
          <w:b w:val="0"/>
          <w:caps w:val="0"/>
          <w:u w:val="none"/>
        </w:rPr>
        <w:t xml:space="preserve"> such as signposting for smoking cessation, drugs and alcohol services.</w:t>
      </w:r>
    </w:p>
    <w:p w:rsidR="00C60831" w:rsidRPr="00B47304" w:rsidRDefault="00B957C3" w:rsidP="00A764D5">
      <w:pPr>
        <w:pStyle w:val="ReportLevel1"/>
        <w:numPr>
          <w:ilvl w:val="0"/>
          <w:numId w:val="0"/>
        </w:numPr>
        <w:spacing w:line="276" w:lineRule="auto"/>
        <w:ind w:left="720" w:hanging="720"/>
        <w:jc w:val="both"/>
        <w:rPr>
          <w:b w:val="0"/>
          <w:u w:val="none"/>
        </w:rPr>
      </w:pPr>
      <w:r w:rsidRPr="00B957C3">
        <w:rPr>
          <w:caps w:val="0"/>
          <w:u w:val="none"/>
        </w:rPr>
        <w:t>3</w:t>
      </w:r>
      <w:r>
        <w:rPr>
          <w:b w:val="0"/>
          <w:caps w:val="0"/>
          <w:u w:val="none"/>
        </w:rPr>
        <w:tab/>
      </w:r>
      <w:r w:rsidR="006E603A">
        <w:rPr>
          <w:b w:val="0"/>
          <w:caps w:val="0"/>
          <w:u w:val="none"/>
        </w:rPr>
        <w:t>S</w:t>
      </w:r>
      <w:r w:rsidR="00B47304" w:rsidRPr="00B47304">
        <w:rPr>
          <w:b w:val="0"/>
          <w:caps w:val="0"/>
          <w:u w:val="none"/>
        </w:rPr>
        <w:t>et up targeted social prescribing</w:t>
      </w:r>
      <w:r w:rsidR="006E603A">
        <w:rPr>
          <w:b w:val="0"/>
          <w:caps w:val="0"/>
          <w:u w:val="none"/>
        </w:rPr>
        <w:t xml:space="preserve"> pilots in West K</w:t>
      </w:r>
      <w:r w:rsidR="00B47304" w:rsidRPr="00B47304">
        <w:rPr>
          <w:b w:val="0"/>
          <w:caps w:val="0"/>
          <w:u w:val="none"/>
        </w:rPr>
        <w:t>ent with local partners which provide opportunities to explore the potential for social prescribing of housing adaptations, warm home and other work to sustain the financial resilience of residents</w:t>
      </w:r>
      <w:r w:rsidR="00F456FF">
        <w:rPr>
          <w:b w:val="0"/>
          <w:caps w:val="0"/>
          <w:u w:val="none"/>
        </w:rPr>
        <w:t xml:space="preserve"> and prevent the widening of economic inequalities</w:t>
      </w:r>
      <w:r w:rsidR="00B47304" w:rsidRPr="00B47304">
        <w:rPr>
          <w:b w:val="0"/>
          <w:caps w:val="0"/>
          <w:u w:val="none"/>
        </w:rPr>
        <w:t>.</w:t>
      </w:r>
    </w:p>
    <w:p w:rsidR="00F456FF" w:rsidRPr="00F456FF" w:rsidRDefault="00F456FF" w:rsidP="00A764D5">
      <w:pPr>
        <w:pStyle w:val="ReportLevel1"/>
        <w:numPr>
          <w:ilvl w:val="0"/>
          <w:numId w:val="34"/>
        </w:numPr>
        <w:spacing w:line="276" w:lineRule="auto"/>
        <w:jc w:val="both"/>
        <w:rPr>
          <w:b w:val="0"/>
          <w:u w:val="none"/>
        </w:rPr>
      </w:pPr>
      <w:r w:rsidRPr="00F456FF">
        <w:rPr>
          <w:b w:val="0"/>
          <w:caps w:val="0"/>
          <w:u w:val="none"/>
        </w:rPr>
        <w:t>Consider new ways of working with local councils and other providers in the health and care system that maximise</w:t>
      </w:r>
      <w:r w:rsidR="00481B82">
        <w:rPr>
          <w:b w:val="0"/>
          <w:caps w:val="0"/>
          <w:u w:val="none"/>
        </w:rPr>
        <w:t xml:space="preserve"> </w:t>
      </w:r>
      <w:r w:rsidR="007C3EFC">
        <w:rPr>
          <w:b w:val="0"/>
          <w:caps w:val="0"/>
          <w:u w:val="none"/>
        </w:rPr>
        <w:t>opportunities to reduce</w:t>
      </w:r>
      <w:r w:rsidRPr="00F456FF">
        <w:rPr>
          <w:b w:val="0"/>
          <w:caps w:val="0"/>
          <w:u w:val="none"/>
        </w:rPr>
        <w:t xml:space="preserve"> health inequalities.</w:t>
      </w:r>
    </w:p>
    <w:p w:rsidR="00F456FF" w:rsidRPr="00F456FF" w:rsidRDefault="00F456FF" w:rsidP="00A764D5">
      <w:pPr>
        <w:pStyle w:val="ReportLevel1"/>
        <w:numPr>
          <w:ilvl w:val="0"/>
          <w:numId w:val="34"/>
        </w:numPr>
        <w:spacing w:line="276" w:lineRule="auto"/>
        <w:jc w:val="both"/>
        <w:rPr>
          <w:b w:val="0"/>
          <w:u w:val="none"/>
        </w:rPr>
      </w:pPr>
      <w:r w:rsidRPr="00F456FF">
        <w:rPr>
          <w:b w:val="0"/>
          <w:caps w:val="0"/>
          <w:u w:val="none"/>
        </w:rPr>
        <w:t>Explore opportunities to review and strengthen hospital discharge protocols to ensure effective joint care planning and co-ordination in delivery of comprehensive support packages including housing related assistance.</w:t>
      </w:r>
    </w:p>
    <w:p w:rsidR="00C60831" w:rsidRPr="00B957C3" w:rsidRDefault="00B957C3" w:rsidP="00A764D5">
      <w:pPr>
        <w:pStyle w:val="ReportLevel1"/>
        <w:numPr>
          <w:ilvl w:val="0"/>
          <w:numId w:val="34"/>
        </w:numPr>
        <w:spacing w:line="276" w:lineRule="auto"/>
        <w:jc w:val="both"/>
        <w:rPr>
          <w:b w:val="0"/>
          <w:u w:val="none"/>
        </w:rPr>
      </w:pPr>
      <w:r>
        <w:rPr>
          <w:b w:val="0"/>
          <w:caps w:val="0"/>
          <w:u w:val="none"/>
        </w:rPr>
        <w:t xml:space="preserve">Encourage </w:t>
      </w:r>
      <w:r w:rsidR="006E603A" w:rsidRPr="00B957C3">
        <w:rPr>
          <w:b w:val="0"/>
          <w:caps w:val="0"/>
          <w:u w:val="none"/>
        </w:rPr>
        <w:t>CCG</w:t>
      </w:r>
      <w:r w:rsidR="00B47304" w:rsidRPr="00B957C3">
        <w:rPr>
          <w:b w:val="0"/>
          <w:caps w:val="0"/>
          <w:u w:val="none"/>
        </w:rPr>
        <w:t xml:space="preserve"> representati</w:t>
      </w:r>
      <w:r w:rsidRPr="00B957C3">
        <w:rPr>
          <w:b w:val="0"/>
          <w:caps w:val="0"/>
          <w:u w:val="none"/>
        </w:rPr>
        <w:t>on on the project board of the I</w:t>
      </w:r>
      <w:r w:rsidR="00B47304" w:rsidRPr="00B957C3">
        <w:rPr>
          <w:b w:val="0"/>
          <w:caps w:val="0"/>
          <w:u w:val="none"/>
        </w:rPr>
        <w:t>ntegrat</w:t>
      </w:r>
      <w:r w:rsidRPr="00B957C3">
        <w:rPr>
          <w:b w:val="0"/>
          <w:caps w:val="0"/>
          <w:u w:val="none"/>
        </w:rPr>
        <w:t>ion, Housing, Health and Social Care P</w:t>
      </w:r>
      <w:r w:rsidR="00B47304" w:rsidRPr="00B957C3">
        <w:rPr>
          <w:b w:val="0"/>
          <w:caps w:val="0"/>
          <w:u w:val="none"/>
        </w:rPr>
        <w:t>roject.</w:t>
      </w:r>
    </w:p>
    <w:p w:rsidR="00AF6570" w:rsidRPr="00C60831" w:rsidRDefault="006132AF" w:rsidP="00A764D5">
      <w:pPr>
        <w:pStyle w:val="ReportLevel3"/>
        <w:numPr>
          <w:ilvl w:val="0"/>
          <w:numId w:val="0"/>
        </w:numPr>
        <w:spacing w:line="276" w:lineRule="auto"/>
        <w:ind w:left="720" w:hanging="720"/>
        <w:jc w:val="both"/>
      </w:pPr>
      <w:r>
        <w:rPr>
          <w:b/>
        </w:rPr>
        <w:t>7</w:t>
      </w:r>
      <w:r w:rsidR="00AF6570">
        <w:tab/>
        <w:t xml:space="preserve">Explore opportunities for </w:t>
      </w:r>
      <w:r w:rsidR="00F456FF">
        <w:t xml:space="preserve">working with </w:t>
      </w:r>
      <w:r w:rsidR="00AF6570">
        <w:t>relevant strategic partnership groups</w:t>
      </w:r>
      <w:r w:rsidR="00F456FF">
        <w:t xml:space="preserve"> and agencies (including the Kent Health and Wellbeing Board and Kent County Council)</w:t>
      </w:r>
      <w:r w:rsidR="00AF6570">
        <w:t xml:space="preserve">, to </w:t>
      </w:r>
      <w:r w:rsidR="00F456FF">
        <w:t>mitigate against any negative impacts.</w:t>
      </w:r>
    </w:p>
    <w:p w:rsidR="00AF6570" w:rsidRDefault="00AF6570" w:rsidP="008674CF">
      <w:pPr>
        <w:pStyle w:val="ReportLevel3"/>
        <w:numPr>
          <w:ilvl w:val="0"/>
          <w:numId w:val="0"/>
        </w:numPr>
        <w:spacing w:line="480" w:lineRule="auto"/>
        <w:ind w:left="72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456FF">
        <w:rPr>
          <w:u w:val="single"/>
        </w:rPr>
        <w:tab/>
      </w:r>
      <w:r>
        <w:rPr>
          <w:u w:val="single"/>
        </w:rPr>
        <w:tab/>
      </w:r>
      <w:r>
        <w:rPr>
          <w:u w:val="single"/>
        </w:rPr>
        <w:tab/>
      </w:r>
    </w:p>
    <w:p w:rsidR="00C60831" w:rsidRDefault="00AF6570" w:rsidP="008674CF">
      <w:pPr>
        <w:pStyle w:val="ReportLevel2"/>
        <w:spacing w:line="480" w:lineRule="auto"/>
      </w:pPr>
      <w:r>
        <w:lastRenderedPageBreak/>
        <w:t>Policy Context</w:t>
      </w:r>
    </w:p>
    <w:p w:rsidR="00AF6570" w:rsidRPr="00814AD0" w:rsidRDefault="00AF6570" w:rsidP="00B1065F">
      <w:pPr>
        <w:pStyle w:val="ReportLevel3"/>
        <w:numPr>
          <w:ilvl w:val="0"/>
          <w:numId w:val="0"/>
        </w:numPr>
        <w:spacing w:line="276" w:lineRule="auto"/>
        <w:ind w:left="720" w:hanging="720"/>
        <w:jc w:val="both"/>
        <w:rPr>
          <w:vertAlign w:val="superscript"/>
        </w:rPr>
      </w:pPr>
      <w:r>
        <w:t>1.1</w:t>
      </w:r>
      <w:r>
        <w:tab/>
        <w:t>The welfare and housing measures contained in the 2016 Act, are based on the Government’</w:t>
      </w:r>
      <w:r w:rsidR="00B47304">
        <w:t xml:space="preserve">s stated assessment </w:t>
      </w:r>
      <w:r>
        <w:t>of</w:t>
      </w:r>
      <w:r w:rsidR="00B47304">
        <w:t xml:space="preserve"> </w:t>
      </w:r>
      <w:r>
        <w:t>the current economic climate and commitment to a fairer system for taxpayers; promoting work as a means of tackling pov</w:t>
      </w:r>
      <w:r w:rsidR="00B47304">
        <w:t>erty; achieving full employment and enabling a move from a high tax, high welfare and low wage society to a lower tax, lower welfare and higher wage society.</w:t>
      </w:r>
      <w:r w:rsidR="00814AD0">
        <w:rPr>
          <w:vertAlign w:val="superscript"/>
        </w:rPr>
        <w:t>2</w:t>
      </w:r>
      <w:r w:rsidR="00295974" w:rsidRPr="00295974">
        <w:rPr>
          <w:b/>
          <w:i/>
        </w:rPr>
        <w:t xml:space="preserve"> </w:t>
      </w:r>
      <w:r w:rsidR="00295974" w:rsidRPr="00295974">
        <w:rPr>
          <w:i/>
        </w:rPr>
        <w:t>See Appendix</w:t>
      </w:r>
      <w:r w:rsidR="00295974" w:rsidRPr="00295974">
        <w:t xml:space="preserve"> </w:t>
      </w:r>
      <w:r w:rsidR="00295974" w:rsidRPr="00295974">
        <w:rPr>
          <w:i/>
        </w:rPr>
        <w:t>1</w:t>
      </w:r>
    </w:p>
    <w:p w:rsidR="00311C05" w:rsidRDefault="00311C05" w:rsidP="00B1065F">
      <w:pPr>
        <w:pStyle w:val="ReportLevel2"/>
        <w:spacing w:line="480" w:lineRule="auto"/>
        <w:jc w:val="both"/>
      </w:pPr>
      <w:r>
        <w:t xml:space="preserve">Work Related Measures </w:t>
      </w:r>
    </w:p>
    <w:p w:rsidR="00311C05" w:rsidRPr="00311C05" w:rsidRDefault="00311C05" w:rsidP="00B1065F">
      <w:pPr>
        <w:spacing w:line="276" w:lineRule="auto"/>
        <w:ind w:left="720" w:hanging="720"/>
        <w:jc w:val="both"/>
        <w:rPr>
          <w:rFonts w:eastAsiaTheme="minorHAnsi" w:cstheme="minorBidi"/>
          <w:szCs w:val="22"/>
        </w:rPr>
      </w:pPr>
      <w:r w:rsidRPr="00311C05">
        <w:t>2.</w:t>
      </w:r>
      <w:r w:rsidR="00A25589">
        <w:t>1</w:t>
      </w:r>
      <w:r w:rsidRPr="00311C05">
        <w:tab/>
      </w:r>
      <w:r w:rsidRPr="00311C05">
        <w:rPr>
          <w:rFonts w:eastAsiaTheme="minorHAnsi" w:cstheme="minorBidi"/>
          <w:szCs w:val="22"/>
        </w:rPr>
        <w:t xml:space="preserve">The changes that will be introduced as a result of the Welfare Reform Act 2016 </w:t>
      </w:r>
      <w:r w:rsidR="00481B82">
        <w:rPr>
          <w:rFonts w:eastAsiaTheme="minorHAnsi" w:cstheme="minorBidi"/>
          <w:szCs w:val="22"/>
        </w:rPr>
        <w:t xml:space="preserve">are intended to </w:t>
      </w:r>
      <w:r w:rsidRPr="00311C05">
        <w:rPr>
          <w:rFonts w:eastAsiaTheme="minorHAnsi" w:cstheme="minorBidi"/>
          <w:szCs w:val="22"/>
        </w:rPr>
        <w:t>increase the incentive to move into work and continue to promote the principle that people should be better off in work than on benefits.</w:t>
      </w:r>
    </w:p>
    <w:p w:rsidR="00311C05" w:rsidRPr="00311C05" w:rsidRDefault="00311C05" w:rsidP="00B1065F">
      <w:pPr>
        <w:spacing w:line="276" w:lineRule="auto"/>
        <w:ind w:left="720" w:hanging="720"/>
        <w:jc w:val="both"/>
        <w:rPr>
          <w:rFonts w:eastAsiaTheme="minorHAnsi" w:cstheme="minorBidi"/>
          <w:szCs w:val="22"/>
        </w:rPr>
      </w:pPr>
    </w:p>
    <w:p w:rsidR="00311C05" w:rsidRPr="00F808AD" w:rsidRDefault="00A25589" w:rsidP="00B1065F">
      <w:pPr>
        <w:spacing w:line="276" w:lineRule="auto"/>
        <w:ind w:left="720" w:hanging="720"/>
        <w:jc w:val="both"/>
        <w:rPr>
          <w:rFonts w:eastAsiaTheme="minorHAnsi" w:cs="Arial"/>
          <w:szCs w:val="24"/>
        </w:rPr>
      </w:pPr>
      <w:r>
        <w:rPr>
          <w:rFonts w:eastAsiaTheme="minorHAnsi" w:cstheme="minorBidi"/>
          <w:szCs w:val="22"/>
        </w:rPr>
        <w:t>2.2</w:t>
      </w:r>
      <w:r w:rsidR="00311C05" w:rsidRPr="00311C05">
        <w:rPr>
          <w:rFonts w:eastAsiaTheme="minorHAnsi" w:cstheme="minorBidi"/>
          <w:szCs w:val="22"/>
        </w:rPr>
        <w:tab/>
      </w:r>
      <w:r w:rsidR="00311C05" w:rsidRPr="00F808AD">
        <w:rPr>
          <w:rFonts w:eastAsiaTheme="minorHAnsi" w:cs="Arial"/>
          <w:szCs w:val="24"/>
        </w:rPr>
        <w:t xml:space="preserve">In addition benefit claimants will be helped by other changes announced at the Summer Budget </w:t>
      </w:r>
      <w:r>
        <w:rPr>
          <w:rFonts w:eastAsiaTheme="minorHAnsi" w:cs="Arial"/>
          <w:szCs w:val="24"/>
        </w:rPr>
        <w:t xml:space="preserve">2015 </w:t>
      </w:r>
      <w:r w:rsidR="00311C05" w:rsidRPr="00F808AD">
        <w:rPr>
          <w:rFonts w:eastAsiaTheme="minorHAnsi" w:cs="Arial"/>
          <w:szCs w:val="24"/>
        </w:rPr>
        <w:t>to ensure claimants can earn more. These include:</w:t>
      </w:r>
    </w:p>
    <w:p w:rsidR="00311C05" w:rsidRPr="00F808AD" w:rsidRDefault="00311C05" w:rsidP="00B1065F">
      <w:pPr>
        <w:spacing w:line="276" w:lineRule="auto"/>
        <w:ind w:left="720" w:hanging="720"/>
        <w:jc w:val="both"/>
        <w:rPr>
          <w:rFonts w:eastAsiaTheme="minorHAnsi" w:cs="Arial"/>
          <w:szCs w:val="24"/>
        </w:rPr>
      </w:pPr>
    </w:p>
    <w:p w:rsidR="00311C05" w:rsidRPr="00F808AD" w:rsidRDefault="00311C05" w:rsidP="00B1065F">
      <w:pPr>
        <w:spacing w:after="200" w:line="276" w:lineRule="auto"/>
        <w:ind w:left="720" w:hanging="294"/>
        <w:jc w:val="both"/>
        <w:rPr>
          <w:rFonts w:eastAsiaTheme="minorHAnsi" w:cs="Arial"/>
          <w:szCs w:val="24"/>
        </w:rPr>
      </w:pPr>
      <w:r w:rsidRPr="00F808AD">
        <w:rPr>
          <w:rFonts w:eastAsiaTheme="minorHAnsi" w:cs="Arial"/>
          <w:szCs w:val="24"/>
        </w:rPr>
        <w:t xml:space="preserve">• </w:t>
      </w:r>
      <w:r w:rsidRPr="00F808AD">
        <w:rPr>
          <w:rFonts w:eastAsiaTheme="minorHAnsi" w:cs="Arial"/>
          <w:szCs w:val="24"/>
        </w:rPr>
        <w:tab/>
        <w:t>Bringing in the National Living Wage - which is set t</w:t>
      </w:r>
      <w:r w:rsidR="00F808AD">
        <w:rPr>
          <w:rFonts w:eastAsiaTheme="minorHAnsi" w:cs="Arial"/>
          <w:szCs w:val="24"/>
        </w:rPr>
        <w:t>o reach over £9 an hour by 2020</w:t>
      </w:r>
    </w:p>
    <w:p w:rsidR="00311C05" w:rsidRPr="00F808AD" w:rsidRDefault="00311C05" w:rsidP="00B1065F">
      <w:pPr>
        <w:spacing w:after="200" w:line="276" w:lineRule="auto"/>
        <w:ind w:left="426"/>
        <w:jc w:val="both"/>
        <w:rPr>
          <w:rFonts w:eastAsiaTheme="minorHAnsi" w:cs="Arial"/>
          <w:szCs w:val="24"/>
        </w:rPr>
      </w:pPr>
      <w:r w:rsidRPr="00F808AD">
        <w:rPr>
          <w:rFonts w:eastAsiaTheme="minorHAnsi" w:cs="Arial"/>
          <w:szCs w:val="24"/>
        </w:rPr>
        <w:t xml:space="preserve">• </w:t>
      </w:r>
      <w:r w:rsidRPr="00F808AD">
        <w:rPr>
          <w:rFonts w:eastAsiaTheme="minorHAnsi" w:cs="Arial"/>
          <w:szCs w:val="24"/>
        </w:rPr>
        <w:tab/>
        <w:t xml:space="preserve">Increasing the personal tax allowance to £11,000 a year in April this year </w:t>
      </w:r>
    </w:p>
    <w:p w:rsidR="00311C05" w:rsidRPr="00F808AD" w:rsidRDefault="00311C05" w:rsidP="00B1065F">
      <w:pPr>
        <w:pStyle w:val="ListParagraph"/>
        <w:numPr>
          <w:ilvl w:val="0"/>
          <w:numId w:val="35"/>
        </w:numPr>
        <w:jc w:val="both"/>
        <w:rPr>
          <w:rFonts w:ascii="Arial" w:hAnsi="Arial" w:cs="Arial"/>
          <w:sz w:val="24"/>
          <w:szCs w:val="24"/>
        </w:rPr>
      </w:pPr>
      <w:r w:rsidRPr="00F808AD">
        <w:rPr>
          <w:rFonts w:ascii="Arial" w:hAnsi="Arial" w:cs="Arial"/>
          <w:sz w:val="24"/>
          <w:szCs w:val="24"/>
        </w:rPr>
        <w:t>Increasing and providing for eligible costs of childcare in Universal Credit to 85% and doubling the free early years provision to 30 hours a week for working parents of 3 to 4 year olds.</w:t>
      </w:r>
    </w:p>
    <w:p w:rsidR="00311C05" w:rsidRPr="00311C05" w:rsidRDefault="00A25589" w:rsidP="00B1065F">
      <w:pPr>
        <w:spacing w:after="240" w:line="276" w:lineRule="auto"/>
        <w:ind w:left="720" w:hanging="720"/>
        <w:jc w:val="both"/>
      </w:pPr>
      <w:r>
        <w:t>2.3</w:t>
      </w:r>
      <w:r w:rsidR="00311C05" w:rsidRPr="00311C05">
        <w:tab/>
      </w:r>
      <w:r w:rsidR="00311C05" w:rsidRPr="00311C05">
        <w:rPr>
          <w:u w:val="single"/>
        </w:rPr>
        <w:t>Potential Issues in relation to the New Work Related Measures</w:t>
      </w:r>
      <w:r w:rsidR="00F808AD">
        <w:rPr>
          <w:u w:val="single"/>
        </w:rPr>
        <w:t>: Local DWP Perspective</w:t>
      </w:r>
    </w:p>
    <w:p w:rsidR="00311C05" w:rsidRPr="00311C05" w:rsidRDefault="00A25589" w:rsidP="00B1065F">
      <w:pPr>
        <w:spacing w:after="200" w:line="276" w:lineRule="auto"/>
        <w:ind w:left="720" w:hanging="720"/>
        <w:jc w:val="both"/>
        <w:rPr>
          <w:rFonts w:eastAsiaTheme="minorHAnsi" w:cstheme="minorBidi"/>
          <w:szCs w:val="22"/>
        </w:rPr>
      </w:pPr>
      <w:r>
        <w:rPr>
          <w:rFonts w:eastAsiaTheme="minorHAnsi" w:cstheme="minorBidi"/>
          <w:szCs w:val="22"/>
        </w:rPr>
        <w:t>2.3</w:t>
      </w:r>
      <w:r w:rsidR="00311C05" w:rsidRPr="00311C05">
        <w:rPr>
          <w:rFonts w:eastAsiaTheme="minorHAnsi" w:cstheme="minorBidi"/>
          <w:szCs w:val="22"/>
        </w:rPr>
        <w:t>.1</w:t>
      </w:r>
      <w:r w:rsidR="00311C05" w:rsidRPr="00311C05">
        <w:rPr>
          <w:rFonts w:eastAsiaTheme="minorHAnsi" w:cstheme="minorBidi"/>
          <w:szCs w:val="22"/>
        </w:rPr>
        <w:tab/>
      </w:r>
      <w:r w:rsidR="0093669F">
        <w:rPr>
          <w:rFonts w:eastAsiaTheme="minorHAnsi" w:cstheme="minorBidi"/>
          <w:szCs w:val="22"/>
        </w:rPr>
        <w:t>The l</w:t>
      </w:r>
      <w:r w:rsidR="005B4525">
        <w:rPr>
          <w:rFonts w:eastAsiaTheme="minorHAnsi" w:cstheme="minorBidi"/>
          <w:szCs w:val="22"/>
        </w:rPr>
        <w:t>ocal D</w:t>
      </w:r>
      <w:r w:rsidR="0093669F">
        <w:rPr>
          <w:rFonts w:eastAsiaTheme="minorHAnsi" w:cstheme="minorBidi"/>
          <w:szCs w:val="22"/>
        </w:rPr>
        <w:t>epartment for Work and Pensions (D</w:t>
      </w:r>
      <w:r w:rsidR="005B4525">
        <w:rPr>
          <w:rFonts w:eastAsiaTheme="minorHAnsi" w:cstheme="minorBidi"/>
          <w:szCs w:val="22"/>
        </w:rPr>
        <w:t>WP</w:t>
      </w:r>
      <w:r w:rsidR="0093669F">
        <w:rPr>
          <w:rFonts w:eastAsiaTheme="minorHAnsi" w:cstheme="minorBidi"/>
          <w:szCs w:val="22"/>
        </w:rPr>
        <w:t xml:space="preserve">) </w:t>
      </w:r>
      <w:r w:rsidR="005B4525">
        <w:rPr>
          <w:rFonts w:eastAsiaTheme="minorHAnsi" w:cstheme="minorBidi"/>
          <w:szCs w:val="22"/>
        </w:rPr>
        <w:t>feels that t</w:t>
      </w:r>
      <w:r w:rsidR="00311C05" w:rsidRPr="00311C05">
        <w:rPr>
          <w:rFonts w:eastAsiaTheme="minorHAnsi" w:cstheme="minorBidi"/>
          <w:szCs w:val="22"/>
        </w:rPr>
        <w:t>here is a lack of relationship or links between local GPs and Jobcentres</w:t>
      </w:r>
      <w:r w:rsidR="0093669F">
        <w:rPr>
          <w:rFonts w:eastAsiaTheme="minorHAnsi" w:cstheme="minorBidi"/>
          <w:szCs w:val="22"/>
        </w:rPr>
        <w:t xml:space="preserve"> and believe t</w:t>
      </w:r>
      <w:r w:rsidR="00311C05" w:rsidRPr="00311C05">
        <w:rPr>
          <w:rFonts w:eastAsiaTheme="minorHAnsi" w:cstheme="minorBidi"/>
          <w:szCs w:val="22"/>
        </w:rPr>
        <w:t>his is a missed opportunity since many of the same customers</w:t>
      </w:r>
      <w:r w:rsidR="00311C05">
        <w:rPr>
          <w:rFonts w:eastAsiaTheme="minorHAnsi" w:cstheme="minorBidi"/>
          <w:szCs w:val="22"/>
        </w:rPr>
        <w:t xml:space="preserve"> are shared</w:t>
      </w:r>
      <w:r w:rsidR="00311C05" w:rsidRPr="00311C05">
        <w:rPr>
          <w:rFonts w:eastAsiaTheme="minorHAnsi" w:cstheme="minorBidi"/>
          <w:szCs w:val="22"/>
        </w:rPr>
        <w:t xml:space="preserve">. Local Jobcentres </w:t>
      </w:r>
      <w:r w:rsidR="00311C05">
        <w:rPr>
          <w:rFonts w:eastAsiaTheme="minorHAnsi" w:cstheme="minorBidi"/>
          <w:szCs w:val="22"/>
        </w:rPr>
        <w:t xml:space="preserve">report </w:t>
      </w:r>
      <w:r w:rsidR="00311C05" w:rsidRPr="00311C05">
        <w:rPr>
          <w:rFonts w:eastAsiaTheme="minorHAnsi" w:cstheme="minorBidi"/>
          <w:szCs w:val="22"/>
        </w:rPr>
        <w:t>difficult</w:t>
      </w:r>
      <w:r w:rsidR="00311C05">
        <w:rPr>
          <w:rFonts w:eastAsiaTheme="minorHAnsi" w:cstheme="minorBidi"/>
          <w:szCs w:val="22"/>
        </w:rPr>
        <w:t>y in e</w:t>
      </w:r>
      <w:r w:rsidR="00311C05" w:rsidRPr="00311C05">
        <w:rPr>
          <w:rFonts w:eastAsiaTheme="minorHAnsi" w:cstheme="minorBidi"/>
          <w:szCs w:val="22"/>
        </w:rPr>
        <w:t>ffectively engag</w:t>
      </w:r>
      <w:r w:rsidR="00311C05">
        <w:rPr>
          <w:rFonts w:eastAsiaTheme="minorHAnsi" w:cstheme="minorBidi"/>
          <w:szCs w:val="22"/>
        </w:rPr>
        <w:t>ing</w:t>
      </w:r>
      <w:r w:rsidR="00311C05" w:rsidRPr="00311C05">
        <w:rPr>
          <w:rFonts w:eastAsiaTheme="minorHAnsi" w:cstheme="minorBidi"/>
          <w:szCs w:val="22"/>
        </w:rPr>
        <w:t xml:space="preserve"> with busy GPs who may not immediately see the benefits to them and their patients of working more closely with DWP and local support agencies.</w:t>
      </w:r>
    </w:p>
    <w:p w:rsidR="00311C05" w:rsidRPr="00311C05" w:rsidRDefault="00A25589" w:rsidP="00B1065F">
      <w:pPr>
        <w:spacing w:after="200" w:line="276" w:lineRule="auto"/>
        <w:ind w:left="720" w:hanging="720"/>
        <w:jc w:val="both"/>
        <w:rPr>
          <w:rFonts w:eastAsiaTheme="minorHAnsi" w:cstheme="minorBidi"/>
          <w:szCs w:val="22"/>
        </w:rPr>
      </w:pPr>
      <w:r>
        <w:rPr>
          <w:rFonts w:eastAsiaTheme="minorHAnsi" w:cstheme="minorBidi"/>
          <w:szCs w:val="22"/>
        </w:rPr>
        <w:t>2.3</w:t>
      </w:r>
      <w:r w:rsidR="00311C05" w:rsidRPr="00311C05">
        <w:rPr>
          <w:rFonts w:eastAsiaTheme="minorHAnsi" w:cstheme="minorBidi"/>
          <w:szCs w:val="22"/>
        </w:rPr>
        <w:t>.2</w:t>
      </w:r>
      <w:r w:rsidR="00311C05" w:rsidRPr="00311C05">
        <w:rPr>
          <w:rFonts w:eastAsiaTheme="minorHAnsi" w:cstheme="minorBidi"/>
          <w:szCs w:val="22"/>
        </w:rPr>
        <w:tab/>
        <w:t xml:space="preserve">There is currently no system to facilitate the quick and easy referrals by GPs to appropriate support services.  </w:t>
      </w:r>
    </w:p>
    <w:p w:rsidR="00311C05" w:rsidRPr="00311C05" w:rsidRDefault="00A25589" w:rsidP="00B1065F">
      <w:pPr>
        <w:spacing w:after="240" w:line="276" w:lineRule="auto"/>
        <w:ind w:left="720" w:hanging="720"/>
        <w:jc w:val="both"/>
        <w:rPr>
          <w:b/>
        </w:rPr>
      </w:pPr>
      <w:r>
        <w:rPr>
          <w:rFonts w:eastAsiaTheme="minorHAnsi" w:cstheme="minorBidi"/>
          <w:szCs w:val="22"/>
        </w:rPr>
        <w:t>2.3</w:t>
      </w:r>
      <w:r w:rsidR="00311C05" w:rsidRPr="00311C05">
        <w:rPr>
          <w:rFonts w:eastAsiaTheme="minorHAnsi" w:cstheme="minorBidi"/>
          <w:szCs w:val="22"/>
        </w:rPr>
        <w:t>.3</w:t>
      </w:r>
      <w:r w:rsidR="00311C05" w:rsidRPr="00311C05">
        <w:rPr>
          <w:rFonts w:eastAsiaTheme="minorHAnsi" w:cstheme="minorBidi"/>
          <w:szCs w:val="22"/>
        </w:rPr>
        <w:tab/>
        <w:t xml:space="preserve">GPs do not currently always see the benefit to them and their patients from engaging and working with the Jobcentre and wider partners. Coupled with this </w:t>
      </w:r>
      <w:r w:rsidR="005B4525">
        <w:rPr>
          <w:rFonts w:eastAsiaTheme="minorHAnsi" w:cstheme="minorBidi"/>
          <w:szCs w:val="22"/>
        </w:rPr>
        <w:t xml:space="preserve">it appears that there is limited </w:t>
      </w:r>
      <w:r w:rsidR="00311C05" w:rsidRPr="00311C05">
        <w:rPr>
          <w:rFonts w:eastAsiaTheme="minorHAnsi" w:cstheme="minorBidi"/>
          <w:szCs w:val="22"/>
        </w:rPr>
        <w:t>knowledge of the easements to the benefit conditionality regime that the Jobcentre can put in place to take account of a person’s health issues</w:t>
      </w:r>
      <w:r w:rsidR="00A347CE">
        <w:rPr>
          <w:rFonts w:eastAsiaTheme="minorHAnsi" w:cstheme="minorBidi"/>
          <w:szCs w:val="22"/>
        </w:rPr>
        <w:t xml:space="preserve">. </w:t>
      </w:r>
      <w:r w:rsidR="00A347CE" w:rsidRPr="00A347CE">
        <w:rPr>
          <w:rFonts w:eastAsiaTheme="minorHAnsi" w:cstheme="minorBidi"/>
          <w:i/>
          <w:szCs w:val="22"/>
        </w:rPr>
        <w:t>See Appendix 2</w:t>
      </w:r>
    </w:p>
    <w:p w:rsidR="00311C05" w:rsidRPr="00311C05" w:rsidRDefault="00311C05" w:rsidP="00B1065F">
      <w:pPr>
        <w:spacing w:after="200" w:line="480" w:lineRule="auto"/>
        <w:jc w:val="both"/>
        <w:rPr>
          <w:rFonts w:eastAsiaTheme="minorHAnsi" w:cstheme="minorBidi"/>
          <w:szCs w:val="22"/>
        </w:rPr>
      </w:pPr>
      <w:r w:rsidRPr="00311C05">
        <w:rPr>
          <w:rFonts w:eastAsiaTheme="minorHAnsi" w:cstheme="minorBidi"/>
          <w:szCs w:val="22"/>
        </w:rPr>
        <w:lastRenderedPageBreak/>
        <w:t>2.</w:t>
      </w:r>
      <w:r w:rsidR="00A25589">
        <w:rPr>
          <w:rFonts w:eastAsiaTheme="minorHAnsi" w:cstheme="minorBidi"/>
          <w:szCs w:val="22"/>
        </w:rPr>
        <w:t>4</w:t>
      </w:r>
      <w:r w:rsidRPr="00311C05">
        <w:rPr>
          <w:rFonts w:eastAsiaTheme="minorHAnsi" w:cstheme="minorBidi"/>
          <w:szCs w:val="22"/>
        </w:rPr>
        <w:tab/>
      </w:r>
      <w:r w:rsidRPr="00311C05">
        <w:rPr>
          <w:rFonts w:eastAsiaTheme="minorHAnsi" w:cstheme="minorBidi"/>
          <w:szCs w:val="22"/>
          <w:u w:val="single"/>
        </w:rPr>
        <w:t xml:space="preserve">What </w:t>
      </w:r>
      <w:r w:rsidR="002E743E" w:rsidRPr="002E743E">
        <w:rPr>
          <w:rFonts w:eastAsiaTheme="minorHAnsi" w:cstheme="minorBidi"/>
          <w:szCs w:val="22"/>
          <w:u w:val="single"/>
        </w:rPr>
        <w:t xml:space="preserve">could </w:t>
      </w:r>
      <w:r w:rsidRPr="00311C05">
        <w:rPr>
          <w:rFonts w:eastAsiaTheme="minorHAnsi" w:cstheme="minorBidi"/>
          <w:szCs w:val="22"/>
          <w:u w:val="single"/>
        </w:rPr>
        <w:t>be done?</w:t>
      </w:r>
    </w:p>
    <w:p w:rsidR="00311C05" w:rsidRPr="00311C05" w:rsidRDefault="00A25589" w:rsidP="00B1065F">
      <w:pPr>
        <w:spacing w:after="200" w:line="276" w:lineRule="auto"/>
        <w:ind w:left="720" w:hanging="720"/>
        <w:jc w:val="both"/>
        <w:rPr>
          <w:rFonts w:eastAsiaTheme="minorHAnsi" w:cstheme="minorBidi"/>
          <w:szCs w:val="22"/>
        </w:rPr>
      </w:pPr>
      <w:r>
        <w:rPr>
          <w:rFonts w:eastAsiaTheme="minorHAnsi" w:cstheme="minorBidi"/>
          <w:szCs w:val="22"/>
        </w:rPr>
        <w:t>2.4</w:t>
      </w:r>
      <w:r w:rsidR="00311C05" w:rsidRPr="00311C05">
        <w:rPr>
          <w:rFonts w:eastAsiaTheme="minorHAnsi" w:cstheme="minorBidi"/>
          <w:szCs w:val="22"/>
        </w:rPr>
        <w:t>.1</w:t>
      </w:r>
      <w:r w:rsidR="00311C05" w:rsidRPr="00311C05">
        <w:rPr>
          <w:rFonts w:eastAsiaTheme="minorHAnsi" w:cstheme="minorBidi"/>
          <w:szCs w:val="22"/>
        </w:rPr>
        <w:tab/>
      </w:r>
      <w:r w:rsidR="002E743E">
        <w:rPr>
          <w:rFonts w:eastAsiaTheme="minorHAnsi" w:cstheme="minorBidi"/>
          <w:szCs w:val="22"/>
        </w:rPr>
        <w:t xml:space="preserve">Develop </w:t>
      </w:r>
      <w:r w:rsidR="00311C05" w:rsidRPr="00311C05">
        <w:rPr>
          <w:rFonts w:eastAsiaTheme="minorHAnsi" w:cstheme="minorBidi"/>
          <w:szCs w:val="22"/>
        </w:rPr>
        <w:t xml:space="preserve">a mechanism that enables the effective joining up of health, local support and Jobcentre services so that individuals receive a consistent level of support along with the consistent message that working has proven health benefits. </w:t>
      </w:r>
    </w:p>
    <w:p w:rsidR="00311C05" w:rsidRPr="00311C05" w:rsidRDefault="00A25589" w:rsidP="00B1065F">
      <w:pPr>
        <w:spacing w:after="200" w:line="276" w:lineRule="auto"/>
        <w:ind w:left="720" w:hanging="720"/>
        <w:jc w:val="both"/>
        <w:rPr>
          <w:rFonts w:eastAsiaTheme="minorHAnsi" w:cstheme="minorBidi"/>
          <w:szCs w:val="22"/>
        </w:rPr>
      </w:pPr>
      <w:r>
        <w:rPr>
          <w:rFonts w:eastAsiaTheme="minorHAnsi" w:cstheme="minorBidi"/>
          <w:szCs w:val="22"/>
        </w:rPr>
        <w:t>2.4</w:t>
      </w:r>
      <w:r w:rsidR="00311C05" w:rsidRPr="00311C05">
        <w:rPr>
          <w:rFonts w:eastAsiaTheme="minorHAnsi" w:cstheme="minorBidi"/>
          <w:szCs w:val="22"/>
        </w:rPr>
        <w:t>.2</w:t>
      </w:r>
      <w:r w:rsidR="00311C05" w:rsidRPr="00311C05">
        <w:rPr>
          <w:rFonts w:eastAsiaTheme="minorHAnsi" w:cstheme="minorBidi"/>
          <w:szCs w:val="22"/>
        </w:rPr>
        <w:tab/>
        <w:t>All appropriate patients presenting at GPs surgeries should be made aware of the support available for those with health problems who wish to move into or stay in work.</w:t>
      </w:r>
    </w:p>
    <w:p w:rsidR="00311C05" w:rsidRPr="00311C05" w:rsidRDefault="00A25589" w:rsidP="00B1065F">
      <w:pPr>
        <w:spacing w:after="200" w:line="276" w:lineRule="auto"/>
        <w:ind w:left="720" w:hanging="720"/>
        <w:jc w:val="both"/>
        <w:rPr>
          <w:rFonts w:eastAsiaTheme="minorHAnsi" w:cstheme="minorBidi"/>
          <w:szCs w:val="22"/>
        </w:rPr>
      </w:pPr>
      <w:r>
        <w:rPr>
          <w:rFonts w:eastAsiaTheme="minorHAnsi" w:cstheme="minorBidi"/>
          <w:szCs w:val="22"/>
        </w:rPr>
        <w:t>2.4</w:t>
      </w:r>
      <w:r w:rsidR="00311C05" w:rsidRPr="00311C05">
        <w:rPr>
          <w:rFonts w:eastAsiaTheme="minorHAnsi" w:cstheme="minorBidi"/>
          <w:szCs w:val="22"/>
        </w:rPr>
        <w:t>.3</w:t>
      </w:r>
      <w:r w:rsidR="00311C05" w:rsidRPr="00311C05">
        <w:rPr>
          <w:rFonts w:eastAsiaTheme="minorHAnsi" w:cstheme="minorBidi"/>
          <w:szCs w:val="22"/>
        </w:rPr>
        <w:tab/>
      </w:r>
      <w:r w:rsidR="002E743E">
        <w:rPr>
          <w:rFonts w:eastAsiaTheme="minorHAnsi" w:cstheme="minorBidi"/>
          <w:szCs w:val="22"/>
        </w:rPr>
        <w:t xml:space="preserve">Offer greater support to </w:t>
      </w:r>
      <w:r w:rsidR="00311C05" w:rsidRPr="00311C05">
        <w:rPr>
          <w:rFonts w:eastAsiaTheme="minorHAnsi" w:cstheme="minorBidi"/>
          <w:szCs w:val="22"/>
        </w:rPr>
        <w:t>GPs</w:t>
      </w:r>
      <w:r w:rsidR="002E743E">
        <w:rPr>
          <w:rFonts w:eastAsiaTheme="minorHAnsi" w:cstheme="minorBidi"/>
          <w:szCs w:val="22"/>
        </w:rPr>
        <w:t xml:space="preserve"> to make </w:t>
      </w:r>
      <w:r w:rsidR="00311C05" w:rsidRPr="00311C05">
        <w:rPr>
          <w:rFonts w:eastAsiaTheme="minorHAnsi" w:cstheme="minorBidi"/>
          <w:szCs w:val="22"/>
        </w:rPr>
        <w:t xml:space="preserve">more effective use of the </w:t>
      </w:r>
      <w:r w:rsidR="002E743E">
        <w:rPr>
          <w:rFonts w:eastAsiaTheme="minorHAnsi" w:cstheme="minorBidi"/>
          <w:szCs w:val="22"/>
        </w:rPr>
        <w:t>‘</w:t>
      </w:r>
      <w:r w:rsidR="00311C05" w:rsidRPr="00311C05">
        <w:rPr>
          <w:rFonts w:eastAsiaTheme="minorHAnsi" w:cstheme="minorBidi"/>
          <w:szCs w:val="22"/>
        </w:rPr>
        <w:t>Fit Note</w:t>
      </w:r>
      <w:r w:rsidR="002E743E">
        <w:rPr>
          <w:rFonts w:eastAsiaTheme="minorHAnsi" w:cstheme="minorBidi"/>
          <w:szCs w:val="22"/>
        </w:rPr>
        <w:t>’</w:t>
      </w:r>
      <w:r w:rsidR="00311C05" w:rsidRPr="00311C05">
        <w:rPr>
          <w:rFonts w:eastAsiaTheme="minorHAnsi" w:cstheme="minorBidi"/>
          <w:szCs w:val="22"/>
        </w:rPr>
        <w:t xml:space="preserve"> as a way of safeguarding a person’s health, whilst at the same time supporting their continued employment or movement in to work. </w:t>
      </w:r>
    </w:p>
    <w:p w:rsidR="00311C05" w:rsidRPr="00311C05" w:rsidRDefault="00A25589" w:rsidP="00B1065F">
      <w:pPr>
        <w:spacing w:after="200" w:line="276" w:lineRule="auto"/>
        <w:ind w:left="720" w:hanging="720"/>
        <w:jc w:val="both"/>
        <w:rPr>
          <w:rFonts w:eastAsiaTheme="minorHAnsi" w:cstheme="minorBidi"/>
          <w:szCs w:val="22"/>
        </w:rPr>
      </w:pPr>
      <w:r>
        <w:rPr>
          <w:rFonts w:eastAsiaTheme="minorHAnsi" w:cstheme="minorBidi"/>
          <w:szCs w:val="22"/>
        </w:rPr>
        <w:t>2.4</w:t>
      </w:r>
      <w:r w:rsidR="00311C05" w:rsidRPr="00311C05">
        <w:rPr>
          <w:rFonts w:eastAsiaTheme="minorHAnsi" w:cstheme="minorBidi"/>
          <w:szCs w:val="22"/>
        </w:rPr>
        <w:t>.4</w:t>
      </w:r>
      <w:r w:rsidR="00311C05" w:rsidRPr="00311C05">
        <w:rPr>
          <w:rFonts w:eastAsiaTheme="minorHAnsi" w:cstheme="minorBidi"/>
          <w:szCs w:val="22"/>
        </w:rPr>
        <w:tab/>
        <w:t xml:space="preserve">If the GP assesses that their patient’s health affects their fitness for work, then they issue a fit note indicating whether their patient is not fit for work OR may be fit for work. This assessment is about their fitness for work in general and is not job-specific. This assessment should take into account </w:t>
      </w:r>
    </w:p>
    <w:p w:rsidR="00311C05" w:rsidRPr="00311C05" w:rsidRDefault="00311C05" w:rsidP="00B1065F">
      <w:pPr>
        <w:numPr>
          <w:ilvl w:val="0"/>
          <w:numId w:val="10"/>
        </w:numPr>
        <w:spacing w:after="200" w:line="276" w:lineRule="auto"/>
        <w:contextualSpacing/>
        <w:jc w:val="both"/>
        <w:rPr>
          <w:rFonts w:eastAsiaTheme="minorHAnsi" w:cstheme="minorBidi"/>
          <w:szCs w:val="22"/>
        </w:rPr>
      </w:pPr>
      <w:r w:rsidRPr="00311C05">
        <w:rPr>
          <w:rFonts w:eastAsiaTheme="minorHAnsi" w:cstheme="minorBidi"/>
          <w:szCs w:val="22"/>
        </w:rPr>
        <w:t xml:space="preserve">Any </w:t>
      </w:r>
      <w:r w:rsidRPr="00311C05">
        <w:rPr>
          <w:rFonts w:eastAsiaTheme="minorHAnsi" w:cstheme="minorBidi"/>
          <w:bCs/>
          <w:szCs w:val="22"/>
        </w:rPr>
        <w:t>functional limitations</w:t>
      </w:r>
      <w:r w:rsidRPr="00311C05">
        <w:rPr>
          <w:rFonts w:eastAsiaTheme="minorHAnsi" w:cstheme="minorBidi"/>
          <w:b/>
          <w:bCs/>
          <w:szCs w:val="22"/>
        </w:rPr>
        <w:t xml:space="preserve"> </w:t>
      </w:r>
      <w:r w:rsidRPr="00311C05">
        <w:rPr>
          <w:rFonts w:eastAsiaTheme="minorHAnsi" w:cstheme="minorBidi"/>
          <w:szCs w:val="22"/>
        </w:rPr>
        <w:t xml:space="preserve">of their health condition e.g. hearing, vision, touch. </w:t>
      </w:r>
    </w:p>
    <w:p w:rsidR="00311C05" w:rsidRPr="00311C05" w:rsidRDefault="00311C05" w:rsidP="00B1065F">
      <w:pPr>
        <w:numPr>
          <w:ilvl w:val="0"/>
          <w:numId w:val="10"/>
        </w:numPr>
        <w:spacing w:after="200" w:line="276" w:lineRule="auto"/>
        <w:contextualSpacing/>
        <w:jc w:val="both"/>
        <w:rPr>
          <w:rFonts w:eastAsiaTheme="minorHAnsi" w:cstheme="minorBidi"/>
          <w:szCs w:val="22"/>
        </w:rPr>
      </w:pPr>
      <w:r w:rsidRPr="00311C05">
        <w:rPr>
          <w:rFonts w:eastAsiaTheme="minorHAnsi" w:cstheme="minorBidi"/>
          <w:szCs w:val="22"/>
        </w:rPr>
        <w:t>The duration of their health condition and any likely fluctuation</w:t>
      </w:r>
    </w:p>
    <w:p w:rsidR="00311C05" w:rsidRPr="00311C05" w:rsidRDefault="00311C05" w:rsidP="00B1065F">
      <w:pPr>
        <w:numPr>
          <w:ilvl w:val="0"/>
          <w:numId w:val="10"/>
        </w:numPr>
        <w:spacing w:after="200" w:line="276" w:lineRule="auto"/>
        <w:contextualSpacing/>
        <w:jc w:val="both"/>
        <w:rPr>
          <w:rFonts w:eastAsiaTheme="minorHAnsi" w:cstheme="minorBidi"/>
          <w:szCs w:val="22"/>
        </w:rPr>
      </w:pPr>
      <w:r w:rsidRPr="00311C05">
        <w:rPr>
          <w:rFonts w:eastAsiaTheme="minorHAnsi" w:cstheme="minorBidi"/>
          <w:szCs w:val="22"/>
        </w:rPr>
        <w:t>The impact of any ongoing clinical management.</w:t>
      </w:r>
    </w:p>
    <w:p w:rsidR="00311C05" w:rsidRPr="00311C05" w:rsidRDefault="00311C05" w:rsidP="00B1065F">
      <w:pPr>
        <w:numPr>
          <w:ilvl w:val="0"/>
          <w:numId w:val="10"/>
        </w:numPr>
        <w:spacing w:after="200" w:line="276" w:lineRule="auto"/>
        <w:contextualSpacing/>
        <w:jc w:val="both"/>
        <w:rPr>
          <w:rFonts w:eastAsiaTheme="minorHAnsi" w:cstheme="minorBidi"/>
          <w:szCs w:val="22"/>
        </w:rPr>
      </w:pPr>
      <w:r w:rsidRPr="00311C05">
        <w:rPr>
          <w:rFonts w:eastAsiaTheme="minorHAnsi" w:cstheme="minorBidi"/>
          <w:szCs w:val="22"/>
        </w:rPr>
        <w:t>Whether doing any work (not necessarily their current job) will make their health condition worse.</w:t>
      </w:r>
    </w:p>
    <w:p w:rsidR="00A25589" w:rsidRDefault="00A25589" w:rsidP="00B1065F">
      <w:pPr>
        <w:spacing w:after="200" w:line="276" w:lineRule="auto"/>
        <w:ind w:left="720" w:hanging="720"/>
        <w:contextualSpacing/>
        <w:jc w:val="both"/>
        <w:rPr>
          <w:rFonts w:eastAsiaTheme="minorHAnsi" w:cs="Arial"/>
          <w:szCs w:val="24"/>
        </w:rPr>
      </w:pPr>
    </w:p>
    <w:p w:rsidR="00311C05" w:rsidRPr="00311C05" w:rsidRDefault="00A25589" w:rsidP="00B1065F">
      <w:pPr>
        <w:spacing w:after="200" w:line="276" w:lineRule="auto"/>
        <w:ind w:left="720" w:hanging="720"/>
        <w:contextualSpacing/>
        <w:jc w:val="both"/>
        <w:rPr>
          <w:rFonts w:eastAsiaTheme="minorHAnsi" w:cs="Arial"/>
          <w:szCs w:val="24"/>
        </w:rPr>
      </w:pPr>
      <w:r>
        <w:rPr>
          <w:rFonts w:eastAsiaTheme="minorHAnsi" w:cs="Arial"/>
          <w:szCs w:val="24"/>
        </w:rPr>
        <w:t>2.4.5</w:t>
      </w:r>
      <w:r>
        <w:rPr>
          <w:rFonts w:eastAsiaTheme="minorHAnsi" w:cs="Arial"/>
          <w:szCs w:val="24"/>
        </w:rPr>
        <w:tab/>
      </w:r>
      <w:r w:rsidR="002E743E">
        <w:rPr>
          <w:rFonts w:eastAsiaTheme="minorHAnsi" w:cs="Arial"/>
          <w:szCs w:val="24"/>
        </w:rPr>
        <w:t>GPs c</w:t>
      </w:r>
      <w:r w:rsidR="00311C05" w:rsidRPr="00311C05">
        <w:rPr>
          <w:rFonts w:eastAsiaTheme="minorHAnsi" w:cs="Arial"/>
          <w:szCs w:val="24"/>
        </w:rPr>
        <w:t>ould be encouraged to make more use of the option ‘</w:t>
      </w:r>
      <w:r w:rsidR="00311C05" w:rsidRPr="00311C05">
        <w:rPr>
          <w:rFonts w:eastAsiaTheme="minorHAnsi" w:cs="Arial"/>
          <w:bCs/>
          <w:szCs w:val="24"/>
        </w:rPr>
        <w:t>May be fit for work taking account of the following advice’.</w:t>
      </w:r>
      <w:r w:rsidR="00311C05" w:rsidRPr="00311C05">
        <w:rPr>
          <w:rFonts w:eastAsiaTheme="minorHAnsi" w:cs="Arial"/>
          <w:b/>
          <w:bCs/>
          <w:szCs w:val="24"/>
        </w:rPr>
        <w:t xml:space="preserve"> </w:t>
      </w:r>
      <w:r w:rsidR="00311C05" w:rsidRPr="00311C05">
        <w:rPr>
          <w:rFonts w:eastAsiaTheme="minorHAnsi" w:cs="Arial"/>
          <w:szCs w:val="24"/>
        </w:rPr>
        <w:t xml:space="preserve">They should tick this box if their patient could do some form of work (not specifically their current or last job). This gives maximum flexibility to the Jobcentre to discuss ways to accommodate the patient’s health condition. For example, someone who previously worked as a delivery driver who cannot drive may still be able to do other tasks and so may be fit for work. </w:t>
      </w:r>
      <w:r w:rsidR="00F56B1F" w:rsidRPr="00F56B1F">
        <w:rPr>
          <w:rFonts w:eastAsiaTheme="minorHAnsi" w:cs="Arial"/>
          <w:szCs w:val="24"/>
          <w:vertAlign w:val="superscript"/>
        </w:rPr>
        <w:t>3</w:t>
      </w:r>
    </w:p>
    <w:p w:rsidR="0093669F" w:rsidRDefault="0093669F" w:rsidP="00B1065F">
      <w:pPr>
        <w:spacing w:line="276" w:lineRule="auto"/>
        <w:ind w:left="720" w:hanging="720"/>
        <w:jc w:val="both"/>
        <w:rPr>
          <w:rFonts w:eastAsiaTheme="minorHAnsi" w:cs="Arial"/>
          <w:szCs w:val="24"/>
        </w:rPr>
      </w:pPr>
    </w:p>
    <w:p w:rsidR="00311C05" w:rsidRPr="00311C05" w:rsidRDefault="00A25589" w:rsidP="00B1065F">
      <w:pPr>
        <w:spacing w:line="276" w:lineRule="auto"/>
        <w:ind w:left="720" w:hanging="720"/>
        <w:jc w:val="both"/>
        <w:rPr>
          <w:rFonts w:eastAsiaTheme="minorHAnsi" w:cs="Arial"/>
          <w:szCs w:val="24"/>
        </w:rPr>
      </w:pPr>
      <w:r>
        <w:rPr>
          <w:rFonts w:eastAsiaTheme="minorHAnsi" w:cs="Arial"/>
          <w:szCs w:val="24"/>
        </w:rPr>
        <w:t>2.4</w:t>
      </w:r>
      <w:r w:rsidR="00311C05" w:rsidRPr="00311C05">
        <w:rPr>
          <w:rFonts w:eastAsiaTheme="minorHAnsi" w:cs="Arial"/>
          <w:szCs w:val="24"/>
        </w:rPr>
        <w:t>.</w:t>
      </w:r>
      <w:r w:rsidR="002E743E">
        <w:rPr>
          <w:rFonts w:eastAsiaTheme="minorHAnsi" w:cs="Arial"/>
          <w:szCs w:val="24"/>
        </w:rPr>
        <w:t>6</w:t>
      </w:r>
      <w:r w:rsidR="00311C05" w:rsidRPr="00311C05">
        <w:rPr>
          <w:rFonts w:eastAsiaTheme="minorHAnsi" w:cs="Arial"/>
          <w:szCs w:val="24"/>
        </w:rPr>
        <w:tab/>
      </w:r>
      <w:r w:rsidR="002E743E">
        <w:rPr>
          <w:rFonts w:eastAsiaTheme="minorHAnsi" w:cs="Arial"/>
          <w:szCs w:val="24"/>
        </w:rPr>
        <w:t>A l</w:t>
      </w:r>
      <w:r w:rsidR="00311C05" w:rsidRPr="00311C05">
        <w:rPr>
          <w:rFonts w:eastAsiaTheme="minorHAnsi" w:cs="Arial"/>
          <w:szCs w:val="24"/>
        </w:rPr>
        <w:t xml:space="preserve">ocal survey conducted in all Kent Jobcentres showed that very few of the Fit Notes handed in to Jobcentres to support a claim for Employment and Support Allowance were marked as ‘may be fit for work’. This suggests </w:t>
      </w:r>
      <w:r w:rsidR="002E743E">
        <w:rPr>
          <w:rFonts w:eastAsiaTheme="minorHAnsi" w:cs="Arial"/>
          <w:szCs w:val="24"/>
        </w:rPr>
        <w:t>that this option is being under-</w:t>
      </w:r>
      <w:r w:rsidR="00311C05" w:rsidRPr="00311C05">
        <w:rPr>
          <w:rFonts w:eastAsiaTheme="minorHAnsi" w:cs="Arial"/>
          <w:szCs w:val="24"/>
        </w:rPr>
        <w:t xml:space="preserve">utilised.  </w:t>
      </w:r>
    </w:p>
    <w:p w:rsidR="005B4525" w:rsidRDefault="005B4525" w:rsidP="00B1065F">
      <w:pPr>
        <w:spacing w:line="276" w:lineRule="auto"/>
        <w:ind w:left="720" w:hanging="653"/>
        <w:jc w:val="both"/>
        <w:rPr>
          <w:rFonts w:eastAsiaTheme="minorHAnsi" w:cs="Arial"/>
          <w:szCs w:val="24"/>
        </w:rPr>
      </w:pPr>
    </w:p>
    <w:p w:rsidR="00311C05" w:rsidRPr="00311C05" w:rsidRDefault="00A25589" w:rsidP="00B1065F">
      <w:pPr>
        <w:spacing w:line="276" w:lineRule="auto"/>
        <w:ind w:left="720" w:hanging="653"/>
        <w:jc w:val="both"/>
        <w:rPr>
          <w:rFonts w:eastAsiaTheme="minorHAnsi" w:cs="Arial"/>
          <w:szCs w:val="24"/>
        </w:rPr>
      </w:pPr>
      <w:r>
        <w:rPr>
          <w:rFonts w:eastAsiaTheme="minorHAnsi" w:cs="Arial"/>
          <w:szCs w:val="24"/>
        </w:rPr>
        <w:t>2.4</w:t>
      </w:r>
      <w:r w:rsidR="002E743E">
        <w:rPr>
          <w:rFonts w:eastAsiaTheme="minorHAnsi" w:cs="Arial"/>
          <w:szCs w:val="24"/>
        </w:rPr>
        <w:t>.7</w:t>
      </w:r>
      <w:r w:rsidR="00311C05" w:rsidRPr="00311C05">
        <w:rPr>
          <w:rFonts w:eastAsiaTheme="minorHAnsi" w:cs="Arial"/>
          <w:szCs w:val="24"/>
        </w:rPr>
        <w:tab/>
      </w:r>
      <w:r w:rsidR="002E743E">
        <w:rPr>
          <w:rFonts w:eastAsiaTheme="minorHAnsi" w:cs="Arial"/>
          <w:szCs w:val="24"/>
        </w:rPr>
        <w:t xml:space="preserve">DWP is keen </w:t>
      </w:r>
      <w:r w:rsidR="00311C05" w:rsidRPr="00311C05">
        <w:rPr>
          <w:rFonts w:eastAsiaTheme="minorHAnsi" w:cs="Arial"/>
          <w:szCs w:val="24"/>
        </w:rPr>
        <w:t xml:space="preserve">to increase GPs understanding of what help and support the Jobcentre can offer their patients and how making full use of this support can in turn be of benefit to GPs.  </w:t>
      </w:r>
    </w:p>
    <w:p w:rsidR="005B4525" w:rsidRDefault="005B4525" w:rsidP="00B1065F">
      <w:pPr>
        <w:spacing w:line="480" w:lineRule="auto"/>
        <w:ind w:left="720" w:hanging="653"/>
        <w:jc w:val="both"/>
        <w:rPr>
          <w:rFonts w:eastAsiaTheme="minorHAnsi" w:cs="Arial"/>
          <w:szCs w:val="24"/>
        </w:rPr>
      </w:pPr>
    </w:p>
    <w:p w:rsidR="001209CA" w:rsidRDefault="001209CA" w:rsidP="00B1065F">
      <w:pPr>
        <w:spacing w:line="480" w:lineRule="auto"/>
        <w:ind w:left="720" w:hanging="653"/>
        <w:jc w:val="both"/>
        <w:rPr>
          <w:rFonts w:eastAsiaTheme="minorHAnsi" w:cs="Arial"/>
          <w:szCs w:val="24"/>
        </w:rPr>
      </w:pPr>
    </w:p>
    <w:p w:rsidR="001209CA" w:rsidRDefault="001209CA" w:rsidP="00B1065F">
      <w:pPr>
        <w:spacing w:line="480" w:lineRule="auto"/>
        <w:ind w:left="720" w:hanging="653"/>
        <w:jc w:val="both"/>
        <w:rPr>
          <w:rFonts w:eastAsiaTheme="minorHAnsi" w:cs="Arial"/>
          <w:szCs w:val="24"/>
        </w:rPr>
      </w:pPr>
    </w:p>
    <w:p w:rsidR="00C66BE3" w:rsidRPr="00C66BE3" w:rsidRDefault="00C66BE3" w:rsidP="00B1065F">
      <w:pPr>
        <w:numPr>
          <w:ilvl w:val="0"/>
          <w:numId w:val="14"/>
        </w:numPr>
        <w:tabs>
          <w:tab w:val="left" w:pos="709"/>
        </w:tabs>
        <w:spacing w:after="240" w:line="480" w:lineRule="auto"/>
        <w:ind w:left="0" w:firstLine="0"/>
        <w:jc w:val="both"/>
        <w:rPr>
          <w:rFonts w:cs="Arial"/>
          <w:b/>
          <w:szCs w:val="24"/>
        </w:rPr>
      </w:pPr>
      <w:r w:rsidRPr="00C66BE3">
        <w:rPr>
          <w:rFonts w:cs="Arial"/>
          <w:b/>
          <w:szCs w:val="24"/>
        </w:rPr>
        <w:t>Housing and Planning Bill Measures</w:t>
      </w:r>
    </w:p>
    <w:p w:rsidR="00DA4014" w:rsidRPr="00DA4014" w:rsidRDefault="008D7F6C" w:rsidP="00B1065F">
      <w:pPr>
        <w:spacing w:line="276" w:lineRule="auto"/>
        <w:jc w:val="both"/>
        <w:rPr>
          <w:rFonts w:cs="Arial"/>
          <w:szCs w:val="24"/>
          <w:u w:val="single"/>
        </w:rPr>
      </w:pPr>
      <w:r>
        <w:rPr>
          <w:rFonts w:cs="Arial"/>
          <w:szCs w:val="24"/>
        </w:rPr>
        <w:t>3.1</w:t>
      </w:r>
      <w:r>
        <w:rPr>
          <w:rFonts w:cs="Arial"/>
          <w:szCs w:val="24"/>
        </w:rPr>
        <w:tab/>
      </w:r>
      <w:r w:rsidR="00C66BE3" w:rsidRPr="00C66BE3">
        <w:rPr>
          <w:rFonts w:cs="Arial"/>
          <w:szCs w:val="24"/>
          <w:u w:val="single"/>
        </w:rPr>
        <w:t>Changes to the Definition of Affordable Housing</w:t>
      </w:r>
      <w:r w:rsidR="00DA4014" w:rsidRPr="00DA4014">
        <w:rPr>
          <w:rFonts w:cs="Arial"/>
          <w:szCs w:val="24"/>
        </w:rPr>
        <w:t xml:space="preserve"> </w:t>
      </w:r>
    </w:p>
    <w:p w:rsidR="008D7F6C" w:rsidRDefault="008D7F6C" w:rsidP="00B1065F">
      <w:pPr>
        <w:spacing w:line="276" w:lineRule="auto"/>
        <w:jc w:val="both"/>
        <w:rPr>
          <w:rFonts w:cs="Arial"/>
          <w:szCs w:val="24"/>
          <w:u w:val="single"/>
        </w:rPr>
      </w:pPr>
    </w:p>
    <w:p w:rsidR="0012326C" w:rsidRPr="00EA7C35" w:rsidRDefault="0012326C" w:rsidP="00B1065F">
      <w:pPr>
        <w:spacing w:after="240" w:line="276" w:lineRule="auto"/>
        <w:ind w:left="720" w:hanging="720"/>
        <w:jc w:val="both"/>
        <w:rPr>
          <w:rFonts w:cs="Arial"/>
          <w:szCs w:val="24"/>
        </w:rPr>
      </w:pPr>
      <w:r w:rsidRPr="00EA7C35">
        <w:rPr>
          <w:rFonts w:cs="Arial"/>
          <w:szCs w:val="24"/>
        </w:rPr>
        <w:t>3.1.</w:t>
      </w:r>
      <w:r>
        <w:rPr>
          <w:rFonts w:cs="Arial"/>
          <w:szCs w:val="24"/>
        </w:rPr>
        <w:t>1</w:t>
      </w:r>
      <w:r w:rsidRPr="00EA7C35">
        <w:rPr>
          <w:rFonts w:cs="Arial"/>
          <w:szCs w:val="24"/>
        </w:rPr>
        <w:tab/>
        <w:t xml:space="preserve">The Government wishes to change the definition so that it encompasses a fuller range of products that can support people to access home ownership, in accordance with its manifesto commitments. The definition would still include options for rent, but some products would no longer be subject to in perpetuity restrictions or have recycled subsidy. This effectively paves the way to include starter homes as part of the definition of affordable housing. </w:t>
      </w:r>
    </w:p>
    <w:p w:rsidR="0012326C" w:rsidRPr="00EA7C35" w:rsidRDefault="0012326C" w:rsidP="00B1065F">
      <w:pPr>
        <w:spacing w:after="240" w:line="276" w:lineRule="auto"/>
        <w:ind w:left="720" w:hanging="720"/>
        <w:jc w:val="both"/>
        <w:rPr>
          <w:rFonts w:cs="Arial"/>
          <w:szCs w:val="24"/>
        </w:rPr>
      </w:pPr>
      <w:r>
        <w:rPr>
          <w:rFonts w:cs="Arial"/>
          <w:szCs w:val="24"/>
        </w:rPr>
        <w:t>3.1.2</w:t>
      </w:r>
      <w:r w:rsidRPr="00EA7C35">
        <w:rPr>
          <w:rFonts w:cs="Arial"/>
          <w:szCs w:val="24"/>
        </w:rPr>
        <w:tab/>
        <w:t xml:space="preserve">The provision of Starter Homes will very likely be to the detriment of the supply of affordable/social rented homes. It is clear that starter homes will not address the core housing need of those households on Council Housing Registers.  These are low to middle income households who cannot afford to access any type of home ownership products or the private rented sector. </w:t>
      </w:r>
      <w:r w:rsidRPr="0012326C">
        <w:rPr>
          <w:rFonts w:cs="Arial"/>
          <w:i/>
          <w:szCs w:val="24"/>
        </w:rPr>
        <w:t>See Appendix 3</w:t>
      </w:r>
    </w:p>
    <w:p w:rsidR="006132AF" w:rsidRDefault="00C66BE3" w:rsidP="00B1065F">
      <w:pPr>
        <w:spacing w:after="240" w:line="480" w:lineRule="auto"/>
        <w:jc w:val="both"/>
        <w:rPr>
          <w:rFonts w:cs="Arial"/>
          <w:szCs w:val="24"/>
        </w:rPr>
      </w:pPr>
      <w:r w:rsidRPr="00C66BE3">
        <w:rPr>
          <w:rFonts w:cs="Arial"/>
          <w:szCs w:val="24"/>
        </w:rPr>
        <w:t>3.2</w:t>
      </w:r>
      <w:r w:rsidRPr="00C66BE3">
        <w:rPr>
          <w:rFonts w:cs="Arial"/>
          <w:szCs w:val="24"/>
        </w:rPr>
        <w:tab/>
      </w:r>
      <w:r w:rsidRPr="00C66BE3">
        <w:rPr>
          <w:rFonts w:cs="Arial"/>
          <w:szCs w:val="24"/>
          <w:u w:val="single"/>
        </w:rPr>
        <w:t>Starter Homes</w:t>
      </w:r>
    </w:p>
    <w:p w:rsidR="00C66BE3" w:rsidRDefault="00C66BE3" w:rsidP="00B1065F">
      <w:pPr>
        <w:spacing w:after="240" w:line="276" w:lineRule="auto"/>
        <w:ind w:left="720" w:hanging="720"/>
        <w:jc w:val="both"/>
        <w:rPr>
          <w:rFonts w:cs="Arial"/>
          <w:szCs w:val="24"/>
        </w:rPr>
      </w:pPr>
      <w:r w:rsidRPr="00C66BE3">
        <w:rPr>
          <w:rFonts w:cs="Arial"/>
          <w:szCs w:val="24"/>
        </w:rPr>
        <w:t>3.2.1</w:t>
      </w:r>
      <w:r w:rsidRPr="00C66BE3">
        <w:rPr>
          <w:rFonts w:cs="Arial"/>
          <w:szCs w:val="24"/>
        </w:rPr>
        <w:tab/>
        <w:t xml:space="preserve">Two new duties are proposed for local authorities in the Bill specifically in relation to Starter Homes, the government initiative whereby new-build houses will be available to first-time buyers under the age of 40 at a 20 per cent discount from the market rate. The first is a general duty to promote the supply of Starter Homes when planning functions are being carried out and the second is a specific duty in relation to decisions on planning applications. </w:t>
      </w:r>
      <w:r w:rsidR="002D63EB" w:rsidRPr="0012326C">
        <w:rPr>
          <w:rFonts w:cs="Arial"/>
          <w:i/>
          <w:szCs w:val="24"/>
        </w:rPr>
        <w:t>See Appendix 3</w:t>
      </w:r>
    </w:p>
    <w:p w:rsidR="00C66BE3" w:rsidRPr="00C66BE3" w:rsidRDefault="00C66BE3" w:rsidP="00B1065F">
      <w:pPr>
        <w:spacing w:after="240" w:line="480" w:lineRule="auto"/>
        <w:jc w:val="both"/>
        <w:rPr>
          <w:rFonts w:cs="Arial"/>
          <w:b/>
          <w:szCs w:val="24"/>
        </w:rPr>
      </w:pPr>
      <w:r w:rsidRPr="00C66BE3">
        <w:rPr>
          <w:rFonts w:cs="Arial"/>
          <w:szCs w:val="24"/>
        </w:rPr>
        <w:t>3.3</w:t>
      </w:r>
      <w:r w:rsidRPr="00C66BE3">
        <w:rPr>
          <w:rFonts w:cs="Arial"/>
          <w:b/>
          <w:szCs w:val="24"/>
        </w:rPr>
        <w:tab/>
      </w:r>
      <w:r w:rsidRPr="00C66BE3">
        <w:rPr>
          <w:rFonts w:cs="Arial"/>
          <w:szCs w:val="24"/>
          <w:u w:val="single"/>
        </w:rPr>
        <w:t>End of Lifetime Tenancies</w:t>
      </w:r>
    </w:p>
    <w:p w:rsidR="008D7F6C" w:rsidRDefault="00C66BE3" w:rsidP="00B1065F">
      <w:pPr>
        <w:spacing w:after="240" w:line="276" w:lineRule="auto"/>
        <w:ind w:left="720" w:hanging="720"/>
        <w:jc w:val="both"/>
        <w:rPr>
          <w:rFonts w:cs="Arial"/>
          <w:szCs w:val="24"/>
        </w:rPr>
      </w:pPr>
      <w:r w:rsidRPr="00C66BE3">
        <w:rPr>
          <w:rFonts w:cs="Arial"/>
          <w:szCs w:val="24"/>
        </w:rPr>
        <w:t>3.3.1</w:t>
      </w:r>
      <w:r w:rsidRPr="00C66BE3">
        <w:rPr>
          <w:rFonts w:cs="Arial"/>
          <w:szCs w:val="24"/>
        </w:rPr>
        <w:tab/>
        <w:t xml:space="preserve">The Bill contains measures which will prohibit local authorities from issuing secure or lifetime tenancies to all new council tenants, instead they will only be able to offer fixed-term tenancies of 2-5 years, which will be subject to reviews after which tenants can be issued with another fixed-term tenancy or moved on if their circumstances have changed.  </w:t>
      </w:r>
      <w:r w:rsidR="006132AF" w:rsidRPr="008D2F8D">
        <w:rPr>
          <w:rFonts w:eastAsiaTheme="minorHAnsi" w:cs="Arial"/>
          <w:szCs w:val="24"/>
        </w:rPr>
        <w:t>This will impact differently for different population groups</w:t>
      </w:r>
      <w:r w:rsidR="006132AF">
        <w:rPr>
          <w:rFonts w:eastAsiaTheme="minorHAnsi" w:cs="Arial"/>
          <w:szCs w:val="24"/>
        </w:rPr>
        <w:t xml:space="preserve">. </w:t>
      </w:r>
      <w:r w:rsidR="0093669F" w:rsidRPr="0093669F">
        <w:rPr>
          <w:rFonts w:cs="Arial"/>
          <w:i/>
          <w:szCs w:val="24"/>
        </w:rPr>
        <w:t>See Appendix 3</w:t>
      </w:r>
    </w:p>
    <w:p w:rsidR="00C66BE3" w:rsidRPr="00C66BE3" w:rsidRDefault="00C66BE3" w:rsidP="00B1065F">
      <w:pPr>
        <w:spacing w:after="240" w:line="480" w:lineRule="auto"/>
        <w:jc w:val="both"/>
        <w:rPr>
          <w:rFonts w:cs="Arial"/>
          <w:szCs w:val="24"/>
        </w:rPr>
      </w:pPr>
      <w:r w:rsidRPr="00C66BE3">
        <w:rPr>
          <w:rFonts w:cs="Arial"/>
          <w:szCs w:val="24"/>
        </w:rPr>
        <w:t>3.4</w:t>
      </w:r>
      <w:r w:rsidRPr="00C66BE3">
        <w:rPr>
          <w:rFonts w:cs="Arial"/>
          <w:szCs w:val="24"/>
        </w:rPr>
        <w:tab/>
      </w:r>
      <w:r w:rsidRPr="00C831CB">
        <w:rPr>
          <w:rFonts w:cs="Arial"/>
          <w:szCs w:val="24"/>
          <w:u w:val="single"/>
        </w:rPr>
        <w:t>Extending the Right to Buy (RTB) to Housing Association Tenants</w:t>
      </w:r>
    </w:p>
    <w:p w:rsidR="00C66BE3" w:rsidRPr="00C66BE3" w:rsidRDefault="00C66BE3" w:rsidP="00B1065F">
      <w:pPr>
        <w:spacing w:after="240" w:line="276" w:lineRule="auto"/>
        <w:ind w:left="720" w:hanging="720"/>
        <w:jc w:val="both"/>
        <w:rPr>
          <w:rFonts w:cs="Arial"/>
          <w:szCs w:val="24"/>
        </w:rPr>
      </w:pPr>
      <w:r w:rsidRPr="00C66BE3">
        <w:rPr>
          <w:rFonts w:cs="Arial"/>
          <w:szCs w:val="24"/>
        </w:rPr>
        <w:t>3.4.1</w:t>
      </w:r>
      <w:r w:rsidRPr="00C66BE3">
        <w:rPr>
          <w:rFonts w:cs="Arial"/>
          <w:szCs w:val="24"/>
        </w:rPr>
        <w:tab/>
        <w:t>The Bill contains measures to extend the Right to Buy to housing association tenants which will be paid for by councils being required to sell off ‘high value’ vacant council homes. This</w:t>
      </w:r>
      <w:r w:rsidR="00CF4E82">
        <w:rPr>
          <w:rFonts w:cs="Arial"/>
          <w:szCs w:val="24"/>
        </w:rPr>
        <w:t xml:space="preserve"> is likely to</w:t>
      </w:r>
      <w:r w:rsidRPr="00C66BE3">
        <w:rPr>
          <w:rFonts w:cs="Arial"/>
          <w:szCs w:val="24"/>
        </w:rPr>
        <w:t xml:space="preserve"> result in even fewer social rented homes being available for those in housing need who cannot afford to enter into home ownership.</w:t>
      </w:r>
      <w:r w:rsidR="0093669F" w:rsidRPr="0093669F">
        <w:rPr>
          <w:rFonts w:cs="Arial"/>
          <w:i/>
          <w:szCs w:val="24"/>
        </w:rPr>
        <w:t xml:space="preserve"> See Appendix 3</w:t>
      </w:r>
      <w:r w:rsidR="0093669F" w:rsidRPr="00EA7C35">
        <w:rPr>
          <w:rFonts w:cs="Arial"/>
          <w:szCs w:val="24"/>
        </w:rPr>
        <w:t xml:space="preserve"> </w:t>
      </w:r>
      <w:r w:rsidR="00211948" w:rsidRPr="00211948">
        <w:rPr>
          <w:rFonts w:eastAsiaTheme="minorHAnsi" w:cs="Arial"/>
          <w:i/>
          <w:color w:val="FF0000"/>
          <w:szCs w:val="24"/>
        </w:rPr>
        <w:t xml:space="preserve"> </w:t>
      </w:r>
    </w:p>
    <w:p w:rsidR="00C66BE3" w:rsidRPr="00C66BE3" w:rsidRDefault="00C66BE3" w:rsidP="00B1065F">
      <w:pPr>
        <w:spacing w:after="240" w:line="480" w:lineRule="auto"/>
        <w:jc w:val="both"/>
        <w:rPr>
          <w:rFonts w:cs="Arial"/>
          <w:szCs w:val="24"/>
        </w:rPr>
      </w:pPr>
      <w:r w:rsidRPr="00C66BE3">
        <w:rPr>
          <w:rFonts w:cs="Arial"/>
          <w:szCs w:val="24"/>
        </w:rPr>
        <w:t>3.5</w:t>
      </w:r>
      <w:r w:rsidRPr="00C66BE3">
        <w:rPr>
          <w:rFonts w:cs="Arial"/>
          <w:szCs w:val="24"/>
        </w:rPr>
        <w:tab/>
      </w:r>
      <w:r w:rsidRPr="00C831CB">
        <w:rPr>
          <w:rFonts w:cs="Arial"/>
          <w:szCs w:val="24"/>
          <w:u w:val="single"/>
        </w:rPr>
        <w:t>Pay to Stay</w:t>
      </w:r>
    </w:p>
    <w:p w:rsidR="00C66BE3" w:rsidRDefault="00C66BE3" w:rsidP="00B1065F">
      <w:pPr>
        <w:spacing w:after="240" w:line="276" w:lineRule="auto"/>
        <w:ind w:left="720" w:hanging="720"/>
        <w:jc w:val="both"/>
        <w:rPr>
          <w:rFonts w:cs="Arial"/>
          <w:szCs w:val="24"/>
        </w:rPr>
      </w:pPr>
      <w:r w:rsidRPr="00C66BE3">
        <w:rPr>
          <w:rFonts w:cs="Arial"/>
          <w:szCs w:val="24"/>
        </w:rPr>
        <w:t>3.5.1</w:t>
      </w:r>
      <w:r w:rsidRPr="00C66BE3">
        <w:rPr>
          <w:rFonts w:cs="Arial"/>
          <w:szCs w:val="24"/>
        </w:rPr>
        <w:tab/>
        <w:t>The Bill contains measures, under the Pay to Stay policy, which will require social housing tenants with a household income of more than £40,000 in London and £30,000 elsewhere to pay up to market rent or risk losing their social rented home (council or housing association home).</w:t>
      </w:r>
      <w:r w:rsidR="00F56B1F">
        <w:rPr>
          <w:rFonts w:cs="Arial"/>
          <w:szCs w:val="24"/>
        </w:rPr>
        <w:t xml:space="preserve"> </w:t>
      </w:r>
      <w:r w:rsidR="00F56B1F" w:rsidRPr="00F56B1F">
        <w:rPr>
          <w:rFonts w:cs="Arial"/>
          <w:i/>
          <w:szCs w:val="24"/>
        </w:rPr>
        <w:t>See Appendix 3</w:t>
      </w:r>
      <w:r w:rsidRPr="00C66BE3">
        <w:rPr>
          <w:rFonts w:cs="Arial"/>
          <w:szCs w:val="24"/>
        </w:rPr>
        <w:t xml:space="preserve"> </w:t>
      </w:r>
    </w:p>
    <w:p w:rsidR="001209CA" w:rsidRDefault="001209CA" w:rsidP="00C66BE3">
      <w:pPr>
        <w:tabs>
          <w:tab w:val="left" w:pos="2880"/>
        </w:tabs>
        <w:spacing w:after="240" w:line="480" w:lineRule="auto"/>
        <w:ind w:left="720" w:hanging="720"/>
        <w:rPr>
          <w:rFonts w:cs="Arial"/>
          <w:b/>
          <w:szCs w:val="24"/>
        </w:rPr>
      </w:pPr>
    </w:p>
    <w:p w:rsidR="00C66BE3" w:rsidRPr="005E3A92" w:rsidRDefault="005E3A92" w:rsidP="00C66BE3">
      <w:pPr>
        <w:tabs>
          <w:tab w:val="left" w:pos="2880"/>
        </w:tabs>
        <w:spacing w:after="240" w:line="480" w:lineRule="auto"/>
        <w:ind w:left="720" w:hanging="720"/>
        <w:rPr>
          <w:rFonts w:cs="Arial"/>
          <w:b/>
          <w:szCs w:val="24"/>
        </w:rPr>
      </w:pPr>
      <w:r w:rsidRPr="005E3A92">
        <w:rPr>
          <w:rFonts w:cs="Arial"/>
          <w:b/>
          <w:szCs w:val="24"/>
        </w:rPr>
        <w:t>4.</w:t>
      </w:r>
      <w:r w:rsidR="00C66BE3" w:rsidRPr="005E3A92">
        <w:rPr>
          <w:rFonts w:cs="Arial"/>
          <w:b/>
          <w:szCs w:val="24"/>
        </w:rPr>
        <w:tab/>
        <w:t>Welfare Reform and Work Act 2016</w:t>
      </w:r>
      <w:r>
        <w:rPr>
          <w:rFonts w:cs="Arial"/>
          <w:b/>
          <w:szCs w:val="24"/>
        </w:rPr>
        <w:t xml:space="preserve"> Measures</w:t>
      </w:r>
    </w:p>
    <w:p w:rsidR="00C66BE3" w:rsidRPr="00C66BE3" w:rsidRDefault="005E3A92" w:rsidP="00B1065F">
      <w:pPr>
        <w:spacing w:after="240" w:line="276" w:lineRule="auto"/>
        <w:ind w:left="720" w:hanging="720"/>
        <w:jc w:val="both"/>
        <w:rPr>
          <w:rFonts w:cs="Arial"/>
          <w:szCs w:val="24"/>
        </w:rPr>
      </w:pPr>
      <w:r>
        <w:rPr>
          <w:rFonts w:cs="Arial"/>
          <w:szCs w:val="24"/>
        </w:rPr>
        <w:t>4.1</w:t>
      </w:r>
      <w:r>
        <w:rPr>
          <w:rFonts w:cs="Arial"/>
          <w:szCs w:val="24"/>
        </w:rPr>
        <w:tab/>
      </w:r>
      <w:r w:rsidR="00C66BE3" w:rsidRPr="00C66BE3">
        <w:rPr>
          <w:rFonts w:cs="Arial"/>
          <w:szCs w:val="24"/>
        </w:rPr>
        <w:t xml:space="preserve">The Welfare Reform and Work Act received Royal Assent on 16 </w:t>
      </w:r>
      <w:r w:rsidR="00C831CB">
        <w:rPr>
          <w:rFonts w:cs="Arial"/>
          <w:szCs w:val="24"/>
        </w:rPr>
        <w:t>March 2016 and in summary will r</w:t>
      </w:r>
      <w:r w:rsidR="00C66BE3" w:rsidRPr="00C831CB">
        <w:rPr>
          <w:rFonts w:cs="Arial"/>
          <w:szCs w:val="24"/>
        </w:rPr>
        <w:t>educe social rents by 1 per cent over the next 4 years</w:t>
      </w:r>
      <w:r w:rsidR="00C831CB">
        <w:rPr>
          <w:rFonts w:cs="Arial"/>
          <w:szCs w:val="24"/>
        </w:rPr>
        <w:t xml:space="preserve"> a</w:t>
      </w:r>
      <w:r w:rsidR="00C66BE3" w:rsidRPr="00C66BE3">
        <w:rPr>
          <w:rFonts w:cs="Arial"/>
          <w:szCs w:val="24"/>
        </w:rPr>
        <w:t xml:space="preserve">t a time when a freeze is put on working age benefits this measure will be a real help for those tenants not in receipt of housing benefit as their disposal income will increase.  However, the policy will make it much more challenging for both Local Authorities and Housing Associations to continue to drive housing growth.  </w:t>
      </w:r>
      <w:r w:rsidR="0093669F" w:rsidRPr="0093669F">
        <w:rPr>
          <w:rFonts w:cs="Arial"/>
          <w:i/>
          <w:szCs w:val="24"/>
        </w:rPr>
        <w:t xml:space="preserve">See Appendix </w:t>
      </w:r>
      <w:r>
        <w:rPr>
          <w:rFonts w:cs="Arial"/>
          <w:i/>
          <w:szCs w:val="24"/>
        </w:rPr>
        <w:t>4</w:t>
      </w:r>
    </w:p>
    <w:p w:rsidR="00C66BE3" w:rsidRPr="00C831CB" w:rsidRDefault="005E3A92" w:rsidP="00B1065F">
      <w:pPr>
        <w:spacing w:after="240" w:line="480" w:lineRule="auto"/>
        <w:jc w:val="both"/>
        <w:rPr>
          <w:rFonts w:cs="Arial"/>
          <w:szCs w:val="24"/>
        </w:rPr>
      </w:pPr>
      <w:r>
        <w:rPr>
          <w:rFonts w:cs="Arial"/>
          <w:szCs w:val="24"/>
        </w:rPr>
        <w:t>4.2</w:t>
      </w:r>
      <w:r>
        <w:rPr>
          <w:rFonts w:cs="Arial"/>
          <w:szCs w:val="24"/>
        </w:rPr>
        <w:tab/>
      </w:r>
      <w:r w:rsidR="00C66BE3" w:rsidRPr="00C831CB">
        <w:rPr>
          <w:rFonts w:cs="Arial"/>
          <w:szCs w:val="24"/>
          <w:u w:val="single"/>
        </w:rPr>
        <w:t>Benefit Rate Freeze</w:t>
      </w:r>
      <w:r w:rsidR="00C66BE3" w:rsidRPr="00C831CB">
        <w:rPr>
          <w:rFonts w:cs="Arial"/>
          <w:szCs w:val="24"/>
        </w:rPr>
        <w:t xml:space="preserve">   </w:t>
      </w:r>
    </w:p>
    <w:p w:rsidR="00C66BE3" w:rsidRPr="00C66BE3" w:rsidRDefault="005E3A92" w:rsidP="00B1065F">
      <w:pPr>
        <w:spacing w:line="276" w:lineRule="auto"/>
        <w:jc w:val="both"/>
        <w:rPr>
          <w:rFonts w:cs="Arial"/>
          <w:szCs w:val="24"/>
        </w:rPr>
      </w:pPr>
      <w:r>
        <w:rPr>
          <w:rFonts w:cs="Arial"/>
          <w:szCs w:val="24"/>
        </w:rPr>
        <w:t>4.2.1</w:t>
      </w:r>
      <w:r w:rsidR="00C66BE3" w:rsidRPr="00C66BE3">
        <w:rPr>
          <w:rFonts w:cs="Arial"/>
          <w:szCs w:val="24"/>
        </w:rPr>
        <w:tab/>
        <w:t>The following benefits/allowances will be frozen for 4 years:</w:t>
      </w:r>
    </w:p>
    <w:p w:rsidR="00C66BE3" w:rsidRPr="00C66BE3" w:rsidRDefault="00C66BE3" w:rsidP="00B1065F">
      <w:pPr>
        <w:numPr>
          <w:ilvl w:val="0"/>
          <w:numId w:val="17"/>
        </w:numPr>
        <w:spacing w:line="276" w:lineRule="auto"/>
        <w:jc w:val="both"/>
        <w:rPr>
          <w:rFonts w:cs="Arial"/>
          <w:szCs w:val="24"/>
        </w:rPr>
      </w:pPr>
      <w:r w:rsidRPr="00C66BE3">
        <w:rPr>
          <w:rFonts w:cs="Arial"/>
          <w:szCs w:val="24"/>
        </w:rPr>
        <w:t>housing benefit/local housing allowance</w:t>
      </w:r>
    </w:p>
    <w:p w:rsidR="00C66BE3" w:rsidRPr="00C66BE3" w:rsidRDefault="00C66BE3" w:rsidP="00B1065F">
      <w:pPr>
        <w:numPr>
          <w:ilvl w:val="0"/>
          <w:numId w:val="17"/>
        </w:numPr>
        <w:spacing w:line="276" w:lineRule="auto"/>
        <w:jc w:val="both"/>
        <w:rPr>
          <w:rFonts w:cs="Arial"/>
          <w:szCs w:val="24"/>
        </w:rPr>
      </w:pPr>
      <w:r w:rsidRPr="00C66BE3">
        <w:rPr>
          <w:rFonts w:cs="Arial"/>
          <w:szCs w:val="24"/>
        </w:rPr>
        <w:t xml:space="preserve">tax credits </w:t>
      </w:r>
    </w:p>
    <w:p w:rsidR="00C66BE3" w:rsidRPr="00C66BE3" w:rsidRDefault="00C66BE3" w:rsidP="00B1065F">
      <w:pPr>
        <w:numPr>
          <w:ilvl w:val="0"/>
          <w:numId w:val="17"/>
        </w:numPr>
        <w:spacing w:line="276" w:lineRule="auto"/>
        <w:jc w:val="both"/>
        <w:rPr>
          <w:rFonts w:cs="Arial"/>
          <w:szCs w:val="24"/>
        </w:rPr>
      </w:pPr>
      <w:r w:rsidRPr="00C66BE3">
        <w:rPr>
          <w:rFonts w:cs="Arial"/>
          <w:szCs w:val="24"/>
        </w:rPr>
        <w:t>child benefit rates</w:t>
      </w:r>
    </w:p>
    <w:p w:rsidR="00C66BE3" w:rsidRDefault="00C66BE3" w:rsidP="00B1065F">
      <w:pPr>
        <w:spacing w:line="276" w:lineRule="auto"/>
        <w:ind w:left="720"/>
        <w:jc w:val="both"/>
        <w:rPr>
          <w:rFonts w:cs="Arial"/>
          <w:szCs w:val="24"/>
        </w:rPr>
      </w:pPr>
      <w:r w:rsidRPr="00C66BE3">
        <w:rPr>
          <w:rFonts w:cs="Arial"/>
          <w:szCs w:val="24"/>
        </w:rPr>
        <w:t xml:space="preserve"> For these benefits, the rates through to April 2019 will remain the same as in 2015-16.</w:t>
      </w:r>
    </w:p>
    <w:p w:rsidR="004A7D3D" w:rsidRPr="00C66BE3" w:rsidRDefault="004A7D3D" w:rsidP="00B1065F">
      <w:pPr>
        <w:spacing w:line="276" w:lineRule="auto"/>
        <w:ind w:left="720"/>
        <w:jc w:val="both"/>
        <w:rPr>
          <w:rFonts w:cs="Arial"/>
          <w:szCs w:val="24"/>
        </w:rPr>
      </w:pPr>
    </w:p>
    <w:p w:rsidR="00C66BE3" w:rsidRPr="00C66BE3" w:rsidRDefault="005E3A92" w:rsidP="00B1065F">
      <w:pPr>
        <w:shd w:val="clear" w:color="auto" w:fill="FFFFFF"/>
        <w:spacing w:line="276" w:lineRule="auto"/>
        <w:ind w:left="720" w:hanging="720"/>
        <w:jc w:val="both"/>
        <w:rPr>
          <w:rFonts w:cs="Arial"/>
          <w:szCs w:val="24"/>
        </w:rPr>
      </w:pPr>
      <w:r>
        <w:rPr>
          <w:rFonts w:cs="Arial"/>
          <w:szCs w:val="24"/>
        </w:rPr>
        <w:t>4.2</w:t>
      </w:r>
      <w:r w:rsidR="00C66BE3" w:rsidRPr="00C66BE3">
        <w:rPr>
          <w:rFonts w:cs="Arial"/>
          <w:szCs w:val="24"/>
        </w:rPr>
        <w:t>.2</w:t>
      </w:r>
      <w:r w:rsidR="00C66BE3" w:rsidRPr="00C66BE3">
        <w:rPr>
          <w:rFonts w:cs="Arial"/>
          <w:szCs w:val="24"/>
        </w:rPr>
        <w:tab/>
        <w:t>No cost of living rise will apply for a period of 4 years to the following;</w:t>
      </w:r>
    </w:p>
    <w:p w:rsidR="00C66BE3" w:rsidRPr="00C66BE3" w:rsidRDefault="00C66BE3" w:rsidP="00B1065F">
      <w:pPr>
        <w:numPr>
          <w:ilvl w:val="0"/>
          <w:numId w:val="17"/>
        </w:numPr>
        <w:shd w:val="clear" w:color="auto" w:fill="FFFFFF"/>
        <w:spacing w:line="276" w:lineRule="auto"/>
        <w:contextualSpacing/>
        <w:jc w:val="both"/>
        <w:rPr>
          <w:rFonts w:eastAsiaTheme="minorHAnsi" w:cs="Arial"/>
          <w:szCs w:val="24"/>
        </w:rPr>
      </w:pPr>
      <w:r w:rsidRPr="00C66BE3">
        <w:rPr>
          <w:rFonts w:eastAsiaTheme="minorHAnsi" w:cs="Arial"/>
          <w:szCs w:val="24"/>
        </w:rPr>
        <w:t xml:space="preserve">Working age benefits </w:t>
      </w:r>
    </w:p>
    <w:p w:rsidR="00C66BE3" w:rsidRPr="00C66BE3" w:rsidRDefault="00C66BE3" w:rsidP="00B1065F">
      <w:pPr>
        <w:numPr>
          <w:ilvl w:val="0"/>
          <w:numId w:val="17"/>
        </w:numPr>
        <w:shd w:val="clear" w:color="auto" w:fill="FFFFFF"/>
        <w:spacing w:line="276" w:lineRule="auto"/>
        <w:contextualSpacing/>
        <w:jc w:val="both"/>
        <w:rPr>
          <w:rFonts w:eastAsiaTheme="minorHAnsi" w:cs="Arial"/>
          <w:szCs w:val="24"/>
        </w:rPr>
      </w:pPr>
      <w:r w:rsidRPr="00C66BE3">
        <w:rPr>
          <w:rFonts w:eastAsiaTheme="minorHAnsi" w:cs="Arial"/>
          <w:szCs w:val="24"/>
        </w:rPr>
        <w:t>Jobseekers Allowance</w:t>
      </w:r>
    </w:p>
    <w:p w:rsidR="00C66BE3" w:rsidRPr="00C66BE3" w:rsidRDefault="00C66BE3" w:rsidP="00B1065F">
      <w:pPr>
        <w:numPr>
          <w:ilvl w:val="0"/>
          <w:numId w:val="17"/>
        </w:numPr>
        <w:shd w:val="clear" w:color="auto" w:fill="FFFFFF"/>
        <w:spacing w:line="276" w:lineRule="auto"/>
        <w:contextualSpacing/>
        <w:jc w:val="both"/>
        <w:rPr>
          <w:rFonts w:eastAsiaTheme="minorHAnsi" w:cs="Arial"/>
          <w:szCs w:val="24"/>
        </w:rPr>
      </w:pPr>
      <w:r w:rsidRPr="00C66BE3">
        <w:rPr>
          <w:rFonts w:eastAsiaTheme="minorHAnsi" w:cs="Arial"/>
          <w:szCs w:val="24"/>
        </w:rPr>
        <w:t>Housing Benefit</w:t>
      </w:r>
    </w:p>
    <w:p w:rsidR="00C66BE3" w:rsidRPr="00C66BE3" w:rsidRDefault="00C66BE3" w:rsidP="00B1065F">
      <w:pPr>
        <w:numPr>
          <w:ilvl w:val="0"/>
          <w:numId w:val="17"/>
        </w:numPr>
        <w:shd w:val="clear" w:color="auto" w:fill="FFFFFF"/>
        <w:spacing w:line="276" w:lineRule="auto"/>
        <w:contextualSpacing/>
        <w:jc w:val="both"/>
        <w:rPr>
          <w:rFonts w:eastAsiaTheme="minorHAnsi" w:cs="Arial"/>
          <w:szCs w:val="24"/>
        </w:rPr>
      </w:pPr>
      <w:r w:rsidRPr="00C66BE3">
        <w:rPr>
          <w:rFonts w:eastAsiaTheme="minorHAnsi" w:cs="Arial"/>
          <w:szCs w:val="24"/>
        </w:rPr>
        <w:t>Tax credits</w:t>
      </w:r>
    </w:p>
    <w:p w:rsidR="00C66BE3" w:rsidRPr="00C66BE3" w:rsidRDefault="00C66BE3" w:rsidP="00B1065F">
      <w:pPr>
        <w:shd w:val="clear" w:color="auto" w:fill="FFFFFF"/>
        <w:spacing w:line="276" w:lineRule="auto"/>
        <w:ind w:left="720"/>
        <w:contextualSpacing/>
        <w:jc w:val="both"/>
        <w:rPr>
          <w:rFonts w:eastAsiaTheme="minorHAnsi" w:cs="Arial"/>
          <w:szCs w:val="24"/>
        </w:rPr>
      </w:pPr>
      <w:r w:rsidRPr="00C66BE3">
        <w:rPr>
          <w:rFonts w:eastAsiaTheme="minorHAnsi" w:cs="Arial"/>
          <w:szCs w:val="24"/>
        </w:rPr>
        <w:t xml:space="preserve">However, this policy does not apply to benefits not linked to working age, including Disability Living Allowance and Carers Allowance. </w:t>
      </w:r>
    </w:p>
    <w:p w:rsidR="00C66BE3" w:rsidRPr="00C66BE3" w:rsidRDefault="00C66BE3" w:rsidP="00B1065F">
      <w:pPr>
        <w:shd w:val="clear" w:color="auto" w:fill="FFFFFF"/>
        <w:spacing w:line="276" w:lineRule="auto"/>
        <w:ind w:left="720"/>
        <w:contextualSpacing/>
        <w:jc w:val="both"/>
        <w:rPr>
          <w:rFonts w:eastAsiaTheme="minorHAnsi" w:cs="Arial"/>
          <w:szCs w:val="24"/>
        </w:rPr>
      </w:pPr>
    </w:p>
    <w:p w:rsidR="00C66BE3" w:rsidRDefault="005E3A92" w:rsidP="00B1065F">
      <w:pPr>
        <w:shd w:val="clear" w:color="auto" w:fill="FFFFFF"/>
        <w:spacing w:line="276" w:lineRule="auto"/>
        <w:ind w:left="720" w:hanging="720"/>
        <w:contextualSpacing/>
        <w:jc w:val="both"/>
        <w:rPr>
          <w:rFonts w:eastAsiaTheme="minorHAnsi" w:cs="Arial"/>
          <w:szCs w:val="24"/>
        </w:rPr>
      </w:pPr>
      <w:r>
        <w:rPr>
          <w:rFonts w:eastAsiaTheme="minorHAnsi" w:cs="Arial"/>
          <w:szCs w:val="24"/>
        </w:rPr>
        <w:t>4.2</w:t>
      </w:r>
      <w:r w:rsidR="00C66BE3" w:rsidRPr="00C66BE3">
        <w:rPr>
          <w:rFonts w:eastAsiaTheme="minorHAnsi" w:cs="Arial"/>
          <w:szCs w:val="24"/>
        </w:rPr>
        <w:t>.3</w:t>
      </w:r>
      <w:r w:rsidR="00C66BE3" w:rsidRPr="00C66BE3">
        <w:rPr>
          <w:rFonts w:eastAsiaTheme="minorHAnsi" w:cs="Arial"/>
          <w:szCs w:val="24"/>
        </w:rPr>
        <w:tab/>
        <w:t>The impact of this will be a potential reduction in the real income of claimants, when accounting for inflation and cost of living increases. The loss per individual or family will depend on the benefits they receive and their personal circumstances. The Institute for Fiscal Studies has estimated an average £260 loss per annum for families.</w:t>
      </w:r>
    </w:p>
    <w:p w:rsidR="004A7D3D" w:rsidRPr="00C66BE3" w:rsidRDefault="004A7D3D" w:rsidP="00B1065F">
      <w:pPr>
        <w:shd w:val="clear" w:color="auto" w:fill="FFFFFF"/>
        <w:spacing w:line="276" w:lineRule="auto"/>
        <w:ind w:left="720" w:hanging="720"/>
        <w:contextualSpacing/>
        <w:jc w:val="both"/>
        <w:rPr>
          <w:rFonts w:eastAsiaTheme="minorHAnsi" w:cs="Arial"/>
          <w:szCs w:val="24"/>
        </w:rPr>
      </w:pPr>
    </w:p>
    <w:p w:rsidR="00C66BE3" w:rsidRDefault="005E3A92" w:rsidP="00B1065F">
      <w:pPr>
        <w:spacing w:line="276" w:lineRule="auto"/>
        <w:ind w:left="720" w:hanging="720"/>
        <w:jc w:val="both"/>
        <w:rPr>
          <w:rFonts w:cs="Arial"/>
          <w:szCs w:val="24"/>
        </w:rPr>
      </w:pPr>
      <w:r>
        <w:rPr>
          <w:rFonts w:cs="Arial"/>
          <w:szCs w:val="24"/>
        </w:rPr>
        <w:t>4.2</w:t>
      </w:r>
      <w:r w:rsidR="00C66BE3" w:rsidRPr="00C66BE3">
        <w:rPr>
          <w:rFonts w:cs="Arial"/>
          <w:szCs w:val="24"/>
        </w:rPr>
        <w:t>.4</w:t>
      </w:r>
      <w:r w:rsidR="00C66BE3" w:rsidRPr="00C66BE3">
        <w:rPr>
          <w:rFonts w:cs="Arial"/>
          <w:szCs w:val="24"/>
        </w:rPr>
        <w:tab/>
        <w:t xml:space="preserve">Over recent years the private rented sector has played a key role in helping meet the housing need of residents given the shortfall in social housing, helping reduce levels of homelessness and the use of temporary accommodation.  But this comes at a cost, and depends on the availability of private rented stock and the willingness of landlords to contract with housing benefit claimants. </w:t>
      </w:r>
    </w:p>
    <w:p w:rsidR="004A7D3D" w:rsidRDefault="004A7D3D" w:rsidP="00B1065F">
      <w:pPr>
        <w:spacing w:line="276" w:lineRule="auto"/>
        <w:ind w:left="720" w:hanging="720"/>
        <w:jc w:val="both"/>
        <w:rPr>
          <w:rFonts w:cs="Arial"/>
          <w:szCs w:val="24"/>
        </w:rPr>
      </w:pPr>
    </w:p>
    <w:p w:rsidR="00C66BE3" w:rsidRDefault="005E3A92" w:rsidP="00CF0B60">
      <w:pPr>
        <w:spacing w:line="276" w:lineRule="auto"/>
        <w:ind w:left="720" w:hanging="720"/>
        <w:jc w:val="both"/>
        <w:rPr>
          <w:rFonts w:cs="Arial"/>
          <w:szCs w:val="24"/>
        </w:rPr>
      </w:pPr>
      <w:r>
        <w:rPr>
          <w:rFonts w:cs="Arial"/>
          <w:szCs w:val="24"/>
        </w:rPr>
        <w:t>4.2</w:t>
      </w:r>
      <w:r w:rsidR="00C66BE3" w:rsidRPr="00C66BE3">
        <w:rPr>
          <w:rFonts w:cs="Arial"/>
          <w:szCs w:val="24"/>
        </w:rPr>
        <w:t>.5</w:t>
      </w:r>
      <w:r w:rsidR="00C66BE3" w:rsidRPr="00C66BE3">
        <w:rPr>
          <w:rFonts w:cs="Arial"/>
          <w:szCs w:val="24"/>
        </w:rPr>
        <w:tab/>
        <w:t>It is projected that a number of tenants in the private rented sector will be unable to meet the shortfall which will result in arrears and potentially, evictions, which will in turn impact on homeless services.  It is likely this will impact on existing tenants, and also constrain Local Authorities’ ability to use the private rented sector to meet future housing need.  It is within the private rented sector where there is now the highest number of evictions and one of the main causes of homelessness.</w:t>
      </w:r>
    </w:p>
    <w:p w:rsidR="004A7D3D" w:rsidRPr="00C66BE3" w:rsidRDefault="004A7D3D" w:rsidP="004A7D3D">
      <w:pPr>
        <w:spacing w:line="276" w:lineRule="auto"/>
        <w:ind w:left="720" w:hanging="720"/>
        <w:rPr>
          <w:rFonts w:cs="Arial"/>
          <w:szCs w:val="24"/>
        </w:rPr>
      </w:pPr>
    </w:p>
    <w:p w:rsidR="00C66BE3" w:rsidRPr="00C831CB" w:rsidRDefault="005E3A92" w:rsidP="00C66BE3">
      <w:pPr>
        <w:spacing w:after="240" w:line="480" w:lineRule="auto"/>
        <w:rPr>
          <w:rFonts w:cs="Arial"/>
          <w:szCs w:val="24"/>
        </w:rPr>
      </w:pPr>
      <w:r>
        <w:rPr>
          <w:rFonts w:cs="Arial"/>
          <w:szCs w:val="24"/>
        </w:rPr>
        <w:t>4.3</w:t>
      </w:r>
      <w:r w:rsidR="00C66BE3" w:rsidRPr="00C831CB">
        <w:rPr>
          <w:rFonts w:cs="Arial"/>
          <w:szCs w:val="24"/>
        </w:rPr>
        <w:tab/>
      </w:r>
      <w:r w:rsidR="00C66BE3" w:rsidRPr="00C831CB">
        <w:rPr>
          <w:rFonts w:cs="Arial"/>
          <w:szCs w:val="24"/>
          <w:u w:val="single"/>
        </w:rPr>
        <w:t>Limiting Child Tax Credit</w:t>
      </w:r>
    </w:p>
    <w:p w:rsidR="00C66BE3" w:rsidRPr="00C66BE3" w:rsidRDefault="005E3A92" w:rsidP="00B1065F">
      <w:pPr>
        <w:spacing w:after="240" w:line="276" w:lineRule="auto"/>
        <w:ind w:left="720" w:hanging="720"/>
        <w:jc w:val="both"/>
        <w:rPr>
          <w:rFonts w:cs="Arial"/>
          <w:szCs w:val="24"/>
        </w:rPr>
      </w:pPr>
      <w:r>
        <w:rPr>
          <w:rFonts w:cs="Arial"/>
          <w:szCs w:val="24"/>
        </w:rPr>
        <w:t>4.3.1</w:t>
      </w:r>
      <w:r w:rsidR="00C66BE3" w:rsidRPr="00C66BE3">
        <w:rPr>
          <w:rFonts w:cs="Arial"/>
          <w:szCs w:val="24"/>
        </w:rPr>
        <w:tab/>
        <w:t>The Act removes the entitlement to child tax credit for the third and subsequent children born in a family after 6 April 2017 and removes the higher rate payable for the first child in the household to create a single, flat rate.</w:t>
      </w:r>
    </w:p>
    <w:p w:rsidR="00C66BE3" w:rsidRPr="00C831CB" w:rsidRDefault="005E3A92" w:rsidP="00B1065F">
      <w:pPr>
        <w:spacing w:after="240" w:line="480" w:lineRule="auto"/>
        <w:jc w:val="both"/>
        <w:rPr>
          <w:rFonts w:cs="Arial"/>
          <w:szCs w:val="24"/>
        </w:rPr>
      </w:pPr>
      <w:r>
        <w:rPr>
          <w:rFonts w:cs="Arial"/>
          <w:szCs w:val="24"/>
        </w:rPr>
        <w:t>4.4</w:t>
      </w:r>
      <w:r w:rsidR="00C66BE3" w:rsidRPr="00C831CB">
        <w:rPr>
          <w:rFonts w:cs="Arial"/>
          <w:szCs w:val="24"/>
        </w:rPr>
        <w:tab/>
      </w:r>
      <w:r w:rsidR="00C66BE3" w:rsidRPr="00C831CB">
        <w:rPr>
          <w:rFonts w:cs="Arial"/>
          <w:szCs w:val="24"/>
          <w:u w:val="single"/>
        </w:rPr>
        <w:t>Reducing the Benefit Cap</w:t>
      </w:r>
      <w:r w:rsidR="00C66BE3" w:rsidRPr="00C831CB">
        <w:rPr>
          <w:rFonts w:cs="Arial"/>
          <w:szCs w:val="24"/>
        </w:rPr>
        <w:t xml:space="preserve"> </w:t>
      </w:r>
    </w:p>
    <w:p w:rsidR="00C66BE3" w:rsidRPr="00C66BE3" w:rsidRDefault="005E3A92" w:rsidP="00B1065F">
      <w:pPr>
        <w:spacing w:after="240" w:line="276" w:lineRule="auto"/>
        <w:ind w:left="720" w:hanging="720"/>
        <w:jc w:val="both"/>
        <w:rPr>
          <w:rFonts w:cs="Arial"/>
          <w:szCs w:val="24"/>
        </w:rPr>
      </w:pPr>
      <w:r>
        <w:rPr>
          <w:rFonts w:cs="Arial"/>
          <w:szCs w:val="24"/>
        </w:rPr>
        <w:t>4.4</w:t>
      </w:r>
      <w:r w:rsidR="00C66BE3" w:rsidRPr="00C66BE3">
        <w:rPr>
          <w:rFonts w:cs="Arial"/>
          <w:szCs w:val="24"/>
        </w:rPr>
        <w:t>.</w:t>
      </w:r>
      <w:r>
        <w:rPr>
          <w:rFonts w:cs="Arial"/>
          <w:szCs w:val="24"/>
        </w:rPr>
        <w:t>1</w:t>
      </w:r>
      <w:r w:rsidR="00C66BE3" w:rsidRPr="00C66BE3">
        <w:rPr>
          <w:rFonts w:cs="Arial"/>
          <w:szCs w:val="24"/>
        </w:rPr>
        <w:tab/>
        <w:t xml:space="preserve">The Act will lower the cap for families outside Greater London from £26,000 to £20,000 and from £18,200 to £13,400 for households without dependent children. It is projected that the new cap will affect a much larger number of tenants and children than before and its impact will not be confined to larger families.  </w:t>
      </w:r>
      <w:r w:rsidR="004A7D3D">
        <w:rPr>
          <w:rFonts w:cs="Arial"/>
          <w:szCs w:val="24"/>
        </w:rPr>
        <w:t>O</w:t>
      </w:r>
      <w:r w:rsidR="00C66BE3" w:rsidRPr="00C66BE3">
        <w:rPr>
          <w:rFonts w:cs="Arial"/>
          <w:szCs w:val="24"/>
        </w:rPr>
        <w:t>fficial figures are st</w:t>
      </w:r>
      <w:r w:rsidR="004A7D3D">
        <w:rPr>
          <w:rFonts w:cs="Arial"/>
          <w:szCs w:val="24"/>
        </w:rPr>
        <w:t>ill being calculated by the DWP.</w:t>
      </w:r>
      <w:r w:rsidR="00C66BE3" w:rsidRPr="00C66BE3">
        <w:rPr>
          <w:rFonts w:cs="Arial"/>
          <w:szCs w:val="24"/>
        </w:rPr>
        <w:t xml:space="preserve"> </w:t>
      </w:r>
    </w:p>
    <w:p w:rsidR="00C66BE3" w:rsidRPr="00C66BE3" w:rsidRDefault="005E3A92" w:rsidP="00B1065F">
      <w:pPr>
        <w:spacing w:after="240" w:line="276" w:lineRule="auto"/>
        <w:ind w:left="720" w:hanging="720"/>
        <w:jc w:val="both"/>
        <w:rPr>
          <w:rFonts w:cs="Arial"/>
          <w:szCs w:val="24"/>
          <w:vertAlign w:val="superscript"/>
        </w:rPr>
      </w:pPr>
      <w:r>
        <w:rPr>
          <w:rFonts w:cs="Arial"/>
          <w:szCs w:val="24"/>
        </w:rPr>
        <w:t>4.4</w:t>
      </w:r>
      <w:r w:rsidR="00C66BE3" w:rsidRPr="00C66BE3">
        <w:rPr>
          <w:rFonts w:cs="Arial"/>
          <w:szCs w:val="24"/>
        </w:rPr>
        <w:t>.2</w:t>
      </w:r>
      <w:r w:rsidR="00C66BE3" w:rsidRPr="00C66BE3">
        <w:rPr>
          <w:rFonts w:cs="Arial"/>
          <w:szCs w:val="24"/>
        </w:rPr>
        <w:tab/>
        <w:t xml:space="preserve">It is anticipated that smaller sized units (2 and 3 bed homes) will become unaffordable to households affected by the cap. 4 bed homes are already affected by the existing arrangements.  A major concern is the potential impact that this may subsequently have on evictions and homelessness and the likely knock on effect of an increase in the use of temporary accommodation.  If social housing becomes unaffordable then there is no other tenure available to respond to the unmet housing need arising from the implementation of this policy. </w:t>
      </w:r>
      <w:r w:rsidR="003625A5" w:rsidRPr="003625A5">
        <w:rPr>
          <w:rFonts w:cs="Arial"/>
          <w:i/>
          <w:szCs w:val="24"/>
        </w:rPr>
        <w:t>See Appendix 4</w:t>
      </w:r>
      <w:r w:rsidR="003625A5">
        <w:rPr>
          <w:rFonts w:cs="Arial"/>
          <w:szCs w:val="24"/>
        </w:rPr>
        <w:t xml:space="preserve"> for</w:t>
      </w:r>
      <w:r w:rsidR="00C66BE3" w:rsidRPr="00C66BE3">
        <w:rPr>
          <w:rFonts w:cs="Arial"/>
          <w:szCs w:val="24"/>
        </w:rPr>
        <w:t xml:space="preserve"> case studies, supplied by a Housing Provider based in West Kent, which illustrate the adverse impact of the cap on low income families in receipt of Employment Support Allowance (ESA) .</w:t>
      </w:r>
      <w:r w:rsidR="00F56B1F">
        <w:rPr>
          <w:rFonts w:cs="Arial"/>
          <w:szCs w:val="24"/>
          <w:vertAlign w:val="superscript"/>
        </w:rPr>
        <w:t>4</w:t>
      </w:r>
    </w:p>
    <w:p w:rsidR="00B85C19" w:rsidRPr="00C831CB" w:rsidRDefault="005E3A92" w:rsidP="005E3A92">
      <w:pPr>
        <w:pStyle w:val="ListNumbered"/>
        <w:numPr>
          <w:ilvl w:val="0"/>
          <w:numId w:val="0"/>
        </w:numPr>
        <w:spacing w:line="480" w:lineRule="auto"/>
        <w:jc w:val="both"/>
        <w:rPr>
          <w:u w:val="single"/>
        </w:rPr>
      </w:pPr>
      <w:r>
        <w:t>4.5</w:t>
      </w:r>
      <w:r>
        <w:tab/>
      </w:r>
      <w:r w:rsidR="005F2687" w:rsidRPr="00C831CB">
        <w:rPr>
          <w:u w:val="single"/>
        </w:rPr>
        <w:t xml:space="preserve">Amendments to the </w:t>
      </w:r>
      <w:r w:rsidR="00B85C19" w:rsidRPr="00C831CB">
        <w:rPr>
          <w:u w:val="single"/>
        </w:rPr>
        <w:t>Child Poverty</w:t>
      </w:r>
      <w:r w:rsidR="005F2687" w:rsidRPr="00C831CB">
        <w:rPr>
          <w:u w:val="single"/>
        </w:rPr>
        <w:t xml:space="preserve"> Act</w:t>
      </w:r>
    </w:p>
    <w:p w:rsidR="00B87BBA" w:rsidRPr="00B87BBA" w:rsidRDefault="005E3A92" w:rsidP="00B1065F">
      <w:pPr>
        <w:pStyle w:val="ListNumbered"/>
        <w:numPr>
          <w:ilvl w:val="0"/>
          <w:numId w:val="0"/>
        </w:numPr>
        <w:spacing w:line="276" w:lineRule="auto"/>
        <w:ind w:left="720" w:hanging="720"/>
        <w:jc w:val="both"/>
        <w:rPr>
          <w:rFonts w:cs="Arial"/>
          <w:vertAlign w:val="superscript"/>
          <w:lang w:eastAsia="en-GB"/>
        </w:rPr>
      </w:pPr>
      <w:r>
        <w:rPr>
          <w:rFonts w:cs="Arial"/>
          <w:lang w:eastAsia="en-GB"/>
        </w:rPr>
        <w:t>4.5</w:t>
      </w:r>
      <w:r w:rsidR="00B87BBA">
        <w:rPr>
          <w:rFonts w:cs="Arial"/>
          <w:lang w:eastAsia="en-GB"/>
        </w:rPr>
        <w:t>.</w:t>
      </w:r>
      <w:r>
        <w:rPr>
          <w:rFonts w:cs="Arial"/>
          <w:lang w:eastAsia="en-GB"/>
        </w:rPr>
        <w:t>1</w:t>
      </w:r>
      <w:r w:rsidR="00B87BBA">
        <w:rPr>
          <w:rFonts w:cs="Arial"/>
          <w:lang w:eastAsia="en-GB"/>
        </w:rPr>
        <w:tab/>
      </w:r>
      <w:r w:rsidR="00B87BBA" w:rsidRPr="00B87BBA">
        <w:rPr>
          <w:rFonts w:cs="Arial"/>
          <w:lang w:eastAsia="en-GB"/>
        </w:rPr>
        <w:t>It is the Government’s premise that income through benefits maintains people on a low income, whereas income gained through work can transform lives   T</w:t>
      </w:r>
      <w:r w:rsidR="00B85C19" w:rsidRPr="00B87BBA">
        <w:rPr>
          <w:rFonts w:cs="Arial"/>
          <w:lang w:eastAsia="en-GB"/>
        </w:rPr>
        <w:t>he</w:t>
      </w:r>
      <w:r w:rsidR="005F2687" w:rsidRPr="00B87BBA">
        <w:rPr>
          <w:rFonts w:cs="Arial"/>
          <w:lang w:eastAsia="en-GB"/>
        </w:rPr>
        <w:t xml:space="preserve"> Act repeals the</w:t>
      </w:r>
      <w:r w:rsidR="00B85C19" w:rsidRPr="00B87BBA">
        <w:rPr>
          <w:rFonts w:cs="Arial"/>
          <w:lang w:eastAsia="en-GB"/>
        </w:rPr>
        <w:t xml:space="preserve"> Child Poverty Act 2010 and place</w:t>
      </w:r>
      <w:r w:rsidR="005F2687" w:rsidRPr="00B87BBA">
        <w:rPr>
          <w:rFonts w:cs="Arial"/>
          <w:lang w:eastAsia="en-GB"/>
        </w:rPr>
        <w:t>s</w:t>
      </w:r>
      <w:r w:rsidR="00B85C19" w:rsidRPr="00B87BBA">
        <w:rPr>
          <w:rFonts w:cs="Arial"/>
          <w:lang w:eastAsia="en-GB"/>
        </w:rPr>
        <w:t xml:space="preserve"> greater emphasis on worklessness and low educational attainment.  However, </w:t>
      </w:r>
      <w:r w:rsidR="00B85C19" w:rsidRPr="00B87BBA">
        <w:rPr>
          <w:rFonts w:cs="Arial"/>
          <w:shd w:val="clear" w:color="auto" w:fill="FFFFFF"/>
        </w:rPr>
        <w:t xml:space="preserve">an inquiry by the All Party Parliamentary Group (APPG) on Health in All Policies into the impact of the Welfare Reform and Work Bill (February 2016) raised </w:t>
      </w:r>
      <w:r w:rsidR="00B85C19" w:rsidRPr="00B87BBA">
        <w:rPr>
          <w:rFonts w:cs="Arial"/>
          <w:lang w:eastAsia="en-GB"/>
        </w:rPr>
        <w:t xml:space="preserve">concerns that the Government, by focusing only on workless households, will miss the substantial number of children in poverty that live in working households.  </w:t>
      </w:r>
      <w:r w:rsidR="005F2687" w:rsidRPr="00B87BBA">
        <w:rPr>
          <w:rFonts w:cs="Arial"/>
          <w:lang w:eastAsia="en-GB"/>
        </w:rPr>
        <w:t xml:space="preserve">The inquiry stated </w:t>
      </w:r>
      <w:r w:rsidR="00B85C19" w:rsidRPr="00B87BBA">
        <w:rPr>
          <w:rFonts w:cs="Arial"/>
          <w:lang w:eastAsia="en-GB"/>
        </w:rPr>
        <w:t>that worklessness is not a better measure of poverty than low income</w:t>
      </w:r>
      <w:r w:rsidR="005F2687" w:rsidRPr="00B87BBA">
        <w:rPr>
          <w:rFonts w:cs="Arial"/>
          <w:lang w:eastAsia="en-GB"/>
        </w:rPr>
        <w:t xml:space="preserve"> and </w:t>
      </w:r>
      <w:r w:rsidR="00B85C19" w:rsidRPr="00B87BBA">
        <w:rPr>
          <w:rFonts w:cs="Arial"/>
          <w:lang w:eastAsia="en-GB"/>
        </w:rPr>
        <w:t>if the central issue of low income is not addressed, the current and future health, wellbeing and life-chances of children in poverty will be seriously affected</w:t>
      </w:r>
      <w:r w:rsidR="00F56B1F">
        <w:rPr>
          <w:rFonts w:cs="Arial"/>
          <w:lang w:eastAsia="en-GB"/>
        </w:rPr>
        <w:t>.</w:t>
      </w:r>
      <w:r w:rsidR="00F56B1F">
        <w:rPr>
          <w:rFonts w:cs="Arial"/>
          <w:vertAlign w:val="superscript"/>
          <w:lang w:eastAsia="en-GB"/>
        </w:rPr>
        <w:t>5</w:t>
      </w:r>
    </w:p>
    <w:p w:rsidR="00B85C19" w:rsidRPr="00C831CB" w:rsidRDefault="005E3A92" w:rsidP="00B1065F">
      <w:pPr>
        <w:pStyle w:val="ListNumbered"/>
        <w:numPr>
          <w:ilvl w:val="0"/>
          <w:numId w:val="0"/>
        </w:numPr>
        <w:spacing w:line="276" w:lineRule="auto"/>
        <w:ind w:left="720" w:hanging="720"/>
        <w:jc w:val="both"/>
        <w:rPr>
          <w:rFonts w:cs="Arial"/>
          <w:lang w:eastAsia="en-GB"/>
        </w:rPr>
      </w:pPr>
      <w:r>
        <w:rPr>
          <w:rFonts w:cs="Arial"/>
          <w:lang w:eastAsia="en-GB"/>
        </w:rPr>
        <w:t>4.5</w:t>
      </w:r>
      <w:r w:rsidR="00B87BBA" w:rsidRPr="00B87BBA">
        <w:rPr>
          <w:rFonts w:cs="Arial"/>
          <w:lang w:eastAsia="en-GB"/>
        </w:rPr>
        <w:t>.2</w:t>
      </w:r>
      <w:r w:rsidR="00B87BBA" w:rsidRPr="00B87BBA">
        <w:rPr>
          <w:rFonts w:cs="Arial"/>
          <w:lang w:eastAsia="en-GB"/>
        </w:rPr>
        <w:tab/>
      </w:r>
      <w:r w:rsidR="008C6E28" w:rsidRPr="00B87BBA">
        <w:rPr>
          <w:rFonts w:cs="Arial"/>
          <w:lang w:eastAsia="en-GB"/>
        </w:rPr>
        <w:t>The Child Poverty Action Group (CPAG) is of the view that work is increasingly less of a route out of poverty.  Using data from the D</w:t>
      </w:r>
      <w:r w:rsidR="00B87BBA">
        <w:rPr>
          <w:rFonts w:cs="Arial"/>
          <w:lang w:eastAsia="en-GB"/>
        </w:rPr>
        <w:t>W</w:t>
      </w:r>
      <w:r w:rsidR="008C6E28" w:rsidRPr="00B87BBA">
        <w:rPr>
          <w:rFonts w:cs="Arial"/>
          <w:lang w:eastAsia="en-GB"/>
        </w:rPr>
        <w:t>P</w:t>
      </w:r>
      <w:r w:rsidR="00512F9E" w:rsidRPr="00B87BBA">
        <w:rPr>
          <w:rFonts w:cs="Arial"/>
          <w:lang w:eastAsia="en-GB"/>
        </w:rPr>
        <w:t>,</w:t>
      </w:r>
      <w:r w:rsidR="008C6E28" w:rsidRPr="00B87BBA">
        <w:rPr>
          <w:rFonts w:cs="Arial"/>
          <w:lang w:eastAsia="en-GB"/>
        </w:rPr>
        <w:t xml:space="preserve"> CPAG has calculated that 64 per cent of children living in poverty are in the working families compared with 55 per cent in 2009/10</w:t>
      </w:r>
      <w:r w:rsidR="00F56B1F">
        <w:rPr>
          <w:rFonts w:cs="Arial"/>
          <w:lang w:eastAsia="en-GB"/>
        </w:rPr>
        <w:t>.</w:t>
      </w:r>
      <w:r w:rsidR="00F56B1F">
        <w:rPr>
          <w:rFonts w:cs="Arial"/>
          <w:vertAlign w:val="superscript"/>
          <w:lang w:eastAsia="en-GB"/>
        </w:rPr>
        <w:t>6</w:t>
      </w:r>
      <w:r w:rsidR="00B87BBA">
        <w:rPr>
          <w:rFonts w:cs="Arial"/>
          <w:lang w:eastAsia="en-GB"/>
        </w:rPr>
        <w:t xml:space="preserve"> CPAG further argues that child poverty is associated with a decrease in physical and mental health and cognition of children increasing the burden on health and social care providers. In addition, they suggest that poverty has an impact on parental health increasing mental ill health which in </w:t>
      </w:r>
      <w:r w:rsidR="00B87BBA" w:rsidRPr="00C831CB">
        <w:rPr>
          <w:rFonts w:cs="Arial"/>
          <w:lang w:eastAsia="en-GB"/>
        </w:rPr>
        <w:t>mothers is associated with poor outcomes for children</w:t>
      </w:r>
    </w:p>
    <w:p w:rsidR="00F73097" w:rsidRPr="00C831CB" w:rsidRDefault="005E3A92" w:rsidP="005E3A92">
      <w:pPr>
        <w:pStyle w:val="ListNumbered"/>
        <w:numPr>
          <w:ilvl w:val="0"/>
          <w:numId w:val="0"/>
        </w:numPr>
        <w:jc w:val="both"/>
        <w:rPr>
          <w:u w:val="single"/>
        </w:rPr>
      </w:pPr>
      <w:r>
        <w:t>4.6</w:t>
      </w:r>
      <w:r>
        <w:tab/>
      </w:r>
      <w:r w:rsidR="00F73097" w:rsidRPr="00C831CB">
        <w:rPr>
          <w:u w:val="single"/>
        </w:rPr>
        <w:t>Change the Automatic Entitlement of Housing Benefit for 18-21 Year Olds</w:t>
      </w:r>
    </w:p>
    <w:p w:rsidR="00F73097" w:rsidRPr="00093518" w:rsidRDefault="005E3A92" w:rsidP="00B1065F">
      <w:pPr>
        <w:pStyle w:val="ListNumbered"/>
        <w:numPr>
          <w:ilvl w:val="0"/>
          <w:numId w:val="0"/>
        </w:numPr>
        <w:spacing w:line="276" w:lineRule="auto"/>
        <w:ind w:left="720" w:hanging="720"/>
        <w:jc w:val="both"/>
        <w:rPr>
          <w:rFonts w:cs="Tahoma"/>
          <w:color w:val="365F91" w:themeColor="accent1" w:themeShade="BF"/>
        </w:rPr>
      </w:pPr>
      <w:r>
        <w:rPr>
          <w:rFonts w:cs="Tahoma"/>
        </w:rPr>
        <w:t>4.6.1</w:t>
      </w:r>
      <w:r w:rsidR="00E74A6A" w:rsidRPr="00E74A6A">
        <w:rPr>
          <w:rFonts w:cs="Tahoma"/>
        </w:rPr>
        <w:tab/>
      </w:r>
      <w:r w:rsidR="00F73097" w:rsidRPr="00E74A6A">
        <w:rPr>
          <w:rFonts w:cs="Tahoma"/>
        </w:rPr>
        <w:t xml:space="preserve">The proposed exemptions </w:t>
      </w:r>
      <w:r w:rsidR="00D36C2C" w:rsidRPr="00E74A6A">
        <w:rPr>
          <w:rFonts w:cs="Tahoma"/>
        </w:rPr>
        <w:t xml:space="preserve">for vulnerable young people such as care leavers and those who have been in work for 6 months prior to making an application </w:t>
      </w:r>
      <w:r w:rsidR="00F73097" w:rsidRPr="00E74A6A">
        <w:rPr>
          <w:rFonts w:cs="Tahoma"/>
        </w:rPr>
        <w:t>are welcomed</w:t>
      </w:r>
      <w:r w:rsidR="00D36C2C" w:rsidRPr="00E74A6A">
        <w:rPr>
          <w:rFonts w:cs="Tahoma"/>
        </w:rPr>
        <w:t>.  H</w:t>
      </w:r>
      <w:r w:rsidR="00F73097" w:rsidRPr="00E74A6A">
        <w:rPr>
          <w:rFonts w:cs="Tahoma"/>
        </w:rPr>
        <w:t>owever</w:t>
      </w:r>
      <w:r w:rsidR="00E74A6A">
        <w:rPr>
          <w:rFonts w:cs="Tahoma"/>
        </w:rPr>
        <w:t>,</w:t>
      </w:r>
      <w:r w:rsidR="00F73097" w:rsidRPr="00E74A6A">
        <w:rPr>
          <w:rFonts w:cs="Tahoma"/>
        </w:rPr>
        <w:t xml:space="preserve"> concern</w:t>
      </w:r>
      <w:r w:rsidR="00E74A6A">
        <w:rPr>
          <w:rFonts w:cs="Tahoma"/>
        </w:rPr>
        <w:t xml:space="preserve">s remain </w:t>
      </w:r>
      <w:r w:rsidR="00F73097" w:rsidRPr="00E74A6A">
        <w:rPr>
          <w:rFonts w:cs="Tahoma"/>
        </w:rPr>
        <w:t>about a</w:t>
      </w:r>
      <w:r w:rsidR="00E74A6A">
        <w:rPr>
          <w:rFonts w:cs="Tahoma"/>
        </w:rPr>
        <w:t xml:space="preserve"> potential </w:t>
      </w:r>
      <w:r w:rsidR="00F73097" w:rsidRPr="00E74A6A">
        <w:rPr>
          <w:rFonts w:cs="Tahoma"/>
        </w:rPr>
        <w:t>increase in homelessness amongst young people</w:t>
      </w:r>
      <w:r w:rsidR="00E74A6A">
        <w:rPr>
          <w:rFonts w:cs="Tahoma"/>
        </w:rPr>
        <w:t xml:space="preserve"> as </w:t>
      </w:r>
      <w:r w:rsidR="00F73097" w:rsidRPr="00E74A6A">
        <w:rPr>
          <w:rFonts w:cs="Tahoma"/>
        </w:rPr>
        <w:t>Housing Benefit provides a vital safety net when people find themselves in housing need.  Staying at home is not an option for many young people</w:t>
      </w:r>
      <w:r w:rsidR="00D36C2C" w:rsidRPr="00E74A6A">
        <w:rPr>
          <w:rFonts w:cs="Tahoma"/>
        </w:rPr>
        <w:t xml:space="preserve"> and </w:t>
      </w:r>
      <w:r w:rsidR="00F73097" w:rsidRPr="00E74A6A">
        <w:rPr>
          <w:rFonts w:cs="Tahoma"/>
        </w:rPr>
        <w:t>this benefit is essential if they are to realise education or employment ambitions.</w:t>
      </w:r>
      <w:r w:rsidR="00D36C2C" w:rsidRPr="00E74A6A">
        <w:rPr>
          <w:rFonts w:cs="Tahoma"/>
        </w:rPr>
        <w:t xml:space="preserve">  For many young people housing benefit is </w:t>
      </w:r>
      <w:r w:rsidR="00E74A6A" w:rsidRPr="00E74A6A">
        <w:rPr>
          <w:rFonts w:cs="Tahoma"/>
        </w:rPr>
        <w:t xml:space="preserve">a protective factor in youth </w:t>
      </w:r>
      <w:r w:rsidR="00D36C2C" w:rsidRPr="00E74A6A">
        <w:rPr>
          <w:rFonts w:cs="Tahoma"/>
        </w:rPr>
        <w:t xml:space="preserve">homelessness and there is a very real risk that </w:t>
      </w:r>
      <w:r w:rsidR="00E74A6A" w:rsidRPr="00E74A6A">
        <w:rPr>
          <w:rFonts w:cs="Tahoma"/>
        </w:rPr>
        <w:t xml:space="preserve">it </w:t>
      </w:r>
      <w:r w:rsidR="00D36C2C" w:rsidRPr="00E74A6A">
        <w:rPr>
          <w:rFonts w:cs="Tahoma"/>
        </w:rPr>
        <w:t>wi</w:t>
      </w:r>
      <w:r w:rsidR="00E74A6A" w:rsidRPr="00E74A6A">
        <w:rPr>
          <w:rFonts w:cs="Tahoma"/>
        </w:rPr>
        <w:t xml:space="preserve">ll increase as the automatic </w:t>
      </w:r>
      <w:r w:rsidR="00D36C2C" w:rsidRPr="00E74A6A">
        <w:rPr>
          <w:rFonts w:cs="Tahoma"/>
        </w:rPr>
        <w:t>entitlement is withdrawn from 2017.</w:t>
      </w:r>
    </w:p>
    <w:p w:rsidR="008524EC" w:rsidRDefault="005E3A92" w:rsidP="00E87D3C">
      <w:pPr>
        <w:spacing w:after="240" w:line="276" w:lineRule="auto"/>
        <w:ind w:left="720" w:hanging="720"/>
        <w:jc w:val="both"/>
        <w:rPr>
          <w:rFonts w:cs="Tahoma"/>
        </w:rPr>
      </w:pPr>
      <w:r>
        <w:rPr>
          <w:rFonts w:cs="Tahoma"/>
        </w:rPr>
        <w:t>4.6.2</w:t>
      </w:r>
      <w:r w:rsidR="00E74A6A" w:rsidRPr="00E74A6A">
        <w:rPr>
          <w:rFonts w:cs="Tahoma"/>
        </w:rPr>
        <w:tab/>
      </w:r>
      <w:r w:rsidR="00342058" w:rsidRPr="00E74A6A">
        <w:rPr>
          <w:rFonts w:cs="Tahoma"/>
        </w:rPr>
        <w:t xml:space="preserve">The change </w:t>
      </w:r>
      <w:r w:rsidR="006D6460" w:rsidRPr="00E74A6A">
        <w:rPr>
          <w:rFonts w:cs="Tahoma"/>
        </w:rPr>
        <w:t xml:space="preserve">could </w:t>
      </w:r>
      <w:r w:rsidR="00342058" w:rsidRPr="00E74A6A">
        <w:rPr>
          <w:rFonts w:cs="Tahoma"/>
        </w:rPr>
        <w:t xml:space="preserve">be compounded further by </w:t>
      </w:r>
      <w:r w:rsidR="007860DC">
        <w:rPr>
          <w:rFonts w:cs="Tahoma"/>
        </w:rPr>
        <w:t xml:space="preserve">strategic plans being considered at a </w:t>
      </w:r>
      <w:r w:rsidR="00342058" w:rsidRPr="00E74A6A">
        <w:rPr>
          <w:rFonts w:cs="Tahoma"/>
        </w:rPr>
        <w:t xml:space="preserve">Kent County </w:t>
      </w:r>
      <w:r w:rsidR="007860DC">
        <w:rPr>
          <w:rFonts w:cs="Tahoma"/>
        </w:rPr>
        <w:t>level</w:t>
      </w:r>
      <w:r w:rsidR="008524EC" w:rsidRPr="008524EC">
        <w:rPr>
          <w:rFonts w:cs="Tahoma"/>
        </w:rPr>
        <w:t xml:space="preserve"> in respect of supported accommodation for young people between 16-25 years old.  Kent County Council has conducted a consultation exercise concerning the future funding and access to accommodation for 16 – 25 year olds. The preferred funding option for KCC in future is to limit access to young persons’ supported accommodation to mainly care leavers. This will mean that young clients who require this type of housing are unlikely to be able to acquire it in future. This could mean that a cohort of young people that have previously been prevented from becoming homeless or suffering the detrimental effects of a lack of suitable housing, could become engaged with services at a more critical point later in life.</w:t>
      </w:r>
    </w:p>
    <w:p w:rsidR="008524EC" w:rsidRPr="00E74A6A" w:rsidRDefault="008524EC" w:rsidP="003625A5">
      <w:pPr>
        <w:spacing w:after="240" w:line="276" w:lineRule="auto"/>
        <w:ind w:left="720" w:hanging="720"/>
        <w:jc w:val="both"/>
      </w:pPr>
    </w:p>
    <w:p w:rsidR="00B1065F" w:rsidRDefault="009C7CF5" w:rsidP="003625A5">
      <w:pPr>
        <w:pStyle w:val="ListNumbered"/>
        <w:numPr>
          <w:ilvl w:val="0"/>
          <w:numId w:val="0"/>
        </w:numPr>
        <w:ind w:left="713" w:hanging="713"/>
        <w:jc w:val="both"/>
        <w:rPr>
          <w:rFonts w:cs="Arial"/>
          <w:lang w:eastAsia="en-GB"/>
        </w:rPr>
      </w:pPr>
      <w:r>
        <w:t>4.7</w:t>
      </w:r>
      <w:r w:rsidR="00E74A6A" w:rsidRPr="00C831CB">
        <w:tab/>
      </w:r>
      <w:r w:rsidR="00F73097" w:rsidRPr="00C831CB">
        <w:rPr>
          <w:u w:val="single"/>
        </w:rPr>
        <w:t>Abolition of the Employment Support Allowance (ESA) Work Related</w:t>
      </w:r>
      <w:r w:rsidR="00E74A6A" w:rsidRPr="00C831CB">
        <w:rPr>
          <w:u w:val="single"/>
        </w:rPr>
        <w:t xml:space="preserve"> Activity Component</w:t>
      </w:r>
      <w:r w:rsidR="00F73097" w:rsidRPr="00C831CB">
        <w:t xml:space="preserve"> </w:t>
      </w:r>
      <w:r w:rsidR="00E74A6A" w:rsidRPr="00C831CB">
        <w:t xml:space="preserve"> </w:t>
      </w:r>
      <w:r w:rsidR="00E74A6A" w:rsidRPr="00C831CB">
        <w:rPr>
          <w:rFonts w:cs="Arial"/>
          <w:lang w:eastAsia="en-GB"/>
        </w:rPr>
        <w:t xml:space="preserve"> </w:t>
      </w:r>
    </w:p>
    <w:p w:rsidR="00F73097" w:rsidRPr="005C50FA" w:rsidRDefault="003625A5" w:rsidP="00B1065F">
      <w:pPr>
        <w:pStyle w:val="ListNumbered"/>
        <w:numPr>
          <w:ilvl w:val="0"/>
          <w:numId w:val="0"/>
        </w:numPr>
        <w:ind w:left="713" w:hanging="855"/>
        <w:jc w:val="both"/>
        <w:rPr>
          <w:rFonts w:cs="Arial"/>
          <w:lang w:eastAsia="en-GB"/>
        </w:rPr>
      </w:pPr>
      <w:r>
        <w:rPr>
          <w:rFonts w:cs="Arial"/>
          <w:lang w:eastAsia="en-GB"/>
        </w:rPr>
        <w:t xml:space="preserve">  </w:t>
      </w:r>
      <w:r w:rsidR="009C7CF5">
        <w:rPr>
          <w:rFonts w:cs="Arial"/>
          <w:lang w:eastAsia="en-GB"/>
        </w:rPr>
        <w:t>4.7.1</w:t>
      </w:r>
      <w:r w:rsidR="00E74A6A" w:rsidRPr="00E74A6A">
        <w:rPr>
          <w:rFonts w:cs="Arial"/>
          <w:lang w:eastAsia="en-GB"/>
        </w:rPr>
        <w:tab/>
      </w:r>
      <w:r w:rsidR="00F73097" w:rsidRPr="00E74A6A">
        <w:rPr>
          <w:rFonts w:cs="Arial"/>
          <w:lang w:eastAsia="en-GB"/>
        </w:rPr>
        <w:t>This measure reduce</w:t>
      </w:r>
      <w:r w:rsidR="00465F4D" w:rsidRPr="00E74A6A">
        <w:rPr>
          <w:rFonts w:cs="Arial"/>
          <w:lang w:eastAsia="en-GB"/>
        </w:rPr>
        <w:t>s</w:t>
      </w:r>
      <w:r w:rsidR="00F73097" w:rsidRPr="00E74A6A">
        <w:rPr>
          <w:rFonts w:cs="Arial"/>
          <w:lang w:eastAsia="en-GB"/>
        </w:rPr>
        <w:t xml:space="preserve"> the amount of money people in one category of Employment and Support Allowance (ESA) receive, taking approximately £30 a week from new claimants who are deemed to be capable of making some effort to find work.  The rationale is that it will save money and create </w:t>
      </w:r>
      <w:r w:rsidR="00E74A6A" w:rsidRPr="00E74A6A">
        <w:rPr>
          <w:rFonts w:cs="Arial"/>
          <w:lang w:eastAsia="en-GB"/>
        </w:rPr>
        <w:t xml:space="preserve">a stronger </w:t>
      </w:r>
      <w:r w:rsidR="00F73097" w:rsidRPr="00E74A6A">
        <w:rPr>
          <w:rFonts w:cs="Arial"/>
          <w:lang w:eastAsia="en-GB"/>
        </w:rPr>
        <w:t>incentive for disabled people to g</w:t>
      </w:r>
      <w:r w:rsidR="00BC0252" w:rsidRPr="00E74A6A">
        <w:rPr>
          <w:rFonts w:cs="Arial"/>
          <w:lang w:eastAsia="en-GB"/>
        </w:rPr>
        <w:t>ain employment</w:t>
      </w:r>
      <w:r w:rsidR="00F73097" w:rsidRPr="00E74A6A">
        <w:rPr>
          <w:rFonts w:cs="Arial"/>
          <w:lang w:eastAsia="en-GB"/>
        </w:rPr>
        <w:t>. However, the APPG believes that new ESA claimants will be unifo</w:t>
      </w:r>
      <w:r w:rsidR="00E74A6A" w:rsidRPr="00E74A6A">
        <w:rPr>
          <w:rFonts w:cs="Arial"/>
          <w:lang w:eastAsia="en-GB"/>
        </w:rPr>
        <w:t>rmly financially penalised without j</w:t>
      </w:r>
      <w:r w:rsidR="00F73097" w:rsidRPr="00E74A6A">
        <w:rPr>
          <w:rFonts w:cs="Arial"/>
          <w:lang w:eastAsia="en-GB"/>
        </w:rPr>
        <w:t xml:space="preserve">ustification. </w:t>
      </w:r>
      <w:r w:rsidR="00F36D0F" w:rsidRPr="00E74A6A">
        <w:rPr>
          <w:rFonts w:cs="Arial"/>
          <w:lang w:eastAsia="en-GB"/>
        </w:rPr>
        <w:t xml:space="preserve"> It argues that </w:t>
      </w:r>
      <w:r w:rsidR="00F73097" w:rsidRPr="00E74A6A">
        <w:rPr>
          <w:rFonts w:cs="Arial"/>
          <w:lang w:eastAsia="en-GB"/>
        </w:rPr>
        <w:t xml:space="preserve">there is no evidence that the </w:t>
      </w:r>
      <w:r w:rsidR="00F36D0F" w:rsidRPr="00E74A6A">
        <w:rPr>
          <w:rFonts w:cs="Arial"/>
          <w:lang w:eastAsia="en-GB"/>
        </w:rPr>
        <w:t xml:space="preserve">measure </w:t>
      </w:r>
      <w:r w:rsidR="00F73097" w:rsidRPr="00E74A6A">
        <w:rPr>
          <w:rFonts w:cs="Arial"/>
          <w:lang w:eastAsia="en-GB"/>
        </w:rPr>
        <w:t xml:space="preserve">would be effective in getting people into good quality work. In fact, </w:t>
      </w:r>
      <w:r w:rsidR="00F36D0F" w:rsidRPr="00E74A6A">
        <w:rPr>
          <w:rFonts w:cs="Arial"/>
          <w:lang w:eastAsia="en-GB"/>
        </w:rPr>
        <w:t>it</w:t>
      </w:r>
      <w:r w:rsidR="00E74A6A" w:rsidRPr="00E74A6A">
        <w:rPr>
          <w:rFonts w:cs="Arial"/>
          <w:lang w:eastAsia="en-GB"/>
        </w:rPr>
        <w:t xml:space="preserve"> states this </w:t>
      </w:r>
      <w:r w:rsidR="00F73097" w:rsidRPr="00E74A6A">
        <w:rPr>
          <w:rFonts w:cs="Arial"/>
          <w:lang w:eastAsia="en-GB"/>
        </w:rPr>
        <w:t xml:space="preserve">would be counterproductive because the additional anxiety would make claimants more unwell and therefore less able to find work. </w:t>
      </w:r>
      <w:r w:rsidR="00F36D0F" w:rsidRPr="00E74A6A">
        <w:rPr>
          <w:rFonts w:cs="Arial"/>
          <w:lang w:eastAsia="en-GB"/>
        </w:rPr>
        <w:t xml:space="preserve">However, </w:t>
      </w:r>
      <w:r w:rsidR="00512F9E" w:rsidRPr="00E74A6A">
        <w:rPr>
          <w:rFonts w:cs="Arial"/>
          <w:lang w:eastAsia="en-GB"/>
        </w:rPr>
        <w:t>it is well documented that for those households with health issues</w:t>
      </w:r>
      <w:r w:rsidR="00E74A6A" w:rsidRPr="00E74A6A">
        <w:rPr>
          <w:rFonts w:cs="Arial"/>
          <w:lang w:eastAsia="en-GB"/>
        </w:rPr>
        <w:t>,</w:t>
      </w:r>
      <w:r w:rsidR="00512F9E" w:rsidRPr="00E74A6A">
        <w:rPr>
          <w:rFonts w:cs="Arial"/>
          <w:lang w:eastAsia="en-GB"/>
        </w:rPr>
        <w:t xml:space="preserve"> being in some kind of regular work</w:t>
      </w:r>
      <w:r w:rsidR="00810AAB" w:rsidRPr="00E74A6A">
        <w:rPr>
          <w:rFonts w:cs="Arial"/>
          <w:lang w:eastAsia="en-GB"/>
        </w:rPr>
        <w:t xml:space="preserve"> improves mental and </w:t>
      </w:r>
      <w:r w:rsidR="00810AAB" w:rsidRPr="005C50FA">
        <w:rPr>
          <w:rFonts w:cs="Arial"/>
          <w:lang w:eastAsia="en-GB"/>
        </w:rPr>
        <w:t xml:space="preserve">physical health and can aid recovery.  </w:t>
      </w:r>
    </w:p>
    <w:p w:rsidR="00F73097" w:rsidRPr="00C831CB" w:rsidRDefault="009C7CF5" w:rsidP="009C7CF5">
      <w:pPr>
        <w:pStyle w:val="ListNumbered"/>
        <w:numPr>
          <w:ilvl w:val="0"/>
          <w:numId w:val="0"/>
        </w:numPr>
        <w:spacing w:line="480" w:lineRule="auto"/>
        <w:rPr>
          <w:u w:val="single"/>
        </w:rPr>
      </w:pPr>
      <w:r w:rsidRPr="009C7CF5">
        <w:t>4.8</w:t>
      </w:r>
      <w:r w:rsidRPr="009C7CF5">
        <w:tab/>
      </w:r>
      <w:r w:rsidR="00F73097" w:rsidRPr="00C831CB">
        <w:rPr>
          <w:u w:val="single"/>
        </w:rPr>
        <w:t>Other Changes</w:t>
      </w:r>
    </w:p>
    <w:p w:rsidR="005C50FA" w:rsidRPr="005C50FA" w:rsidRDefault="009C7CF5" w:rsidP="009C7CF5">
      <w:pPr>
        <w:pStyle w:val="ListNumbered"/>
        <w:numPr>
          <w:ilvl w:val="0"/>
          <w:numId w:val="0"/>
        </w:numPr>
        <w:spacing w:line="276" w:lineRule="auto"/>
        <w:ind w:left="720" w:hanging="720"/>
        <w:rPr>
          <w:rFonts w:cs="Arial"/>
        </w:rPr>
      </w:pPr>
      <w:r>
        <w:rPr>
          <w:rFonts w:cs="Arial"/>
        </w:rPr>
        <w:t>4.8.1</w:t>
      </w:r>
      <w:r>
        <w:rPr>
          <w:rFonts w:cs="Arial"/>
        </w:rPr>
        <w:tab/>
      </w:r>
      <w:r w:rsidR="00CD54AA" w:rsidRPr="005C50FA">
        <w:rPr>
          <w:rFonts w:cs="Arial"/>
        </w:rPr>
        <w:t xml:space="preserve">Other changes to housing benefit and the other tax credit and universal credit changes announced in the Budget will be made via regulations. They include: </w:t>
      </w:r>
    </w:p>
    <w:p w:rsidR="005C50FA" w:rsidRPr="005C50FA" w:rsidRDefault="00CD54AA" w:rsidP="004A794D">
      <w:pPr>
        <w:pStyle w:val="ListNumbered"/>
        <w:numPr>
          <w:ilvl w:val="0"/>
          <w:numId w:val="20"/>
        </w:numPr>
        <w:spacing w:line="276" w:lineRule="auto"/>
        <w:rPr>
          <w:rFonts w:cs="Arial"/>
          <w:lang w:eastAsia="en-GB"/>
        </w:rPr>
      </w:pPr>
      <w:r w:rsidRPr="005C50FA">
        <w:rPr>
          <w:rFonts w:cs="Arial"/>
        </w:rPr>
        <w:t xml:space="preserve">reducing the income threshold in tax credits and universal credit work allowances; </w:t>
      </w:r>
    </w:p>
    <w:p w:rsidR="005C50FA" w:rsidRPr="005C50FA" w:rsidRDefault="00CD54AA" w:rsidP="004A794D">
      <w:pPr>
        <w:pStyle w:val="ListNumbered"/>
        <w:numPr>
          <w:ilvl w:val="0"/>
          <w:numId w:val="20"/>
        </w:numPr>
        <w:spacing w:line="276" w:lineRule="auto"/>
        <w:rPr>
          <w:rFonts w:cs="Arial"/>
          <w:lang w:eastAsia="en-GB"/>
        </w:rPr>
      </w:pPr>
      <w:r w:rsidRPr="005C50FA">
        <w:rPr>
          <w:rFonts w:cs="Arial"/>
        </w:rPr>
        <w:t>increasing the tax credits withdrawal rate (taper) from 41 per cent to 48 per cent so that tax credits reduce more sharply as income increases;</w:t>
      </w:r>
    </w:p>
    <w:p w:rsidR="005C50FA" w:rsidRDefault="00CD54AA" w:rsidP="004A794D">
      <w:pPr>
        <w:pStyle w:val="ListNumbered"/>
        <w:numPr>
          <w:ilvl w:val="0"/>
          <w:numId w:val="20"/>
        </w:numPr>
        <w:spacing w:line="276" w:lineRule="auto"/>
        <w:rPr>
          <w:rFonts w:cs="Arial"/>
          <w:lang w:eastAsia="en-GB"/>
        </w:rPr>
      </w:pPr>
      <w:r w:rsidRPr="005C50FA">
        <w:rPr>
          <w:rFonts w:cs="Arial"/>
        </w:rPr>
        <w:t xml:space="preserve"> removing the family element in tax credits and universal credit (and the family premium in housing benefit) for</w:t>
      </w:r>
      <w:r w:rsidR="005C50FA">
        <w:rPr>
          <w:rFonts w:cs="Arial"/>
        </w:rPr>
        <w:t xml:space="preserve"> new claims from 2016 or 2017. </w:t>
      </w:r>
    </w:p>
    <w:p w:rsidR="005C50FA" w:rsidRDefault="00CD54AA" w:rsidP="004A794D">
      <w:pPr>
        <w:pStyle w:val="ListNumbered"/>
        <w:numPr>
          <w:ilvl w:val="0"/>
          <w:numId w:val="0"/>
        </w:numPr>
        <w:spacing w:line="276" w:lineRule="auto"/>
        <w:ind w:left="720"/>
        <w:rPr>
          <w:rFonts w:cs="Arial"/>
          <w:lang w:eastAsia="en-GB"/>
        </w:rPr>
      </w:pPr>
      <w:r w:rsidRPr="005C50FA">
        <w:rPr>
          <w:rFonts w:cs="Arial"/>
        </w:rPr>
        <w:t>The</w:t>
      </w:r>
      <w:r w:rsidRPr="005C50FA">
        <w:rPr>
          <w:rFonts w:cs="Arial"/>
          <w:lang w:eastAsia="en-GB"/>
        </w:rPr>
        <w:t xml:space="preserve"> </w:t>
      </w:r>
      <w:r w:rsidR="00BC0252" w:rsidRPr="005C50FA">
        <w:rPr>
          <w:rFonts w:cs="Arial"/>
          <w:lang w:eastAsia="en-GB"/>
        </w:rPr>
        <w:t xml:space="preserve">Act </w:t>
      </w:r>
      <w:r w:rsidRPr="005C50FA">
        <w:rPr>
          <w:rFonts w:cs="Arial"/>
          <w:lang w:eastAsia="en-GB"/>
        </w:rPr>
        <w:t>restrict</w:t>
      </w:r>
      <w:r w:rsidR="00BC0252" w:rsidRPr="005C50FA">
        <w:rPr>
          <w:rFonts w:cs="Arial"/>
          <w:lang w:eastAsia="en-GB"/>
        </w:rPr>
        <w:t>s</w:t>
      </w:r>
      <w:r w:rsidRPr="005C50FA">
        <w:rPr>
          <w:rFonts w:cs="Arial"/>
          <w:lang w:eastAsia="en-GB"/>
        </w:rPr>
        <w:t xml:space="preserve"> the individual child element of Child Tax Credit and the child element of Universal Credit to two children per family. </w:t>
      </w:r>
    </w:p>
    <w:p w:rsidR="001209CA" w:rsidRDefault="001209CA" w:rsidP="004A794D">
      <w:pPr>
        <w:pStyle w:val="ListNumbered"/>
        <w:numPr>
          <w:ilvl w:val="0"/>
          <w:numId w:val="0"/>
        </w:numPr>
        <w:spacing w:line="276" w:lineRule="auto"/>
        <w:ind w:left="720"/>
        <w:rPr>
          <w:rFonts w:cs="Arial"/>
          <w:lang w:eastAsia="en-GB"/>
        </w:rPr>
      </w:pPr>
    </w:p>
    <w:p w:rsidR="005C50FA" w:rsidRPr="005C50FA" w:rsidRDefault="009C7CF5" w:rsidP="004A794D">
      <w:pPr>
        <w:pStyle w:val="ListNumbered"/>
        <w:numPr>
          <w:ilvl w:val="0"/>
          <w:numId w:val="0"/>
        </w:numPr>
        <w:spacing w:line="276" w:lineRule="auto"/>
        <w:ind w:left="720" w:hanging="720"/>
        <w:rPr>
          <w:rFonts w:cs="Arial"/>
          <w:b/>
          <w:lang w:eastAsia="en-GB"/>
        </w:rPr>
      </w:pPr>
      <w:r>
        <w:rPr>
          <w:rFonts w:cs="Arial"/>
          <w:b/>
          <w:lang w:eastAsia="en-GB"/>
        </w:rPr>
        <w:t>5</w:t>
      </w:r>
      <w:r w:rsidR="005C50FA" w:rsidRPr="005C50FA">
        <w:rPr>
          <w:rFonts w:cs="Arial"/>
          <w:b/>
          <w:lang w:eastAsia="en-GB"/>
        </w:rPr>
        <w:t>.</w:t>
      </w:r>
      <w:r w:rsidR="005C50FA" w:rsidRPr="005C50FA">
        <w:rPr>
          <w:rFonts w:cs="Arial"/>
          <w:b/>
          <w:lang w:eastAsia="en-GB"/>
        </w:rPr>
        <w:tab/>
      </w:r>
      <w:r w:rsidR="00AC4B77" w:rsidRPr="005C50FA">
        <w:rPr>
          <w:b/>
        </w:rPr>
        <w:t>Cumulative Impacts of the Reforms on Health and Wellbeing</w:t>
      </w:r>
      <w:r w:rsidR="005C50FA" w:rsidRPr="005C50FA">
        <w:rPr>
          <w:b/>
        </w:rPr>
        <w:t>: Implications for  West Kent</w:t>
      </w:r>
    </w:p>
    <w:p w:rsidR="00A61A4E" w:rsidRPr="004B098F" w:rsidRDefault="009C7CF5" w:rsidP="00B1065F">
      <w:pPr>
        <w:pStyle w:val="ReportLevel3"/>
        <w:numPr>
          <w:ilvl w:val="0"/>
          <w:numId w:val="0"/>
        </w:numPr>
        <w:tabs>
          <w:tab w:val="left" w:pos="0"/>
        </w:tabs>
        <w:spacing w:line="276" w:lineRule="auto"/>
        <w:ind w:left="720" w:hanging="720"/>
        <w:jc w:val="both"/>
        <w:rPr>
          <w:lang w:eastAsia="en-GB"/>
        </w:rPr>
      </w:pPr>
      <w:r>
        <w:t>5</w:t>
      </w:r>
      <w:r w:rsidR="005C50FA">
        <w:t>.1</w:t>
      </w:r>
      <w:r w:rsidR="005C50FA">
        <w:tab/>
      </w:r>
      <w:r w:rsidR="00A61A4E" w:rsidRPr="005C50FA">
        <w:t xml:space="preserve">The Housing and Planning Bill clearly focuses on boosting homeownership at the expense of providing affordable homes for those who cannot afford to access homeownership.  The measures in the Bill such as Right to Buy and Starter Homes </w:t>
      </w:r>
      <w:r w:rsidR="004A794D">
        <w:t xml:space="preserve">is likely to take </w:t>
      </w:r>
      <w:r w:rsidR="00A61A4E" w:rsidRPr="005C50FA">
        <w:t xml:space="preserve">away funding from social housing and </w:t>
      </w:r>
      <w:r w:rsidR="004A794D">
        <w:t xml:space="preserve">possibly </w:t>
      </w:r>
      <w:r w:rsidR="00A61A4E" w:rsidRPr="005C50FA">
        <w:t xml:space="preserve">result in fewer affordable homes for people on average incomes.  As a consequence, people on low to middle incomes </w:t>
      </w:r>
      <w:r w:rsidR="004A794D">
        <w:t>are likely to</w:t>
      </w:r>
      <w:r w:rsidR="00A61A4E" w:rsidRPr="005C50FA">
        <w:t xml:space="preserve"> find it more challenging to find a decent, secure and affordable home to live. The diminishing supply of affordable/social rented housing</w:t>
      </w:r>
      <w:r w:rsidR="004A794D">
        <w:t xml:space="preserve"> is likely to </w:t>
      </w:r>
      <w:r w:rsidR="00A61A4E" w:rsidRPr="005C50FA">
        <w:t xml:space="preserve"> lead to unmet housing need </w:t>
      </w:r>
      <w:r w:rsidR="00014405" w:rsidRPr="005C50FA">
        <w:t xml:space="preserve">and </w:t>
      </w:r>
      <w:r w:rsidR="004A794D">
        <w:t xml:space="preserve">potentially </w:t>
      </w:r>
      <w:r w:rsidR="00A61A4E" w:rsidRPr="005C50FA">
        <w:t xml:space="preserve">exacerbate social problems such as financial hardship, overcrowding and homelessness.  These will have </w:t>
      </w:r>
      <w:r w:rsidR="004B098F">
        <w:t xml:space="preserve">the potential of a </w:t>
      </w:r>
      <w:r w:rsidR="00A61A4E" w:rsidRPr="005C50FA">
        <w:t>knock on effect on the</w:t>
      </w:r>
      <w:r w:rsidR="00014405" w:rsidRPr="005C50FA">
        <w:t xml:space="preserve"> mental</w:t>
      </w:r>
      <w:r w:rsidR="00A61A4E" w:rsidRPr="005C50FA">
        <w:t xml:space="preserve"> health and wellbeing of West Kent </w:t>
      </w:r>
      <w:r w:rsidR="00A61A4E" w:rsidRPr="004B098F">
        <w:t>residents</w:t>
      </w:r>
      <w:r w:rsidR="004B098F" w:rsidRPr="004B098F">
        <w:t>.</w:t>
      </w:r>
    </w:p>
    <w:p w:rsidR="00F36D0F" w:rsidRPr="004B098F" w:rsidRDefault="009C7CF5" w:rsidP="00B1065F">
      <w:pPr>
        <w:pStyle w:val="ReportLevel3"/>
        <w:numPr>
          <w:ilvl w:val="0"/>
          <w:numId w:val="0"/>
        </w:numPr>
        <w:spacing w:line="276" w:lineRule="auto"/>
        <w:ind w:left="720" w:hanging="720"/>
        <w:jc w:val="both"/>
        <w:rPr>
          <w:lang w:eastAsia="en-GB"/>
        </w:rPr>
      </w:pPr>
      <w:r>
        <w:t>5</w:t>
      </w:r>
      <w:r w:rsidR="004B098F" w:rsidRPr="004B098F">
        <w:t>.2</w:t>
      </w:r>
      <w:r w:rsidR="004B098F" w:rsidRPr="004B098F">
        <w:tab/>
      </w:r>
      <w:r w:rsidR="00206611" w:rsidRPr="004B098F">
        <w:t>The redefinition of affordable housing to include starter homes for purchase will broaden options for Housing Providers but make it harder for them to make viable offers to developers for schemes involving homes for rent.  Whilst the reduction i</w:t>
      </w:r>
      <w:r w:rsidR="00163A9A" w:rsidRPr="004B098F">
        <w:t>n</w:t>
      </w:r>
      <w:r w:rsidR="00206611" w:rsidRPr="004B098F">
        <w:t xml:space="preserve"> social rents by 1 per cent per year to 2020 will be a considerable help for working tenants, it will make it much more challenging for both Local Authorities and Housing Associations to continue to drive housing growth to meet identified local needs. </w:t>
      </w:r>
    </w:p>
    <w:p w:rsidR="006D0553" w:rsidRPr="00093518" w:rsidRDefault="009C7CF5" w:rsidP="00B1065F">
      <w:pPr>
        <w:pStyle w:val="ReportLevel3"/>
        <w:numPr>
          <w:ilvl w:val="0"/>
          <w:numId w:val="0"/>
        </w:numPr>
        <w:spacing w:line="276" w:lineRule="auto"/>
        <w:ind w:left="720" w:hanging="720"/>
        <w:jc w:val="both"/>
        <w:rPr>
          <w:color w:val="365F91" w:themeColor="accent1" w:themeShade="BF"/>
        </w:rPr>
      </w:pPr>
      <w:r>
        <w:rPr>
          <w:lang w:eastAsia="en-GB"/>
        </w:rPr>
        <w:t>5</w:t>
      </w:r>
      <w:r w:rsidR="004B098F" w:rsidRPr="00F05884">
        <w:rPr>
          <w:lang w:eastAsia="en-GB"/>
        </w:rPr>
        <w:t>.3</w:t>
      </w:r>
      <w:r w:rsidR="004B098F">
        <w:rPr>
          <w:color w:val="365F91" w:themeColor="accent1" w:themeShade="BF"/>
          <w:lang w:eastAsia="en-GB"/>
        </w:rPr>
        <w:tab/>
      </w:r>
      <w:r w:rsidR="00206611" w:rsidRPr="004B098F">
        <w:rPr>
          <w:lang w:eastAsia="en-GB"/>
        </w:rPr>
        <w:t>Since the Welfare reforms of 2011 were introduced</w:t>
      </w:r>
      <w:r w:rsidR="004B098F" w:rsidRPr="004B098F">
        <w:rPr>
          <w:lang w:eastAsia="en-GB"/>
        </w:rPr>
        <w:t>,</w:t>
      </w:r>
      <w:r w:rsidR="00206611" w:rsidRPr="004B098F">
        <w:rPr>
          <w:lang w:eastAsia="en-GB"/>
        </w:rPr>
        <w:t xml:space="preserve"> Local Authorities have seen an increase in the number of households approaching as homeless and subsequently requiring temporary accommodation.  It is expected that the current proposals </w:t>
      </w:r>
      <w:r w:rsidR="006D0553" w:rsidRPr="004B098F">
        <w:rPr>
          <w:lang w:eastAsia="en-GB"/>
        </w:rPr>
        <w:t xml:space="preserve">will follow the trend of increased </w:t>
      </w:r>
      <w:r w:rsidR="00206611" w:rsidRPr="004B098F">
        <w:rPr>
          <w:lang w:eastAsia="en-GB"/>
        </w:rPr>
        <w:t>homelessness and the use of temporary accommodation</w:t>
      </w:r>
      <w:r w:rsidR="006D0553" w:rsidRPr="004B098F">
        <w:rPr>
          <w:lang w:eastAsia="en-GB"/>
        </w:rPr>
        <w:t xml:space="preserve"> across most household groups. </w:t>
      </w:r>
    </w:p>
    <w:p w:rsidR="00CC0479" w:rsidRDefault="009C7CF5" w:rsidP="00B1065F">
      <w:pPr>
        <w:pStyle w:val="ReportLevel3"/>
        <w:numPr>
          <w:ilvl w:val="0"/>
          <w:numId w:val="0"/>
        </w:numPr>
        <w:spacing w:line="276" w:lineRule="auto"/>
        <w:ind w:left="720" w:hanging="720"/>
        <w:jc w:val="both"/>
        <w:rPr>
          <w:b/>
          <w:bCs/>
          <w:color w:val="4F81BD"/>
          <w:sz w:val="18"/>
          <w:szCs w:val="18"/>
          <w:u w:val="single"/>
        </w:rPr>
      </w:pPr>
      <w:r>
        <w:t>5</w:t>
      </w:r>
      <w:r w:rsidR="00F05884" w:rsidRPr="00F05884">
        <w:t>.4</w:t>
      </w:r>
      <w:r w:rsidR="00F05884" w:rsidRPr="00F05884">
        <w:tab/>
      </w:r>
      <w:r w:rsidR="00206611" w:rsidRPr="00F05884">
        <w:t>There has been a rise in households in temporary accommodation across West Kent in the last year as illustrated in the table</w:t>
      </w:r>
      <w:r w:rsidR="00CC0479">
        <w:t>s</w:t>
      </w:r>
      <w:r w:rsidR="00B1065F">
        <w:t xml:space="preserve"> below:</w:t>
      </w:r>
      <w:r w:rsidR="00206611" w:rsidRPr="00F05884">
        <w:t xml:space="preserve"> </w:t>
      </w:r>
    </w:p>
    <w:p w:rsidR="00CC0479" w:rsidRDefault="00CC0479" w:rsidP="00CC0479">
      <w:pPr>
        <w:spacing w:after="200"/>
        <w:rPr>
          <w:b/>
          <w:bCs/>
          <w:color w:val="4F81BD"/>
          <w:sz w:val="18"/>
          <w:szCs w:val="18"/>
        </w:rPr>
      </w:pPr>
      <w:r>
        <w:rPr>
          <w:b/>
          <w:bCs/>
          <w:color w:val="4F81BD"/>
          <w:sz w:val="18"/>
          <w:szCs w:val="18"/>
          <w:u w:val="single"/>
        </w:rPr>
        <w:t>Table 1.  Households in Temporary Accommodation at the end of the Quarter (DCLG P1E Returns)</w:t>
      </w:r>
    </w:p>
    <w:tbl>
      <w:tblPr>
        <w:tblW w:w="0" w:type="auto"/>
        <w:tblCellMar>
          <w:left w:w="0" w:type="dxa"/>
          <w:right w:w="0" w:type="dxa"/>
        </w:tblCellMar>
        <w:tblLook w:val="04A0" w:firstRow="1" w:lastRow="0" w:firstColumn="1" w:lastColumn="0" w:noHBand="0" w:noVBand="1"/>
      </w:tblPr>
      <w:tblGrid>
        <w:gridCol w:w="3080"/>
        <w:gridCol w:w="3081"/>
        <w:gridCol w:w="3081"/>
      </w:tblGrid>
      <w:tr w:rsidR="00CC0479" w:rsidTr="00CC0479">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Local Housing Authority</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2014 Q4</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2015 Q4</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Maidstone</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41</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86</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Sevenoaks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26</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54</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Tonbridge &amp; Malling</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20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19</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Tunbridge Wells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44</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41</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Total</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131</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200</w:t>
            </w:r>
          </w:p>
        </w:tc>
      </w:tr>
    </w:tbl>
    <w:p w:rsidR="00CC0479" w:rsidRDefault="00CC0479" w:rsidP="00CC0479">
      <w:pPr>
        <w:spacing w:after="200" w:line="276" w:lineRule="auto"/>
        <w:rPr>
          <w:rFonts w:ascii="Calibri" w:eastAsiaTheme="minorHAnsi" w:hAnsi="Calibri"/>
          <w:sz w:val="22"/>
          <w:szCs w:val="22"/>
        </w:rPr>
      </w:pPr>
    </w:p>
    <w:p w:rsidR="00CC0479" w:rsidRDefault="00CC0479" w:rsidP="00CC0479">
      <w:pPr>
        <w:spacing w:after="200" w:line="276" w:lineRule="auto"/>
        <w:rPr>
          <w:b/>
          <w:bCs/>
          <w:color w:val="0070C0"/>
          <w:sz w:val="18"/>
          <w:szCs w:val="18"/>
          <w:u w:val="single"/>
        </w:rPr>
      </w:pPr>
      <w:r>
        <w:rPr>
          <w:b/>
          <w:bCs/>
          <w:color w:val="0070C0"/>
          <w:sz w:val="18"/>
          <w:szCs w:val="18"/>
          <w:u w:val="single"/>
        </w:rPr>
        <w:t>Table 2. Homeless Total Decisions (DCLG P1E Returns)</w:t>
      </w:r>
    </w:p>
    <w:tbl>
      <w:tblPr>
        <w:tblW w:w="0" w:type="auto"/>
        <w:tblCellMar>
          <w:left w:w="0" w:type="dxa"/>
          <w:right w:w="0" w:type="dxa"/>
        </w:tblCellMar>
        <w:tblLook w:val="04A0" w:firstRow="1" w:lastRow="0" w:firstColumn="1" w:lastColumn="0" w:noHBand="0" w:noVBand="1"/>
      </w:tblPr>
      <w:tblGrid>
        <w:gridCol w:w="3080"/>
        <w:gridCol w:w="3081"/>
        <w:gridCol w:w="3081"/>
      </w:tblGrid>
      <w:tr w:rsidR="00CC0479" w:rsidTr="00CC0479">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color w:val="0070C0"/>
                <w:sz w:val="22"/>
                <w:szCs w:val="22"/>
              </w:rPr>
            </w:pPr>
            <w:r>
              <w:rPr>
                <w:b/>
                <w:bCs/>
              </w:rPr>
              <w:t xml:space="preserve">Local Housing Authority </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2014 4Q</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2015 Q4</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Maidstone</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139</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142</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Sevenoaks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14</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23</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Tonbridge &amp; Malling</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34</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45</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Tunbridge Wells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19</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sz w:val="22"/>
                <w:szCs w:val="22"/>
              </w:rPr>
            </w:pPr>
            <w:r>
              <w:t>14</w:t>
            </w:r>
          </w:p>
        </w:tc>
      </w:tr>
      <w:tr w:rsidR="00CC0479" w:rsidTr="00CC0479">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Total</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206</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C0479" w:rsidRDefault="00CC0479">
            <w:pPr>
              <w:rPr>
                <w:rFonts w:ascii="Calibri" w:eastAsiaTheme="minorHAnsi" w:hAnsi="Calibri"/>
                <w:b/>
                <w:bCs/>
                <w:sz w:val="22"/>
                <w:szCs w:val="22"/>
              </w:rPr>
            </w:pPr>
            <w:r>
              <w:rPr>
                <w:b/>
                <w:bCs/>
              </w:rPr>
              <w:t>224</w:t>
            </w:r>
          </w:p>
        </w:tc>
      </w:tr>
    </w:tbl>
    <w:p w:rsidR="00CC0479" w:rsidRDefault="00CC0479" w:rsidP="00CC0479">
      <w:pPr>
        <w:pStyle w:val="ReportLevel3"/>
        <w:numPr>
          <w:ilvl w:val="0"/>
          <w:numId w:val="0"/>
        </w:numPr>
        <w:spacing w:line="276" w:lineRule="auto"/>
        <w:ind w:left="720"/>
      </w:pPr>
    </w:p>
    <w:p w:rsidR="00CC0479" w:rsidRDefault="00CC0479" w:rsidP="00B1065F">
      <w:pPr>
        <w:pStyle w:val="ReportLevel3"/>
        <w:numPr>
          <w:ilvl w:val="0"/>
          <w:numId w:val="0"/>
        </w:numPr>
        <w:spacing w:line="276" w:lineRule="auto"/>
        <w:ind w:left="720"/>
        <w:jc w:val="both"/>
        <w:rPr>
          <w:color w:val="365F91" w:themeColor="accent1" w:themeShade="BF"/>
        </w:rPr>
      </w:pPr>
      <w:r w:rsidRPr="00F05884">
        <w:t xml:space="preserve">Not only have placements increased but so has the length of stay.  The length of stay is longer due to a lack of available, suitable and affordable accommodation to rehouse households </w:t>
      </w:r>
      <w:r>
        <w:t>in</w:t>
      </w:r>
      <w:r w:rsidRPr="00F05884">
        <w:t>to</w:t>
      </w:r>
      <w:r>
        <w:t>.</w:t>
      </w:r>
    </w:p>
    <w:p w:rsidR="008A1ABD" w:rsidRDefault="009C7CF5" w:rsidP="00B1065F">
      <w:pPr>
        <w:pStyle w:val="ReportLevel3"/>
        <w:numPr>
          <w:ilvl w:val="0"/>
          <w:numId w:val="0"/>
        </w:numPr>
        <w:spacing w:line="276" w:lineRule="auto"/>
        <w:ind w:left="720" w:hanging="720"/>
        <w:jc w:val="both"/>
      </w:pPr>
      <w:r>
        <w:t>5</w:t>
      </w:r>
      <w:r w:rsidR="00F05884" w:rsidRPr="00F05884">
        <w:t>.5</w:t>
      </w:r>
      <w:r w:rsidR="00F05884" w:rsidRPr="00F05884">
        <w:tab/>
      </w:r>
      <w:r w:rsidR="00F36D0F" w:rsidRPr="00F05884">
        <w:t>T</w:t>
      </w:r>
      <w:r w:rsidR="008A1ABD" w:rsidRPr="00F05884">
        <w:t>he benefit cap will in some cases mean that temporary accommodation is unaffordable.  Temporary accommodation is often more expensive than other forms of housing and local authorities in West Kent will struggle to find temporary accommodation that is within the confines of the cap.  As a result, families who are accepted as homeless and then placed in temporary accommodation could be made homeless again due to their inability to cover their costs as a result of the benefit cap.</w:t>
      </w:r>
      <w:r w:rsidR="00B468FF" w:rsidRPr="00F05884">
        <w:t xml:space="preserve">  </w:t>
      </w:r>
    </w:p>
    <w:p w:rsidR="004756E5" w:rsidRPr="00F05884" w:rsidRDefault="009C7CF5" w:rsidP="00B1065F">
      <w:pPr>
        <w:pStyle w:val="ReportLevel3"/>
        <w:numPr>
          <w:ilvl w:val="0"/>
          <w:numId w:val="0"/>
        </w:numPr>
        <w:spacing w:line="276" w:lineRule="auto"/>
        <w:ind w:left="720" w:hanging="720"/>
        <w:jc w:val="both"/>
        <w:rPr>
          <w:i/>
        </w:rPr>
      </w:pPr>
      <w:r>
        <w:t>5</w:t>
      </w:r>
      <w:r w:rsidR="00F05884" w:rsidRPr="00F05884">
        <w:t>.6</w:t>
      </w:r>
      <w:r w:rsidR="00F05884" w:rsidRPr="00F05884">
        <w:tab/>
      </w:r>
      <w:r w:rsidR="00A61A4E" w:rsidRPr="00F05884">
        <w:t>The health impact of temporary accommodation can be felt in a number of ways</w:t>
      </w:r>
      <w:r w:rsidR="00F05884">
        <w:t>, for example; w</w:t>
      </w:r>
      <w:r w:rsidR="00A61A4E" w:rsidRPr="00F05884">
        <w:t xml:space="preserve">here the accommodation does not have cooking facilities, such as hotel accommodation, the applicant is reliant on take away or ready-made meals. This may not be the most nutritious food, leading to poor health care and is also likely to prove to be more expensive. For persons on a low or fixed income this may cause further anxiety. </w:t>
      </w:r>
    </w:p>
    <w:p w:rsidR="008A1ABD" w:rsidRPr="00F05884" w:rsidRDefault="009C7CF5" w:rsidP="00B1065F">
      <w:pPr>
        <w:pStyle w:val="ReportLevel3"/>
        <w:numPr>
          <w:ilvl w:val="0"/>
          <w:numId w:val="0"/>
        </w:numPr>
        <w:spacing w:line="276" w:lineRule="auto"/>
        <w:ind w:left="720" w:hanging="720"/>
        <w:jc w:val="both"/>
        <w:rPr>
          <w:i/>
        </w:rPr>
      </w:pPr>
      <w:r>
        <w:t>5</w:t>
      </w:r>
      <w:r w:rsidR="00F05884" w:rsidRPr="00F05884">
        <w:t>.7</w:t>
      </w:r>
      <w:r w:rsidR="00F05884" w:rsidRPr="00F05884">
        <w:tab/>
      </w:r>
      <w:r w:rsidR="008A1ABD" w:rsidRPr="00F05884">
        <w:t>Children living in poor housing are more likely to have slow physical growth, delayed cognitive development, experience poor mental health,</w:t>
      </w:r>
      <w:r w:rsidR="00F05884">
        <w:t xml:space="preserve"> be at risk of communicable disease, including </w:t>
      </w:r>
      <w:r w:rsidR="008A1ABD" w:rsidRPr="00F05884">
        <w:t>meningitis, respiratory conditions</w:t>
      </w:r>
      <w:r w:rsidR="00F05884">
        <w:t xml:space="preserve"> like asthma and wheeze</w:t>
      </w:r>
      <w:r w:rsidR="008A1ABD" w:rsidRPr="00F05884">
        <w:t xml:space="preserve"> and experience long term ill health and disability. There are 11139 children aged 0-15 living in poverty in the West Kent area, representing 12.6% of the under 16 population of 88286</w:t>
      </w:r>
      <w:r w:rsidR="00311545" w:rsidRPr="00F05884">
        <w:t xml:space="preserve"> </w:t>
      </w:r>
      <w:r w:rsidR="00F56B1F">
        <w:rPr>
          <w:vertAlign w:val="superscript"/>
        </w:rPr>
        <w:t>7</w:t>
      </w:r>
      <w:r w:rsidR="008A1ABD" w:rsidRPr="00F05884">
        <w:rPr>
          <w:vertAlign w:val="superscript"/>
        </w:rPr>
        <w:t>.</w:t>
      </w:r>
    </w:p>
    <w:p w:rsidR="00AC1F67" w:rsidRPr="00F05884" w:rsidRDefault="009C7CF5" w:rsidP="00B1065F">
      <w:pPr>
        <w:pStyle w:val="ReportLevel3"/>
        <w:numPr>
          <w:ilvl w:val="0"/>
          <w:numId w:val="0"/>
        </w:numPr>
        <w:spacing w:line="276" w:lineRule="auto"/>
        <w:ind w:left="720" w:hanging="720"/>
        <w:jc w:val="both"/>
        <w:rPr>
          <w:rFonts w:cs="Arial"/>
        </w:rPr>
      </w:pPr>
      <w:r>
        <w:rPr>
          <w:lang w:eastAsia="en-GB"/>
        </w:rPr>
        <w:t>5</w:t>
      </w:r>
      <w:r w:rsidR="00F05884" w:rsidRPr="00F05884">
        <w:rPr>
          <w:lang w:eastAsia="en-GB"/>
        </w:rPr>
        <w:t>.8</w:t>
      </w:r>
      <w:r w:rsidR="00F05884" w:rsidRPr="00F05884">
        <w:rPr>
          <w:lang w:eastAsia="en-GB"/>
        </w:rPr>
        <w:tab/>
      </w:r>
      <w:r w:rsidR="008A1ABD" w:rsidRPr="00F05884">
        <w:rPr>
          <w:lang w:eastAsia="en-GB"/>
        </w:rPr>
        <w:t xml:space="preserve">Adequate housing will be difficult to afford for many working and non-working households, as the reforms are implemented.  There is an increased likelihood that households will </w:t>
      </w:r>
      <w:r w:rsidR="004756E5" w:rsidRPr="00F05884">
        <w:rPr>
          <w:lang w:eastAsia="en-GB"/>
        </w:rPr>
        <w:t xml:space="preserve">have no alternative but to </w:t>
      </w:r>
      <w:r w:rsidR="008A1ABD" w:rsidRPr="00F05884">
        <w:rPr>
          <w:lang w:eastAsia="en-GB"/>
        </w:rPr>
        <w:t xml:space="preserve">live in conditions that </w:t>
      </w:r>
      <w:r w:rsidR="004756E5" w:rsidRPr="00F05884">
        <w:rPr>
          <w:lang w:eastAsia="en-GB"/>
        </w:rPr>
        <w:t>may not be suitable in terms of size and condition.  Families may be forced to turn to accommodation that is too small to meet their needs b</w:t>
      </w:r>
      <w:r w:rsidR="00014405" w:rsidRPr="00F05884">
        <w:rPr>
          <w:lang w:eastAsia="en-GB"/>
        </w:rPr>
        <w:t xml:space="preserve">ecause </w:t>
      </w:r>
      <w:r w:rsidR="004756E5" w:rsidRPr="00F05884">
        <w:rPr>
          <w:lang w:eastAsia="en-GB"/>
        </w:rPr>
        <w:t xml:space="preserve">that </w:t>
      </w:r>
      <w:r w:rsidR="00014405" w:rsidRPr="00F05884">
        <w:rPr>
          <w:lang w:eastAsia="en-GB"/>
        </w:rPr>
        <w:t xml:space="preserve">is all they </w:t>
      </w:r>
      <w:r w:rsidR="004756E5" w:rsidRPr="00F05884">
        <w:rPr>
          <w:lang w:eastAsia="en-GB"/>
        </w:rPr>
        <w:t xml:space="preserve">can afford.  This </w:t>
      </w:r>
      <w:r w:rsidR="008A1ABD" w:rsidRPr="00F05884">
        <w:rPr>
          <w:lang w:eastAsia="en-GB"/>
        </w:rPr>
        <w:t>may constitute a risk to health, such as cutting back on heating to maintain</w:t>
      </w:r>
      <w:r w:rsidR="00AC1F67" w:rsidRPr="00F05884">
        <w:rPr>
          <w:lang w:eastAsia="en-GB"/>
        </w:rPr>
        <w:t xml:space="preserve"> manageable fuel bills, </w:t>
      </w:r>
      <w:r w:rsidR="008A1ABD" w:rsidRPr="00F05884">
        <w:rPr>
          <w:lang w:eastAsia="en-GB"/>
        </w:rPr>
        <w:t>increasing the risk of self-rationing and disconnection. </w:t>
      </w:r>
    </w:p>
    <w:p w:rsidR="00AC1F67" w:rsidRPr="00093518" w:rsidRDefault="009C7CF5" w:rsidP="00B1065F">
      <w:pPr>
        <w:pStyle w:val="ReportLevel3"/>
        <w:numPr>
          <w:ilvl w:val="0"/>
          <w:numId w:val="0"/>
        </w:numPr>
        <w:spacing w:line="276" w:lineRule="auto"/>
        <w:ind w:left="720" w:hanging="720"/>
        <w:jc w:val="both"/>
        <w:rPr>
          <w:rFonts w:cs="Arial"/>
          <w:color w:val="365F91" w:themeColor="accent1" w:themeShade="BF"/>
        </w:rPr>
      </w:pPr>
      <w:r>
        <w:rPr>
          <w:rFonts w:cs="Arial"/>
        </w:rPr>
        <w:t>5</w:t>
      </w:r>
      <w:r w:rsidR="00F05884" w:rsidRPr="00F05884">
        <w:rPr>
          <w:rFonts w:cs="Arial"/>
        </w:rPr>
        <w:t>.9</w:t>
      </w:r>
      <w:r w:rsidR="00F05884" w:rsidRPr="00F05884">
        <w:rPr>
          <w:rFonts w:cs="Arial"/>
        </w:rPr>
        <w:tab/>
      </w:r>
      <w:r w:rsidR="00AC1F67" w:rsidRPr="00F05884">
        <w:rPr>
          <w:rFonts w:cs="Arial"/>
        </w:rPr>
        <w:t>Living in a cold, damp home can lead to higher risk of poor mental health in all age groups and overcrowding can negatively impact children’s education, family relationships and physical, mental and emotional wellbeing</w:t>
      </w:r>
      <w:r w:rsidR="00AC1F67" w:rsidRPr="00093518">
        <w:rPr>
          <w:rFonts w:cs="Arial"/>
          <w:color w:val="365F91" w:themeColor="accent1" w:themeShade="BF"/>
        </w:rPr>
        <w:t xml:space="preserve">. </w:t>
      </w:r>
    </w:p>
    <w:p w:rsidR="00375AB5" w:rsidRPr="00F05884" w:rsidRDefault="009C7CF5" w:rsidP="00B1065F">
      <w:pPr>
        <w:pStyle w:val="ReportLevel3"/>
        <w:numPr>
          <w:ilvl w:val="0"/>
          <w:numId w:val="0"/>
        </w:numPr>
        <w:spacing w:line="276" w:lineRule="auto"/>
        <w:ind w:left="720" w:hanging="720"/>
        <w:jc w:val="both"/>
        <w:rPr>
          <w:rFonts w:cs="Arial"/>
        </w:rPr>
      </w:pPr>
      <w:r>
        <w:rPr>
          <w:rFonts w:cs="Arial"/>
        </w:rPr>
        <w:t>5</w:t>
      </w:r>
      <w:r w:rsidR="00F05884" w:rsidRPr="00F05884">
        <w:rPr>
          <w:rFonts w:cs="Arial"/>
        </w:rPr>
        <w:t>.10</w:t>
      </w:r>
      <w:r w:rsidR="00F05884" w:rsidRPr="00F05884">
        <w:rPr>
          <w:rFonts w:cs="Arial"/>
        </w:rPr>
        <w:tab/>
      </w:r>
      <w:r w:rsidR="00375AB5" w:rsidRPr="00F05884">
        <w:rPr>
          <w:rFonts w:cs="Arial"/>
        </w:rPr>
        <w:t>The experience of Local Authority Housing Options teams is that welfare reforms and lack of suitable and affordable housing appear to be exacerbating issues for some residents around poor mental health, anxiety and stress.</w:t>
      </w:r>
    </w:p>
    <w:p w:rsidR="00F73097" w:rsidRPr="00BD163A" w:rsidRDefault="009C7CF5" w:rsidP="00CC0479">
      <w:pPr>
        <w:pStyle w:val="ReportLevel3"/>
        <w:numPr>
          <w:ilvl w:val="0"/>
          <w:numId w:val="0"/>
        </w:numPr>
        <w:spacing w:line="276" w:lineRule="auto"/>
        <w:ind w:left="720" w:hanging="720"/>
        <w:rPr>
          <w:rFonts w:cs="Arial"/>
        </w:rPr>
      </w:pPr>
      <w:r>
        <w:rPr>
          <w:lang w:eastAsia="en-GB"/>
        </w:rPr>
        <w:t>5</w:t>
      </w:r>
      <w:r w:rsidR="00F05884" w:rsidRPr="00BD163A">
        <w:rPr>
          <w:lang w:eastAsia="en-GB"/>
        </w:rPr>
        <w:t>.11</w:t>
      </w:r>
      <w:r w:rsidR="00F05884" w:rsidRPr="00BD163A">
        <w:rPr>
          <w:lang w:eastAsia="en-GB"/>
        </w:rPr>
        <w:tab/>
      </w:r>
      <w:bookmarkStart w:id="1" w:name="21-25"/>
      <w:bookmarkEnd w:id="1"/>
      <w:r w:rsidR="008A1ABD" w:rsidRPr="00BD163A">
        <w:rPr>
          <w:rFonts w:cs="Arial"/>
          <w:lang w:eastAsia="en-GB"/>
        </w:rPr>
        <w:t>As a result of the reforms, health services are likely to come under increased pressure through:</w:t>
      </w:r>
    </w:p>
    <w:p w:rsidR="008A1ABD" w:rsidRPr="000A79CF" w:rsidRDefault="008A1ABD" w:rsidP="0073640D">
      <w:pPr>
        <w:pStyle w:val="ListBullet"/>
        <w:numPr>
          <w:ilvl w:val="0"/>
          <w:numId w:val="3"/>
        </w:numPr>
      </w:pPr>
      <w:r w:rsidRPr="000A79CF">
        <w:t>Increased demand for GP consultations focusing on patient’s social and economic concerns</w:t>
      </w:r>
    </w:p>
    <w:p w:rsidR="008A1ABD" w:rsidRPr="000A79CF" w:rsidRDefault="008A1ABD" w:rsidP="0073640D">
      <w:pPr>
        <w:pStyle w:val="ListBullet"/>
        <w:numPr>
          <w:ilvl w:val="0"/>
          <w:numId w:val="3"/>
        </w:numPr>
        <w:rPr>
          <w:rFonts w:ascii="Calibri" w:hAnsi="Calibri"/>
        </w:rPr>
      </w:pPr>
      <w:r w:rsidRPr="000A79CF">
        <w:t>Poorer nutrition and diet with associated health problems through being unable to afford food (particularly healthy foods), heating, cl</w:t>
      </w:r>
      <w:r w:rsidR="00B75D78" w:rsidRPr="000A79CF">
        <w:t>othing or other essential goods</w:t>
      </w:r>
    </w:p>
    <w:p w:rsidR="008A1ABD" w:rsidRPr="000A79CF" w:rsidRDefault="008A1ABD" w:rsidP="0073640D">
      <w:pPr>
        <w:pStyle w:val="ListBullet"/>
        <w:numPr>
          <w:ilvl w:val="0"/>
          <w:numId w:val="3"/>
        </w:numPr>
      </w:pPr>
      <w:r w:rsidRPr="000A79CF">
        <w:t>Increase in stress and anxiety due to reduced income can lead to strain on families and relationships and have poor mental health outcomes</w:t>
      </w:r>
      <w:r w:rsidR="00B75D78" w:rsidRPr="000A79CF">
        <w:t xml:space="preserve">, increasing </w:t>
      </w:r>
      <w:r w:rsidR="00014405" w:rsidRPr="000A79CF">
        <w:t xml:space="preserve">the </w:t>
      </w:r>
      <w:r w:rsidR="00B75D78" w:rsidRPr="000A79CF">
        <w:t>demand for mental health services</w:t>
      </w:r>
    </w:p>
    <w:p w:rsidR="00F05884" w:rsidRPr="000A79CF" w:rsidRDefault="00F05884" w:rsidP="0073640D">
      <w:pPr>
        <w:pStyle w:val="ListBullet"/>
        <w:numPr>
          <w:ilvl w:val="0"/>
          <w:numId w:val="3"/>
        </w:numPr>
      </w:pPr>
      <w:r w:rsidRPr="000A79CF">
        <w:t xml:space="preserve">Increase in </w:t>
      </w:r>
      <w:r w:rsidR="00CC0479" w:rsidRPr="000A79CF">
        <w:t xml:space="preserve">housing related </w:t>
      </w:r>
      <w:r w:rsidRPr="000A79CF">
        <w:t>respiratory presentations and admissions</w:t>
      </w:r>
    </w:p>
    <w:p w:rsidR="00F05884" w:rsidRPr="000A79CF" w:rsidRDefault="00F05884" w:rsidP="0073640D">
      <w:pPr>
        <w:pStyle w:val="ListBullet"/>
        <w:numPr>
          <w:ilvl w:val="0"/>
          <w:numId w:val="3"/>
        </w:numPr>
      </w:pPr>
      <w:r w:rsidRPr="000A79CF">
        <w:t>Increase in presentations as a result of deliberate and unintentional injuries</w:t>
      </w:r>
    </w:p>
    <w:p w:rsidR="00481B82" w:rsidRPr="000A79CF" w:rsidRDefault="008A1ABD" w:rsidP="00481B82">
      <w:pPr>
        <w:pStyle w:val="ListBullet"/>
        <w:numPr>
          <w:ilvl w:val="0"/>
          <w:numId w:val="3"/>
        </w:numPr>
      </w:pPr>
      <w:r w:rsidRPr="000A79CF">
        <w:t xml:space="preserve">More antidepressant and anti-psychotic </w:t>
      </w:r>
      <w:r w:rsidR="00F05884" w:rsidRPr="000A79CF">
        <w:t>drug use</w:t>
      </w:r>
    </w:p>
    <w:p w:rsidR="00CF0B60" w:rsidRPr="00481B82" w:rsidRDefault="00481B82" w:rsidP="00481B82">
      <w:pPr>
        <w:pStyle w:val="ReportLevel2"/>
        <w:numPr>
          <w:ilvl w:val="0"/>
          <w:numId w:val="0"/>
        </w:numPr>
        <w:tabs>
          <w:tab w:val="clear" w:pos="2880"/>
          <w:tab w:val="left" w:pos="709"/>
        </w:tabs>
        <w:spacing w:line="276" w:lineRule="auto"/>
        <w:ind w:left="720" w:hanging="720"/>
        <w:rPr>
          <w:b w:val="0"/>
          <w:lang w:eastAsia="en-GB"/>
        </w:rPr>
      </w:pPr>
      <w:r w:rsidRPr="00481B82">
        <w:rPr>
          <w:b w:val="0"/>
          <w:lang w:eastAsia="en-GB"/>
        </w:rPr>
        <w:t>5.12</w:t>
      </w:r>
      <w:r w:rsidRPr="00481B82">
        <w:rPr>
          <w:b w:val="0"/>
          <w:lang w:eastAsia="en-GB"/>
        </w:rPr>
        <w:tab/>
      </w:r>
      <w:r>
        <w:rPr>
          <w:b w:val="0"/>
        </w:rPr>
        <w:t>C</w:t>
      </w:r>
      <w:r w:rsidRPr="00481B82">
        <w:rPr>
          <w:b w:val="0"/>
        </w:rPr>
        <w:t xml:space="preserve">hanges to the work related measures </w:t>
      </w:r>
      <w:r>
        <w:rPr>
          <w:b w:val="0"/>
        </w:rPr>
        <w:t>may incentivise some households but u</w:t>
      </w:r>
      <w:r w:rsidRPr="00481B82">
        <w:rPr>
          <w:b w:val="0"/>
        </w:rPr>
        <w:t xml:space="preserve">nintended consequences </w:t>
      </w:r>
      <w:r>
        <w:rPr>
          <w:b w:val="0"/>
        </w:rPr>
        <w:t xml:space="preserve">of the changes </w:t>
      </w:r>
      <w:r w:rsidRPr="00481B82">
        <w:rPr>
          <w:b w:val="0"/>
        </w:rPr>
        <w:t>are potentially a disincentive to work.</w:t>
      </w:r>
    </w:p>
    <w:p w:rsidR="00725952" w:rsidRPr="00BD163A" w:rsidRDefault="009C7CF5" w:rsidP="001209CA">
      <w:pPr>
        <w:pStyle w:val="ReportLevel2"/>
        <w:numPr>
          <w:ilvl w:val="0"/>
          <w:numId w:val="0"/>
        </w:numPr>
        <w:tabs>
          <w:tab w:val="clear" w:pos="2880"/>
          <w:tab w:val="left" w:pos="709"/>
        </w:tabs>
        <w:spacing w:line="480" w:lineRule="auto"/>
        <w:rPr>
          <w:lang w:eastAsia="en-GB"/>
        </w:rPr>
      </w:pPr>
      <w:r>
        <w:rPr>
          <w:lang w:eastAsia="en-GB"/>
        </w:rPr>
        <w:t>6.</w:t>
      </w:r>
      <w:r>
        <w:rPr>
          <w:lang w:eastAsia="en-GB"/>
        </w:rPr>
        <w:tab/>
      </w:r>
      <w:r w:rsidR="008648DC" w:rsidRPr="00BD163A">
        <w:rPr>
          <w:lang w:eastAsia="en-GB"/>
        </w:rPr>
        <w:t>Blockages to providing effective support to West Kent Communities</w:t>
      </w:r>
    </w:p>
    <w:p w:rsidR="008A1ABD" w:rsidRPr="00BD163A" w:rsidRDefault="009C7CF5" w:rsidP="00B1065F">
      <w:pPr>
        <w:pStyle w:val="ReportLevel3"/>
        <w:numPr>
          <w:ilvl w:val="0"/>
          <w:numId w:val="0"/>
        </w:numPr>
        <w:spacing w:line="276" w:lineRule="auto"/>
        <w:ind w:left="720" w:hanging="720"/>
        <w:jc w:val="both"/>
        <w:rPr>
          <w:lang w:eastAsia="en-GB"/>
        </w:rPr>
      </w:pPr>
      <w:r>
        <w:rPr>
          <w:lang w:eastAsia="en-GB"/>
        </w:rPr>
        <w:t>6</w:t>
      </w:r>
      <w:r w:rsidR="00BD163A" w:rsidRPr="00BD163A">
        <w:rPr>
          <w:lang w:eastAsia="en-GB"/>
        </w:rPr>
        <w:t>.1</w:t>
      </w:r>
      <w:r w:rsidR="00BD163A" w:rsidRPr="00BD163A">
        <w:rPr>
          <w:lang w:eastAsia="en-GB"/>
        </w:rPr>
        <w:tab/>
      </w:r>
      <w:r w:rsidR="00C71B0A" w:rsidRPr="00BD163A">
        <w:rPr>
          <w:lang w:eastAsia="en-GB"/>
        </w:rPr>
        <w:t xml:space="preserve">Citizens Advice Survey with RCGP, 2014, </w:t>
      </w:r>
      <w:r w:rsidR="00D93BC4" w:rsidRPr="00BD163A">
        <w:rPr>
          <w:lang w:eastAsia="en-GB"/>
        </w:rPr>
        <w:t>found that GPs spend 19</w:t>
      </w:r>
      <w:r w:rsidR="008524EC">
        <w:rPr>
          <w:lang w:eastAsia="en-GB"/>
        </w:rPr>
        <w:t xml:space="preserve"> per cent </w:t>
      </w:r>
      <w:r w:rsidR="00D93BC4" w:rsidRPr="00BD163A">
        <w:rPr>
          <w:lang w:eastAsia="en-GB"/>
        </w:rPr>
        <w:t xml:space="preserve"> </w:t>
      </w:r>
      <w:r w:rsidR="008A1ABD" w:rsidRPr="00BD163A">
        <w:rPr>
          <w:lang w:eastAsia="en-GB"/>
        </w:rPr>
        <w:t>of their time on non-medical matters</w:t>
      </w:r>
      <w:r w:rsidR="008A1ABD" w:rsidRPr="00BD163A">
        <w:rPr>
          <w:i/>
          <w:lang w:eastAsia="en-GB"/>
        </w:rPr>
        <w:t>.</w:t>
      </w:r>
      <w:r w:rsidR="00E6365B">
        <w:rPr>
          <w:vertAlign w:val="superscript"/>
          <w:lang w:eastAsia="en-GB"/>
        </w:rPr>
        <w:t>8</w:t>
      </w:r>
      <w:r w:rsidR="008A1ABD" w:rsidRPr="00BD163A">
        <w:rPr>
          <w:lang w:eastAsia="en-GB"/>
        </w:rPr>
        <w:t xml:space="preserve"> Much of their time is spent dealing with housing, debt and benefits issues (writing letters, filling in forms etc.)</w:t>
      </w:r>
      <w:r w:rsidR="00E6365B">
        <w:rPr>
          <w:lang w:eastAsia="en-GB"/>
        </w:rPr>
        <w:t xml:space="preserve">. </w:t>
      </w:r>
      <w:r w:rsidR="00E6365B">
        <w:rPr>
          <w:vertAlign w:val="superscript"/>
          <w:lang w:eastAsia="en-GB"/>
        </w:rPr>
        <w:t>9</w:t>
      </w:r>
      <w:r w:rsidR="00BD163A">
        <w:rPr>
          <w:lang w:eastAsia="en-GB"/>
        </w:rPr>
        <w:t xml:space="preserve"> The survey found:</w:t>
      </w:r>
    </w:p>
    <w:p w:rsidR="00D93BC4" w:rsidRDefault="00D93BC4" w:rsidP="009C7CF5">
      <w:pPr>
        <w:pStyle w:val="ListBullet"/>
        <w:numPr>
          <w:ilvl w:val="0"/>
          <w:numId w:val="42"/>
        </w:numPr>
      </w:pPr>
      <w:r w:rsidRPr="00093518">
        <w:t>50</w:t>
      </w:r>
      <w:r w:rsidR="00B75D78" w:rsidRPr="00093518">
        <w:t xml:space="preserve"> per cent</w:t>
      </w:r>
      <w:r w:rsidRPr="00093518">
        <w:t xml:space="preserve"> of Citizens Advice clients, with debts, have mental health conditions</w:t>
      </w:r>
    </w:p>
    <w:p w:rsidR="000A79CF" w:rsidRPr="000A79CF" w:rsidRDefault="000A79CF" w:rsidP="009C7CF5">
      <w:pPr>
        <w:pStyle w:val="ListBullet"/>
        <w:numPr>
          <w:ilvl w:val="0"/>
          <w:numId w:val="42"/>
        </w:numPr>
      </w:pPr>
      <w:r w:rsidRPr="000A79CF">
        <w:t>40 per cent of ESA claimants had a mental health condition (source: DWP)</w:t>
      </w:r>
    </w:p>
    <w:p w:rsidR="00D93BC4" w:rsidRPr="00BD163A" w:rsidRDefault="009C7CF5" w:rsidP="00CF0B60">
      <w:pPr>
        <w:pStyle w:val="ReportLevel3"/>
        <w:numPr>
          <w:ilvl w:val="0"/>
          <w:numId w:val="0"/>
        </w:numPr>
        <w:spacing w:line="276" w:lineRule="auto"/>
        <w:ind w:left="720" w:hanging="720"/>
        <w:rPr>
          <w:lang w:eastAsia="en-GB"/>
        </w:rPr>
      </w:pPr>
      <w:r>
        <w:rPr>
          <w:lang w:eastAsia="en-GB"/>
        </w:rPr>
        <w:t>6</w:t>
      </w:r>
      <w:r w:rsidR="00BD163A" w:rsidRPr="00BD163A">
        <w:rPr>
          <w:lang w:eastAsia="en-GB"/>
        </w:rPr>
        <w:t>.2</w:t>
      </w:r>
      <w:r w:rsidR="00BD163A" w:rsidRPr="00BD163A">
        <w:rPr>
          <w:lang w:eastAsia="en-GB"/>
        </w:rPr>
        <w:tab/>
      </w:r>
      <w:r w:rsidR="00C71B0A" w:rsidRPr="00BD163A">
        <w:rPr>
          <w:lang w:eastAsia="en-GB"/>
        </w:rPr>
        <w:t xml:space="preserve">Citizens Advice Research has shown </w:t>
      </w:r>
      <w:r w:rsidR="00D93BC4" w:rsidRPr="00BD163A">
        <w:rPr>
          <w:lang w:eastAsia="en-GB"/>
        </w:rPr>
        <w:t xml:space="preserve">across England and Wales, advice in health care settings or social prescribing has delivered </w:t>
      </w:r>
      <w:r w:rsidR="00BD163A">
        <w:rPr>
          <w:lang w:eastAsia="en-GB"/>
        </w:rPr>
        <w:t xml:space="preserve">positive </w:t>
      </w:r>
      <w:r w:rsidR="00D93BC4" w:rsidRPr="00BD163A">
        <w:rPr>
          <w:lang w:eastAsia="en-GB"/>
        </w:rPr>
        <w:t>results:</w:t>
      </w:r>
    </w:p>
    <w:p w:rsidR="00F244AB" w:rsidRPr="00093518" w:rsidRDefault="00F244AB" w:rsidP="0073640D">
      <w:pPr>
        <w:pStyle w:val="ListBullet"/>
        <w:numPr>
          <w:ilvl w:val="0"/>
          <w:numId w:val="1"/>
        </w:numPr>
      </w:pPr>
      <w:r w:rsidRPr="00093518">
        <w:t>41</w:t>
      </w:r>
      <w:r w:rsidR="00B75D78" w:rsidRPr="00093518">
        <w:t xml:space="preserve"> per cent </w:t>
      </w:r>
      <w:r w:rsidRPr="00093518">
        <w:t>fewer prescriptions for patients using Citizens Advice Bureau (CAB) services</w:t>
      </w:r>
    </w:p>
    <w:p w:rsidR="00BD163A" w:rsidRDefault="00F244AB" w:rsidP="0073640D">
      <w:pPr>
        <w:pStyle w:val="ListBullet"/>
        <w:numPr>
          <w:ilvl w:val="0"/>
          <w:numId w:val="1"/>
        </w:numPr>
      </w:pPr>
      <w:r w:rsidRPr="00093518">
        <w:t xml:space="preserve">One CAB found that, in one surgery, the </w:t>
      </w:r>
      <w:r w:rsidR="00B75D78" w:rsidRPr="00093518">
        <w:t xml:space="preserve">percentage </w:t>
      </w:r>
      <w:r w:rsidRPr="00093518">
        <w:t>of patients using the GP dropped from 25</w:t>
      </w:r>
      <w:r w:rsidR="00B75D78" w:rsidRPr="00093518">
        <w:t xml:space="preserve"> per cent to 6 per cent </w:t>
      </w:r>
      <w:r w:rsidRPr="00093518">
        <w:t>as a result of having access to advice.</w:t>
      </w:r>
    </w:p>
    <w:p w:rsidR="00F244AB" w:rsidRPr="00BD163A" w:rsidRDefault="00F244AB" w:rsidP="002D63EB">
      <w:pPr>
        <w:pStyle w:val="ListBullet"/>
        <w:ind w:left="720"/>
        <w:jc w:val="both"/>
      </w:pPr>
      <w:r w:rsidRPr="00093518">
        <w:t>Good advice not only solves problems but it creates a culture in which patients/clients are more likely to embrace additional advice. In one study it was found that no CAB clients chose to be referred for health based services but once their advice needs had been met, 27</w:t>
      </w:r>
      <w:r w:rsidR="008524EC">
        <w:t xml:space="preserve"> per cent</w:t>
      </w:r>
      <w:r w:rsidRPr="00093518">
        <w:t xml:space="preserve"> asked to be referred to health-based services including stop smoking, alcohol and substance abuse and nutritionists.  16</w:t>
      </w:r>
      <w:r w:rsidR="008524EC">
        <w:t xml:space="preserve"> per cent</w:t>
      </w:r>
      <w:r w:rsidRPr="00093518">
        <w:t xml:space="preserve"> of clients referred to stop smoking services cut down or quit </w:t>
      </w:r>
      <w:r w:rsidRPr="00BD163A">
        <w:t xml:space="preserve">smoking.  </w:t>
      </w:r>
    </w:p>
    <w:p w:rsidR="00725952" w:rsidRPr="00BD163A" w:rsidRDefault="009C7CF5" w:rsidP="002D63EB">
      <w:pPr>
        <w:pStyle w:val="ReportLevel3"/>
        <w:numPr>
          <w:ilvl w:val="0"/>
          <w:numId w:val="0"/>
        </w:numPr>
        <w:spacing w:line="276" w:lineRule="auto"/>
        <w:ind w:left="720" w:hanging="720"/>
        <w:jc w:val="both"/>
        <w:rPr>
          <w:rFonts w:cs="Arial"/>
          <w:szCs w:val="26"/>
        </w:rPr>
      </w:pPr>
      <w:r>
        <w:t>6</w:t>
      </w:r>
      <w:r w:rsidR="00BD163A" w:rsidRPr="00BD163A">
        <w:t>.3</w:t>
      </w:r>
      <w:r w:rsidR="00BD163A" w:rsidRPr="00BD163A">
        <w:tab/>
      </w:r>
      <w:r w:rsidR="00F244AB" w:rsidRPr="00BD163A">
        <w:t>Across West Kent there appears to be no consistent procedure for non-medical triage/referral to other agencies</w:t>
      </w:r>
      <w:r w:rsidR="00D410A8" w:rsidRPr="00BD163A">
        <w:t xml:space="preserve">, for </w:t>
      </w:r>
      <w:r w:rsidR="00725952" w:rsidRPr="00BD163A">
        <w:t>example</w:t>
      </w:r>
      <w:r w:rsidR="00D410A8" w:rsidRPr="00BD163A">
        <w:t xml:space="preserve">, </w:t>
      </w:r>
      <w:r w:rsidR="00725952" w:rsidRPr="00BD163A">
        <w:t>Voluntary</w:t>
      </w:r>
      <w:r w:rsidR="00D410A8" w:rsidRPr="00BD163A">
        <w:t xml:space="preserve"> Agencies, </w:t>
      </w:r>
      <w:r w:rsidR="00F244AB" w:rsidRPr="00BD163A">
        <w:t>Local Authorit</w:t>
      </w:r>
      <w:r w:rsidR="00D410A8" w:rsidRPr="00BD163A">
        <w:t xml:space="preserve">ies or </w:t>
      </w:r>
      <w:r w:rsidR="00F244AB" w:rsidRPr="00BD163A">
        <w:t>DWP</w:t>
      </w:r>
      <w:r w:rsidR="00D410A8" w:rsidRPr="00BD163A">
        <w:t xml:space="preserve">.  </w:t>
      </w:r>
      <w:r w:rsidR="00F244AB" w:rsidRPr="00BD163A">
        <w:t xml:space="preserve">Some West Kent GPs use DORIS on-line referral system to refer to CAB and other </w:t>
      </w:r>
      <w:r w:rsidR="00D410A8" w:rsidRPr="00BD163A">
        <w:t>voluntary agencies</w:t>
      </w:r>
      <w:r w:rsidR="00C10312" w:rsidRPr="00BD163A">
        <w:t xml:space="preserve"> that offer wider support</w:t>
      </w:r>
      <w:r w:rsidR="00D410A8" w:rsidRPr="00BD163A">
        <w:t xml:space="preserve"> </w:t>
      </w:r>
      <w:r w:rsidR="00F244AB" w:rsidRPr="00BD163A">
        <w:t>but not all GPs use this.</w:t>
      </w:r>
      <w:r w:rsidR="00725952" w:rsidRPr="00BD163A">
        <w:t xml:space="preserve">  </w:t>
      </w:r>
      <w:r w:rsidR="00725952" w:rsidRPr="00BD163A">
        <w:rPr>
          <w:rFonts w:cs="Arial"/>
          <w:szCs w:val="26"/>
        </w:rPr>
        <w:t xml:space="preserve">There is currently no system to facilitate the quick and easy referrals by GPs to appropriate support services.  </w:t>
      </w:r>
    </w:p>
    <w:p w:rsidR="0069360C" w:rsidRPr="00BD163A" w:rsidRDefault="009C7CF5" w:rsidP="002D63EB">
      <w:pPr>
        <w:pStyle w:val="ReportLevel3"/>
        <w:numPr>
          <w:ilvl w:val="0"/>
          <w:numId w:val="0"/>
        </w:numPr>
        <w:spacing w:line="276" w:lineRule="auto"/>
        <w:ind w:left="720" w:hanging="720"/>
        <w:jc w:val="both"/>
        <w:rPr>
          <w:rFonts w:cs="Arial"/>
        </w:rPr>
      </w:pPr>
      <w:r>
        <w:rPr>
          <w:rFonts w:cs="Arial"/>
        </w:rPr>
        <w:t>6</w:t>
      </w:r>
      <w:r w:rsidR="00BD163A" w:rsidRPr="00BD163A">
        <w:rPr>
          <w:rFonts w:cs="Arial"/>
        </w:rPr>
        <w:t>.4</w:t>
      </w:r>
      <w:r w:rsidR="00BD163A" w:rsidRPr="00BD163A">
        <w:rPr>
          <w:rFonts w:cs="Arial"/>
        </w:rPr>
        <w:tab/>
      </w:r>
      <w:r w:rsidR="008648DC" w:rsidRPr="00BD163A">
        <w:rPr>
          <w:rFonts w:cs="Arial"/>
        </w:rPr>
        <w:t>GP surgeries are often the gateway to residents as they are seen as a trusted source. Accessing GP surgeries and being able to work in partnership with GP’s through social prescribing can assist.  Currently t</w:t>
      </w:r>
      <w:r w:rsidR="0069360C" w:rsidRPr="00BD163A">
        <w:rPr>
          <w:rFonts w:cs="Arial"/>
        </w:rPr>
        <w:t xml:space="preserve">here is a lack of </w:t>
      </w:r>
      <w:r w:rsidR="00725952" w:rsidRPr="00BD163A">
        <w:rPr>
          <w:rFonts w:cs="Arial"/>
        </w:rPr>
        <w:t xml:space="preserve">formal </w:t>
      </w:r>
      <w:r w:rsidR="0069360C" w:rsidRPr="00BD163A">
        <w:rPr>
          <w:rFonts w:cs="Arial"/>
        </w:rPr>
        <w:t>relationship</w:t>
      </w:r>
      <w:r w:rsidR="00725952" w:rsidRPr="00BD163A">
        <w:rPr>
          <w:rFonts w:cs="Arial"/>
        </w:rPr>
        <w:t>s</w:t>
      </w:r>
      <w:r w:rsidR="0069360C" w:rsidRPr="00BD163A">
        <w:rPr>
          <w:rFonts w:cs="Arial"/>
        </w:rPr>
        <w:t xml:space="preserve"> or links between local GPs and</w:t>
      </w:r>
      <w:r w:rsidR="00725952" w:rsidRPr="00BD163A">
        <w:rPr>
          <w:rFonts w:cs="Arial"/>
        </w:rPr>
        <w:t xml:space="preserve"> other agencies.  </w:t>
      </w:r>
      <w:r w:rsidR="0069360C" w:rsidRPr="00BD163A">
        <w:rPr>
          <w:rFonts w:cs="Arial"/>
        </w:rPr>
        <w:t xml:space="preserve">This is a missed opportunity since many of the same </w:t>
      </w:r>
      <w:r w:rsidR="007C3EFC">
        <w:rPr>
          <w:rFonts w:cs="Arial"/>
        </w:rPr>
        <w:t>individuals</w:t>
      </w:r>
      <w:r w:rsidR="008648DC" w:rsidRPr="00BD163A">
        <w:rPr>
          <w:rFonts w:cs="Arial"/>
        </w:rPr>
        <w:t xml:space="preserve"> are seen by various agencies</w:t>
      </w:r>
      <w:r w:rsidR="0069360C" w:rsidRPr="00BD163A">
        <w:rPr>
          <w:rFonts w:cs="Arial"/>
        </w:rPr>
        <w:t>. Local Jobcentres find it difficult to effectively engage with busy GPs who may not immediately see the benefits to them and their patients of working more closely with DWP and local support agencies.</w:t>
      </w:r>
    </w:p>
    <w:p w:rsidR="00FD4F83" w:rsidRPr="00093518" w:rsidRDefault="009C7CF5" w:rsidP="002D63EB">
      <w:pPr>
        <w:pStyle w:val="ReportLevel3"/>
        <w:numPr>
          <w:ilvl w:val="0"/>
          <w:numId w:val="0"/>
        </w:numPr>
        <w:spacing w:line="276" w:lineRule="auto"/>
        <w:ind w:left="720" w:hanging="720"/>
        <w:jc w:val="both"/>
        <w:rPr>
          <w:rFonts w:cs="Arial"/>
          <w:color w:val="365F91" w:themeColor="accent1" w:themeShade="BF"/>
        </w:rPr>
      </w:pPr>
      <w:r>
        <w:rPr>
          <w:rFonts w:cs="Arial"/>
        </w:rPr>
        <w:t>6</w:t>
      </w:r>
      <w:r w:rsidR="00BD163A" w:rsidRPr="00BD163A">
        <w:rPr>
          <w:rFonts w:cs="Arial"/>
        </w:rPr>
        <w:t>.5</w:t>
      </w:r>
      <w:r w:rsidR="00BD163A" w:rsidRPr="00BD163A">
        <w:rPr>
          <w:rFonts w:cs="Arial"/>
        </w:rPr>
        <w:tab/>
      </w:r>
      <w:r w:rsidR="00FD4F83" w:rsidRPr="00BD163A">
        <w:rPr>
          <w:rFonts w:cs="Arial"/>
        </w:rPr>
        <w:t>Constant changes to funding and services availa</w:t>
      </w:r>
      <w:r w:rsidR="00CC0479">
        <w:rPr>
          <w:rFonts w:cs="Arial"/>
        </w:rPr>
        <w:t xml:space="preserve">ble are confusing for residents and disrupts relationship building. Additionally, </w:t>
      </w:r>
      <w:r w:rsidR="002D63EB">
        <w:rPr>
          <w:rFonts w:cs="Arial"/>
        </w:rPr>
        <w:t xml:space="preserve">there are further implications for funding and sustainability with </w:t>
      </w:r>
      <w:r w:rsidR="00CC0479">
        <w:rPr>
          <w:rFonts w:cs="Arial"/>
        </w:rPr>
        <w:t>s</w:t>
      </w:r>
      <w:r w:rsidR="00C002F6" w:rsidRPr="00BD163A">
        <w:rPr>
          <w:rFonts w:cs="Arial"/>
        </w:rPr>
        <w:t xml:space="preserve">hort term commissioning </w:t>
      </w:r>
      <w:r w:rsidR="002D63EB">
        <w:rPr>
          <w:rFonts w:cs="Arial"/>
        </w:rPr>
        <w:t xml:space="preserve">also impacting on the development of realistic and </w:t>
      </w:r>
      <w:r w:rsidR="002D63EB" w:rsidRPr="00BD163A">
        <w:rPr>
          <w:rFonts w:cs="Arial"/>
        </w:rPr>
        <w:t xml:space="preserve">achievable </w:t>
      </w:r>
      <w:r w:rsidR="00C002F6" w:rsidRPr="00BD163A">
        <w:rPr>
          <w:rFonts w:cs="Arial"/>
        </w:rPr>
        <w:t>targets</w:t>
      </w:r>
      <w:r w:rsidR="00C002F6" w:rsidRPr="00093518">
        <w:rPr>
          <w:rFonts w:cs="Arial"/>
          <w:color w:val="365F91" w:themeColor="accent1" w:themeShade="BF"/>
        </w:rPr>
        <w:t>.</w:t>
      </w:r>
    </w:p>
    <w:p w:rsidR="00F67A7E" w:rsidRPr="00BD163A" w:rsidRDefault="009C7CF5" w:rsidP="002D63EB">
      <w:pPr>
        <w:pStyle w:val="ReportLevel3"/>
        <w:numPr>
          <w:ilvl w:val="0"/>
          <w:numId w:val="0"/>
        </w:numPr>
        <w:spacing w:line="276" w:lineRule="auto"/>
        <w:ind w:left="720" w:hanging="720"/>
        <w:jc w:val="both"/>
        <w:rPr>
          <w:rFonts w:cs="Arial"/>
        </w:rPr>
      </w:pPr>
      <w:r>
        <w:rPr>
          <w:rFonts w:cs="Arial"/>
        </w:rPr>
        <w:t>6</w:t>
      </w:r>
      <w:r w:rsidR="00BD163A" w:rsidRPr="00BD163A">
        <w:rPr>
          <w:rFonts w:cs="Arial"/>
        </w:rPr>
        <w:t>.6</w:t>
      </w:r>
      <w:r w:rsidR="00BD163A" w:rsidRPr="00BD163A">
        <w:rPr>
          <w:rFonts w:cs="Arial"/>
        </w:rPr>
        <w:tab/>
      </w:r>
      <w:r w:rsidR="008648DC" w:rsidRPr="00BD163A">
        <w:rPr>
          <w:rFonts w:cs="Arial"/>
        </w:rPr>
        <w:t>Partnership working is often not as robust as is could be</w:t>
      </w:r>
      <w:r w:rsidR="00F67A7E" w:rsidRPr="00BD163A">
        <w:rPr>
          <w:rFonts w:cs="Arial"/>
        </w:rPr>
        <w:t xml:space="preserve"> due to </w:t>
      </w:r>
      <w:r w:rsidR="008648DC" w:rsidRPr="00BD163A">
        <w:rPr>
          <w:rFonts w:cs="Arial"/>
        </w:rPr>
        <w:t xml:space="preserve">a lack of </w:t>
      </w:r>
      <w:r w:rsidR="00FD4F83" w:rsidRPr="00BD163A">
        <w:rPr>
          <w:rFonts w:cs="Arial"/>
        </w:rPr>
        <w:t xml:space="preserve">awareness and </w:t>
      </w:r>
      <w:r w:rsidR="00C002F6" w:rsidRPr="00BD163A">
        <w:rPr>
          <w:rFonts w:cs="Arial"/>
        </w:rPr>
        <w:t>understanding of</w:t>
      </w:r>
      <w:r w:rsidR="008648DC" w:rsidRPr="00BD163A">
        <w:rPr>
          <w:rFonts w:cs="Arial"/>
        </w:rPr>
        <w:t xml:space="preserve"> </w:t>
      </w:r>
      <w:r w:rsidR="00F67A7E" w:rsidRPr="00BD163A">
        <w:rPr>
          <w:rFonts w:cs="Arial"/>
        </w:rPr>
        <w:t xml:space="preserve">the role, duties and powers of </w:t>
      </w:r>
      <w:r w:rsidR="008648DC" w:rsidRPr="00BD163A">
        <w:rPr>
          <w:rFonts w:cs="Arial"/>
        </w:rPr>
        <w:t xml:space="preserve">each agency </w:t>
      </w:r>
      <w:r w:rsidR="00F67A7E" w:rsidRPr="00BD163A">
        <w:rPr>
          <w:rFonts w:cs="Arial"/>
        </w:rPr>
        <w:t>and how they can contribute to improved health and wellbeing</w:t>
      </w:r>
      <w:r w:rsidR="00FD4F83" w:rsidRPr="00BD163A">
        <w:rPr>
          <w:rFonts w:cs="Arial"/>
        </w:rPr>
        <w:t xml:space="preserve"> of patients</w:t>
      </w:r>
      <w:r w:rsidR="00F67A7E" w:rsidRPr="00BD163A">
        <w:rPr>
          <w:rFonts w:cs="Arial"/>
        </w:rPr>
        <w:t xml:space="preserve">.  </w:t>
      </w:r>
    </w:p>
    <w:p w:rsidR="0069360C" w:rsidRPr="00BD163A" w:rsidRDefault="009C7CF5" w:rsidP="002D63EB">
      <w:pPr>
        <w:pStyle w:val="ReportLevel3"/>
        <w:numPr>
          <w:ilvl w:val="0"/>
          <w:numId w:val="0"/>
        </w:numPr>
        <w:spacing w:line="276" w:lineRule="auto"/>
        <w:ind w:left="720" w:hanging="720"/>
        <w:jc w:val="both"/>
        <w:rPr>
          <w:rFonts w:cs="Arial"/>
        </w:rPr>
      </w:pPr>
      <w:r>
        <w:rPr>
          <w:rFonts w:cs="Arial"/>
        </w:rPr>
        <w:t>6</w:t>
      </w:r>
      <w:r w:rsidR="00BD163A">
        <w:rPr>
          <w:rFonts w:cs="Arial"/>
        </w:rPr>
        <w:t>.7</w:t>
      </w:r>
      <w:r w:rsidR="00BD163A">
        <w:rPr>
          <w:rFonts w:cs="Arial"/>
        </w:rPr>
        <w:tab/>
      </w:r>
      <w:r w:rsidR="00BD163A" w:rsidRPr="00BD163A">
        <w:rPr>
          <w:rFonts w:cs="Arial"/>
        </w:rPr>
        <w:t xml:space="preserve">GPs may </w:t>
      </w:r>
      <w:r w:rsidR="0069360C" w:rsidRPr="00BD163A">
        <w:rPr>
          <w:rFonts w:cs="Arial"/>
        </w:rPr>
        <w:t xml:space="preserve">not currently see the benefit to them and their patients from engaging and working with the Jobcentre and wider partners. Coupled with this they </w:t>
      </w:r>
      <w:r w:rsidR="00CC0479">
        <w:rPr>
          <w:rFonts w:cs="Arial"/>
        </w:rPr>
        <w:t xml:space="preserve">may </w:t>
      </w:r>
      <w:r w:rsidR="0069360C" w:rsidRPr="00BD163A">
        <w:rPr>
          <w:rFonts w:cs="Arial"/>
        </w:rPr>
        <w:t xml:space="preserve">have </w:t>
      </w:r>
      <w:r w:rsidR="00CC0479">
        <w:rPr>
          <w:rFonts w:cs="Arial"/>
        </w:rPr>
        <w:t xml:space="preserve">limited </w:t>
      </w:r>
      <w:r w:rsidR="0069360C" w:rsidRPr="00BD163A">
        <w:rPr>
          <w:rFonts w:cs="Arial"/>
        </w:rPr>
        <w:t>knowledge of the easements to the benefit conditionality regime that the Jobcentre can put in place to take account of a person’s health issues.</w:t>
      </w:r>
    </w:p>
    <w:p w:rsidR="00F244AB" w:rsidRPr="00BD163A" w:rsidRDefault="009C7CF5" w:rsidP="009C7CF5">
      <w:pPr>
        <w:pStyle w:val="ReportLevel2"/>
        <w:numPr>
          <w:ilvl w:val="0"/>
          <w:numId w:val="0"/>
        </w:numPr>
        <w:tabs>
          <w:tab w:val="clear" w:pos="2880"/>
          <w:tab w:val="left" w:pos="709"/>
        </w:tabs>
        <w:ind w:left="720" w:hanging="720"/>
      </w:pPr>
      <w:r>
        <w:t>7.</w:t>
      </w:r>
      <w:r>
        <w:tab/>
      </w:r>
      <w:r w:rsidR="00F244AB" w:rsidRPr="00BD163A">
        <w:t>Good Practice</w:t>
      </w:r>
    </w:p>
    <w:p w:rsidR="00F244AB" w:rsidRPr="00BD163A" w:rsidRDefault="009C7CF5" w:rsidP="009C7CF5">
      <w:pPr>
        <w:pStyle w:val="ReportLevel3"/>
        <w:numPr>
          <w:ilvl w:val="0"/>
          <w:numId w:val="0"/>
        </w:numPr>
        <w:spacing w:line="276" w:lineRule="auto"/>
        <w:ind w:left="720" w:hanging="720"/>
        <w:rPr>
          <w:u w:val="single"/>
        </w:rPr>
      </w:pPr>
      <w:r>
        <w:t>7.1</w:t>
      </w:r>
      <w:r>
        <w:tab/>
      </w:r>
      <w:r w:rsidR="00F244AB" w:rsidRPr="009C7CF5">
        <w:rPr>
          <w:u w:val="single"/>
        </w:rPr>
        <w:t>Outreach Services</w:t>
      </w:r>
    </w:p>
    <w:p w:rsidR="00BE2A7F" w:rsidRPr="00A00D90" w:rsidRDefault="009C7CF5" w:rsidP="002D63EB">
      <w:pPr>
        <w:pStyle w:val="ReportLevel3"/>
        <w:numPr>
          <w:ilvl w:val="0"/>
          <w:numId w:val="0"/>
        </w:numPr>
        <w:spacing w:line="276" w:lineRule="auto"/>
        <w:ind w:left="720" w:hanging="720"/>
        <w:jc w:val="both"/>
        <w:rPr>
          <w:rFonts w:cs="Arial"/>
          <w:b/>
        </w:rPr>
      </w:pPr>
      <w:r>
        <w:rPr>
          <w:rFonts w:cs="Arial"/>
          <w:iCs/>
        </w:rPr>
        <w:t>7</w:t>
      </w:r>
      <w:r w:rsidR="00BD163A" w:rsidRPr="00BD163A">
        <w:rPr>
          <w:rFonts w:cs="Arial"/>
          <w:iCs/>
        </w:rPr>
        <w:t>.1.1</w:t>
      </w:r>
      <w:r w:rsidR="00BD163A" w:rsidRPr="00BD163A">
        <w:rPr>
          <w:rFonts w:cs="Arial"/>
          <w:iCs/>
        </w:rPr>
        <w:tab/>
      </w:r>
      <w:r w:rsidR="00BE2A7F" w:rsidRPr="00BD163A">
        <w:rPr>
          <w:rFonts w:cs="Arial"/>
          <w:iCs/>
        </w:rPr>
        <w:t xml:space="preserve">Maidstone Borough Council housing and community safety departments undertook an outreach pilot involving NHS and mental health and substance misuse services in order to reduce and prevent homelessness and reduce health inequalities. This outreach service has continued with the help of funding from a successful bid to the Department of Communities and Local Government (DCLG) alongside Canterbury City Council and Tunbridge Wells Borough Council. Canterbury’s scheme has now started and Tunbridge Wells’ scheme will commence in April 2016. Maidstone Day Centre as part of this outreach now offers </w:t>
      </w:r>
      <w:r w:rsidR="002D63EB">
        <w:rPr>
          <w:rFonts w:cs="Arial"/>
          <w:iCs/>
        </w:rPr>
        <w:t>Sexually Transmitted Infections (</w:t>
      </w:r>
      <w:r w:rsidR="00BE2A7F" w:rsidRPr="00BD163A">
        <w:rPr>
          <w:rFonts w:cs="Arial"/>
          <w:iCs/>
        </w:rPr>
        <w:t>STI</w:t>
      </w:r>
      <w:r w:rsidR="002D63EB">
        <w:rPr>
          <w:rFonts w:cs="Arial"/>
          <w:iCs/>
        </w:rPr>
        <w:t>)</w:t>
      </w:r>
      <w:r w:rsidR="00BE2A7F" w:rsidRPr="00BD163A">
        <w:rPr>
          <w:rFonts w:cs="Arial"/>
          <w:iCs/>
        </w:rPr>
        <w:t xml:space="preserve"> testing and also has a regular GP slot which can be accessed by the street population. 70 clients have been advised by the GP since November 2014.  In order to further reduce health inequalities, and to prevent presentations at A&amp;E by rough sleepers, it may be beneficial to have these outreach services with </w:t>
      </w:r>
      <w:r w:rsidR="00BE2A7F" w:rsidRPr="00A00D90">
        <w:rPr>
          <w:rFonts w:cs="Arial"/>
          <w:iCs/>
        </w:rPr>
        <w:t>regular health checks in other areas, such as Tunbridge Wells.</w:t>
      </w:r>
    </w:p>
    <w:p w:rsidR="0069360C" w:rsidRPr="00A00D90" w:rsidRDefault="009C7CF5" w:rsidP="00CC0479">
      <w:pPr>
        <w:pStyle w:val="ReportLevel3"/>
        <w:numPr>
          <w:ilvl w:val="0"/>
          <w:numId w:val="0"/>
        </w:numPr>
        <w:spacing w:line="276" w:lineRule="auto"/>
        <w:ind w:left="720" w:hanging="720"/>
        <w:rPr>
          <w:u w:val="single"/>
        </w:rPr>
      </w:pPr>
      <w:r>
        <w:t>7</w:t>
      </w:r>
      <w:r w:rsidR="00A00D90">
        <w:t>.</w:t>
      </w:r>
      <w:r w:rsidR="00BD163A" w:rsidRPr="00A00D90">
        <w:t>2</w:t>
      </w:r>
      <w:r w:rsidR="00BD163A" w:rsidRPr="00A00D90">
        <w:rPr>
          <w:b/>
        </w:rPr>
        <w:tab/>
      </w:r>
      <w:r w:rsidR="00FD4F83" w:rsidRPr="00A00D90">
        <w:rPr>
          <w:u w:val="single"/>
        </w:rPr>
        <w:t xml:space="preserve">Improving </w:t>
      </w:r>
      <w:r w:rsidR="0069360C" w:rsidRPr="00A00D90">
        <w:rPr>
          <w:u w:val="single"/>
        </w:rPr>
        <w:t>Integration of Housing, Health and Social Care</w:t>
      </w:r>
    </w:p>
    <w:p w:rsidR="0069360C" w:rsidRPr="00A00D90" w:rsidRDefault="009C7CF5" w:rsidP="002D63EB">
      <w:pPr>
        <w:pStyle w:val="ReportLevel3"/>
        <w:numPr>
          <w:ilvl w:val="0"/>
          <w:numId w:val="0"/>
        </w:numPr>
        <w:spacing w:line="276" w:lineRule="auto"/>
        <w:ind w:left="720" w:hanging="720"/>
        <w:jc w:val="both"/>
        <w:rPr>
          <w:rFonts w:cs="Arial"/>
          <w:b/>
        </w:rPr>
      </w:pPr>
      <w:r>
        <w:rPr>
          <w:rFonts w:cs="Arial"/>
        </w:rPr>
        <w:t>7</w:t>
      </w:r>
      <w:r w:rsidR="00A00D90">
        <w:rPr>
          <w:rFonts w:cs="Arial"/>
        </w:rPr>
        <w:t>.2.1</w:t>
      </w:r>
      <w:r w:rsidR="00A00D90">
        <w:rPr>
          <w:rFonts w:cs="Arial"/>
        </w:rPr>
        <w:tab/>
      </w:r>
      <w:r w:rsidR="0069360C" w:rsidRPr="00A00D90">
        <w:rPr>
          <w:rFonts w:cs="Arial"/>
        </w:rPr>
        <w:t>The implementation of a twelve month Kent county wide transformational project to establish a fully integrated joined up service between Housing, Health and Social Care for the delivery of interventions to enable residents to live independently in their own homes, has very recently been agreed by local authority Chief Executives.</w:t>
      </w:r>
    </w:p>
    <w:p w:rsidR="0069360C" w:rsidRPr="009C7CF5" w:rsidRDefault="009C7CF5" w:rsidP="009C7CF5">
      <w:pPr>
        <w:pStyle w:val="ReportLevel3"/>
        <w:numPr>
          <w:ilvl w:val="0"/>
          <w:numId w:val="0"/>
        </w:numPr>
        <w:spacing w:line="276" w:lineRule="auto"/>
        <w:ind w:left="720" w:hanging="720"/>
        <w:jc w:val="both"/>
        <w:rPr>
          <w:rFonts w:cs="Arial"/>
          <w:b/>
        </w:rPr>
      </w:pPr>
      <w:r>
        <w:rPr>
          <w:rFonts w:cs="Arial"/>
        </w:rPr>
        <w:t>7.2.2</w:t>
      </w:r>
      <w:r>
        <w:rPr>
          <w:rFonts w:cs="Arial"/>
        </w:rPr>
        <w:tab/>
      </w:r>
      <w:r w:rsidR="0069360C" w:rsidRPr="009C7CF5">
        <w:rPr>
          <w:rFonts w:cs="Arial"/>
        </w:rPr>
        <w:t>The aim of the project is to critically review existing interventions, identify options for business re-engineering and pooled budgets</w:t>
      </w:r>
      <w:r w:rsidR="001277F8" w:rsidRPr="009C7CF5">
        <w:rPr>
          <w:rFonts w:cs="Arial"/>
        </w:rPr>
        <w:t xml:space="preserve">, integrated commissioning </w:t>
      </w:r>
      <w:r w:rsidR="0069360C" w:rsidRPr="009C7CF5">
        <w:rPr>
          <w:rFonts w:cs="Arial"/>
        </w:rPr>
        <w:t xml:space="preserve">and to learn from national good practice.  The ambition is to develop a sustainable accessible delivery model that integrates Housing, Health and Social Care </w:t>
      </w:r>
      <w:r w:rsidR="00FD4F83" w:rsidRPr="009C7CF5">
        <w:rPr>
          <w:rFonts w:cs="Arial"/>
        </w:rPr>
        <w:t xml:space="preserve">and is </w:t>
      </w:r>
      <w:r w:rsidR="0069360C" w:rsidRPr="009C7CF5">
        <w:rPr>
          <w:rFonts w:cs="Arial"/>
        </w:rPr>
        <w:t>able to respond to the challenges of an increasing number of disabled young people as well as older people living with long terms conditions.  This will also help prevent unnecessary bed blocking or admissions to hospital and/or placement into a residential care home setting.</w:t>
      </w:r>
    </w:p>
    <w:p w:rsidR="0069360C" w:rsidRPr="00A00D90" w:rsidRDefault="009C7CF5" w:rsidP="00627AC2">
      <w:pPr>
        <w:pStyle w:val="ReportLevel3"/>
        <w:numPr>
          <w:ilvl w:val="0"/>
          <w:numId w:val="0"/>
        </w:numPr>
        <w:spacing w:line="276" w:lineRule="auto"/>
        <w:ind w:left="720" w:hanging="720"/>
        <w:jc w:val="both"/>
        <w:rPr>
          <w:rFonts w:cs="Arial"/>
        </w:rPr>
      </w:pPr>
      <w:r>
        <w:rPr>
          <w:rFonts w:cs="Arial"/>
        </w:rPr>
        <w:t>7.2.3</w:t>
      </w:r>
      <w:r>
        <w:rPr>
          <w:rFonts w:cs="Arial"/>
        </w:rPr>
        <w:tab/>
      </w:r>
      <w:r w:rsidR="0069360C" w:rsidRPr="00A00D90">
        <w:rPr>
          <w:rFonts w:cs="Arial"/>
        </w:rPr>
        <w:t>The Better Care Fund (BCF) provides a framework for partnerships working to review local systems and to improve the lives of older and disabled people. Given that the NHS budget is now providing the majority of funding for D</w:t>
      </w:r>
      <w:r w:rsidR="00FD4F83" w:rsidRPr="00A00D90">
        <w:rPr>
          <w:rFonts w:cs="Arial"/>
        </w:rPr>
        <w:t xml:space="preserve">isabled </w:t>
      </w:r>
      <w:r w:rsidR="0069360C" w:rsidRPr="00A00D90">
        <w:rPr>
          <w:rFonts w:cs="Arial"/>
        </w:rPr>
        <w:t>F</w:t>
      </w:r>
      <w:r w:rsidR="00FD4F83" w:rsidRPr="00A00D90">
        <w:rPr>
          <w:rFonts w:cs="Arial"/>
        </w:rPr>
        <w:t xml:space="preserve">acilities </w:t>
      </w:r>
      <w:r w:rsidR="0069360C" w:rsidRPr="00A00D90">
        <w:rPr>
          <w:rFonts w:cs="Arial"/>
        </w:rPr>
        <w:t>G</w:t>
      </w:r>
      <w:r w:rsidR="00FD4F83" w:rsidRPr="00A00D90">
        <w:rPr>
          <w:rFonts w:cs="Arial"/>
        </w:rPr>
        <w:t xml:space="preserve">rants there are greater opportunities for </w:t>
      </w:r>
      <w:r w:rsidR="0069360C" w:rsidRPr="00A00D90">
        <w:rPr>
          <w:rFonts w:cs="Arial"/>
        </w:rPr>
        <w:t>more conversations taking place with the Clinical Commissioning Groups</w:t>
      </w:r>
      <w:r w:rsidR="002D7806" w:rsidRPr="00A00D90">
        <w:rPr>
          <w:rFonts w:cs="Arial"/>
        </w:rPr>
        <w:t xml:space="preserve"> (CCGs)</w:t>
      </w:r>
      <w:r w:rsidR="0069360C" w:rsidRPr="00A00D90">
        <w:rPr>
          <w:rFonts w:cs="Arial"/>
        </w:rPr>
        <w:t xml:space="preserve"> about how the system can be improved as part of a wider view of the needs of res</w:t>
      </w:r>
      <w:r w:rsidR="002D7806" w:rsidRPr="00A00D90">
        <w:rPr>
          <w:rFonts w:cs="Arial"/>
        </w:rPr>
        <w:t xml:space="preserve">idents. </w:t>
      </w:r>
    </w:p>
    <w:p w:rsidR="00BE2A7F" w:rsidRPr="00C831CB" w:rsidRDefault="009C7CF5" w:rsidP="00627AC2">
      <w:pPr>
        <w:pStyle w:val="ReportLevel3"/>
        <w:numPr>
          <w:ilvl w:val="0"/>
          <w:numId w:val="0"/>
        </w:numPr>
        <w:spacing w:line="276" w:lineRule="auto"/>
        <w:jc w:val="both"/>
        <w:rPr>
          <w:rFonts w:cs="Arial"/>
          <w:u w:val="single"/>
        </w:rPr>
      </w:pPr>
      <w:r>
        <w:rPr>
          <w:rFonts w:cs="Arial"/>
          <w:iCs/>
        </w:rPr>
        <w:t>7.3.</w:t>
      </w:r>
      <w:r>
        <w:rPr>
          <w:rFonts w:cs="Arial"/>
          <w:iCs/>
        </w:rPr>
        <w:tab/>
      </w:r>
      <w:r w:rsidR="00D410A8" w:rsidRPr="00C831CB">
        <w:rPr>
          <w:rFonts w:cs="Arial"/>
          <w:iCs/>
          <w:u w:val="single"/>
        </w:rPr>
        <w:t>Social Prescribing</w:t>
      </w:r>
    </w:p>
    <w:p w:rsidR="00797EB9" w:rsidRPr="00A00D90" w:rsidRDefault="009C7CF5" w:rsidP="00627AC2">
      <w:pPr>
        <w:pStyle w:val="ReportLevel3"/>
        <w:numPr>
          <w:ilvl w:val="0"/>
          <w:numId w:val="0"/>
        </w:numPr>
        <w:spacing w:line="276" w:lineRule="auto"/>
        <w:ind w:left="720" w:hanging="720"/>
        <w:jc w:val="both"/>
        <w:rPr>
          <w:rFonts w:cs="Arial"/>
        </w:rPr>
      </w:pPr>
      <w:r>
        <w:rPr>
          <w:rFonts w:cs="Arial"/>
          <w:iCs/>
        </w:rPr>
        <w:t>7.3.1</w:t>
      </w:r>
      <w:r>
        <w:rPr>
          <w:rFonts w:cs="Arial"/>
          <w:iCs/>
        </w:rPr>
        <w:tab/>
      </w:r>
      <w:r w:rsidR="00797EB9" w:rsidRPr="00A00D90">
        <w:rPr>
          <w:rFonts w:cs="Arial"/>
          <w:iCs/>
        </w:rPr>
        <w:t>Through the provision of timely effective advice, there are real possibilities to deliver important health improvements whilst also achieving significant savings.  An energy saving pilot scheme run by a social housing provider part of the Gentoo group has proven it is reducing GP and Outpatient appointments for the National Health Service</w:t>
      </w:r>
      <w:r w:rsidR="00477EA9" w:rsidRPr="00A00D90">
        <w:rPr>
          <w:rFonts w:cs="Arial"/>
          <w:iCs/>
        </w:rPr>
        <w:t xml:space="preserve"> </w:t>
      </w:r>
      <w:r w:rsidR="00E6365B">
        <w:rPr>
          <w:rFonts w:cs="Arial"/>
          <w:iCs/>
          <w:vertAlign w:val="superscript"/>
        </w:rPr>
        <w:t>10</w:t>
      </w:r>
      <w:r w:rsidR="00797EB9" w:rsidRPr="00A00D90">
        <w:rPr>
          <w:rFonts w:cs="Arial"/>
          <w:iCs/>
          <w:vertAlign w:val="superscript"/>
        </w:rPr>
        <w:t xml:space="preserve">  </w:t>
      </w:r>
    </w:p>
    <w:p w:rsidR="00797EB9" w:rsidRPr="00B1065F" w:rsidRDefault="009C7CF5" w:rsidP="00627AC2">
      <w:pPr>
        <w:pStyle w:val="ReportLevel3"/>
        <w:numPr>
          <w:ilvl w:val="0"/>
          <w:numId w:val="0"/>
        </w:numPr>
        <w:spacing w:line="276" w:lineRule="auto"/>
        <w:ind w:left="720" w:hanging="720"/>
        <w:jc w:val="both"/>
        <w:rPr>
          <w:rFonts w:cs="Arial"/>
        </w:rPr>
      </w:pPr>
      <w:r>
        <w:rPr>
          <w:rFonts w:cs="Arial"/>
        </w:rPr>
        <w:t>7.3.2</w:t>
      </w:r>
      <w:r>
        <w:rPr>
          <w:rFonts w:cs="Arial"/>
        </w:rPr>
        <w:tab/>
      </w:r>
      <w:r w:rsidR="00797EB9" w:rsidRPr="00A00D90">
        <w:rPr>
          <w:rFonts w:cs="Arial"/>
        </w:rPr>
        <w:t xml:space="preserve">The pilot is part of a framework where GPs from North East </w:t>
      </w:r>
      <w:r w:rsidR="002D7806" w:rsidRPr="00A00D90">
        <w:rPr>
          <w:rFonts w:cs="Arial"/>
        </w:rPr>
        <w:t xml:space="preserve">CCGs </w:t>
      </w:r>
      <w:r w:rsidR="00797EB9" w:rsidRPr="00A00D90">
        <w:rPr>
          <w:rFonts w:cs="Arial"/>
        </w:rPr>
        <w:t>prescribe a suite of energy efficiency improvements to patients with Chronic Obstructive Pulmonary Disease (COPD)</w:t>
      </w:r>
      <w:r w:rsidR="00B1065F">
        <w:rPr>
          <w:rFonts w:cs="Arial"/>
        </w:rPr>
        <w:t xml:space="preserve">. </w:t>
      </w:r>
      <w:r w:rsidR="0096256F" w:rsidRPr="00B1065F">
        <w:rPr>
          <w:rFonts w:cs="Arial"/>
        </w:rPr>
        <w:t>The first set of results have shown a 28 per cent reduction in the number of GP appointments and a 33 per cent reduction in outpatient appointments over the first six months of the project.</w:t>
      </w:r>
    </w:p>
    <w:p w:rsidR="0069360C" w:rsidRPr="00C831CB" w:rsidRDefault="009C7CF5" w:rsidP="00627AC2">
      <w:pPr>
        <w:pStyle w:val="ReportLevel3"/>
        <w:numPr>
          <w:ilvl w:val="0"/>
          <w:numId w:val="0"/>
        </w:numPr>
        <w:spacing w:line="276" w:lineRule="auto"/>
        <w:jc w:val="both"/>
        <w:rPr>
          <w:u w:val="single"/>
        </w:rPr>
      </w:pPr>
      <w:r>
        <w:t>7.4</w:t>
      </w:r>
      <w:r>
        <w:tab/>
      </w:r>
      <w:r w:rsidR="0069360C" w:rsidRPr="00C831CB">
        <w:rPr>
          <w:u w:val="single"/>
        </w:rPr>
        <w:t>D</w:t>
      </w:r>
      <w:r w:rsidR="002D7806" w:rsidRPr="00C831CB">
        <w:rPr>
          <w:u w:val="single"/>
        </w:rPr>
        <w:t xml:space="preserve">epartment of </w:t>
      </w:r>
      <w:r w:rsidR="0069360C" w:rsidRPr="00C831CB">
        <w:rPr>
          <w:u w:val="single"/>
        </w:rPr>
        <w:t>W</w:t>
      </w:r>
      <w:r w:rsidR="002D7806" w:rsidRPr="00C831CB">
        <w:rPr>
          <w:u w:val="single"/>
        </w:rPr>
        <w:t>orks and Pension</w:t>
      </w:r>
      <w:r w:rsidR="001277F8" w:rsidRPr="00C831CB">
        <w:rPr>
          <w:u w:val="single"/>
        </w:rPr>
        <w:t xml:space="preserve"> </w:t>
      </w:r>
      <w:r w:rsidR="001277F8" w:rsidRPr="00C831CB">
        <w:rPr>
          <w:rFonts w:cs="Arial"/>
          <w:u w:val="single"/>
        </w:rPr>
        <w:t xml:space="preserve">(DWP) </w:t>
      </w:r>
      <w:r w:rsidR="002D7806" w:rsidRPr="00C831CB">
        <w:rPr>
          <w:u w:val="single"/>
        </w:rPr>
        <w:t xml:space="preserve"> Engagement </w:t>
      </w:r>
    </w:p>
    <w:p w:rsidR="0069360C" w:rsidRPr="00A00D90" w:rsidRDefault="009C7CF5" w:rsidP="00627AC2">
      <w:pPr>
        <w:pStyle w:val="ReportLevel3"/>
        <w:numPr>
          <w:ilvl w:val="0"/>
          <w:numId w:val="0"/>
        </w:numPr>
        <w:spacing w:line="276" w:lineRule="auto"/>
        <w:ind w:left="720" w:hanging="720"/>
        <w:jc w:val="both"/>
        <w:rPr>
          <w:rFonts w:cs="Arial"/>
        </w:rPr>
      </w:pPr>
      <w:r>
        <w:rPr>
          <w:rFonts w:cs="Arial"/>
        </w:rPr>
        <w:t>7.4.1</w:t>
      </w:r>
      <w:r>
        <w:rPr>
          <w:rFonts w:cs="Arial"/>
        </w:rPr>
        <w:tab/>
      </w:r>
      <w:r w:rsidR="0069360C" w:rsidRPr="00A00D90">
        <w:rPr>
          <w:rFonts w:cs="Arial"/>
        </w:rPr>
        <w:t>The DWP is already engaging with the local NHS Health trainers and they attend the Jobcentres in Maidstone, Tonbridge and Tunbridge Wells on a regular basis to see claimants that the Jobcentre has identified would benefit from their help.</w:t>
      </w:r>
    </w:p>
    <w:p w:rsidR="0069360C" w:rsidRPr="00A00D90" w:rsidRDefault="009C7CF5" w:rsidP="00627AC2">
      <w:pPr>
        <w:pStyle w:val="ReportLevel3"/>
        <w:numPr>
          <w:ilvl w:val="0"/>
          <w:numId w:val="0"/>
        </w:numPr>
        <w:spacing w:line="276" w:lineRule="auto"/>
        <w:ind w:left="720" w:hanging="720"/>
        <w:jc w:val="both"/>
        <w:rPr>
          <w:rFonts w:cs="Arial"/>
        </w:rPr>
      </w:pPr>
      <w:r>
        <w:rPr>
          <w:rFonts w:cs="Arial"/>
        </w:rPr>
        <w:t>7.4.2</w:t>
      </w:r>
      <w:r>
        <w:rPr>
          <w:rFonts w:cs="Arial"/>
        </w:rPr>
        <w:tab/>
      </w:r>
      <w:r w:rsidR="0069360C" w:rsidRPr="00A00D90">
        <w:rPr>
          <w:rFonts w:cs="Arial"/>
        </w:rPr>
        <w:t>In other parts of the county local Jobcentres have managed to forge successful links with GP surgeries to the benefit of claimants / patients. In Canterbury, Jobcentre Work Coaches were based in GP surgeries on a weekly or monthly basis. They saw patients who were either on benefits or working and were referred by the GPs. This established closer working between the GP surgery and the Jobcentre. Work Coaches then started giving regular talks to groups of GPs to explain how to make best use of the Fit Note. In particular how the use of ‘not fit for work’ can send some patients down a path to long term worklessness. GPs respond well to this since it means them using less of their time and budget on some patients. Those patients on Jobseekers Allowance are likely to present at the doctor’s surgery far less frequently than if they are on ESA. This presentation has also been incorporated into the training for new GPs, who are also offered the opportunity to job shadow a Work Coach in Canterbury Jobcentre.</w:t>
      </w:r>
    </w:p>
    <w:p w:rsidR="0069360C" w:rsidRPr="00A00D90" w:rsidRDefault="009C7CF5" w:rsidP="00627AC2">
      <w:pPr>
        <w:pStyle w:val="ReportLevel3"/>
        <w:numPr>
          <w:ilvl w:val="0"/>
          <w:numId w:val="0"/>
        </w:numPr>
        <w:spacing w:line="276" w:lineRule="auto"/>
        <w:ind w:left="720" w:hanging="720"/>
        <w:jc w:val="both"/>
        <w:rPr>
          <w:rFonts w:cs="Arial"/>
        </w:rPr>
      </w:pPr>
      <w:r>
        <w:rPr>
          <w:rFonts w:cs="Arial"/>
        </w:rPr>
        <w:t>7.4.3</w:t>
      </w:r>
      <w:r>
        <w:rPr>
          <w:rFonts w:cs="Arial"/>
        </w:rPr>
        <w:tab/>
      </w:r>
      <w:r w:rsidR="0069360C" w:rsidRPr="00A00D90">
        <w:rPr>
          <w:rFonts w:cs="Arial"/>
        </w:rPr>
        <w:t xml:space="preserve">Jobcentres also have been working closely with </w:t>
      </w:r>
      <w:r w:rsidR="0060584E">
        <w:rPr>
          <w:rFonts w:cs="Arial"/>
        </w:rPr>
        <w:t>Improving Access to Psychological Therapies (</w:t>
      </w:r>
      <w:r w:rsidR="0069360C" w:rsidRPr="00A00D90">
        <w:rPr>
          <w:rFonts w:cs="Arial"/>
        </w:rPr>
        <w:t>IAPT</w:t>
      </w:r>
      <w:r w:rsidR="0060584E">
        <w:rPr>
          <w:rFonts w:cs="Arial"/>
        </w:rPr>
        <w:t>)</w:t>
      </w:r>
      <w:r w:rsidR="0069360C" w:rsidRPr="00A00D90">
        <w:rPr>
          <w:rFonts w:cs="Arial"/>
        </w:rPr>
        <w:t xml:space="preserve"> providers, including providers seeing their customers in the Jobcentres in some cases.</w:t>
      </w:r>
    </w:p>
    <w:p w:rsidR="00BE2A7F" w:rsidRPr="00C831CB" w:rsidRDefault="009C7CF5" w:rsidP="00627AC2">
      <w:pPr>
        <w:pStyle w:val="ReportLevel3"/>
        <w:numPr>
          <w:ilvl w:val="0"/>
          <w:numId w:val="0"/>
        </w:numPr>
        <w:spacing w:line="276" w:lineRule="auto"/>
        <w:ind w:left="720" w:hanging="720"/>
        <w:jc w:val="both"/>
        <w:rPr>
          <w:rFonts w:cs="Arial"/>
          <w:u w:val="single"/>
        </w:rPr>
      </w:pPr>
      <w:r w:rsidRPr="009C7CF5">
        <w:rPr>
          <w:rFonts w:cs="Arial"/>
          <w:iCs/>
        </w:rPr>
        <w:t>7.5</w:t>
      </w:r>
      <w:r w:rsidRPr="009C7CF5">
        <w:rPr>
          <w:rFonts w:cs="Arial"/>
          <w:iCs/>
        </w:rPr>
        <w:tab/>
      </w:r>
      <w:r w:rsidR="002D7806" w:rsidRPr="00C831CB">
        <w:rPr>
          <w:rFonts w:cs="Arial"/>
          <w:iCs/>
          <w:u w:val="single"/>
        </w:rPr>
        <w:t xml:space="preserve">Making Every Contact Count - </w:t>
      </w:r>
      <w:r w:rsidR="00BE2A7F" w:rsidRPr="00C831CB">
        <w:rPr>
          <w:rFonts w:cs="Arial"/>
          <w:iCs/>
          <w:u w:val="single"/>
        </w:rPr>
        <w:t>A Single</w:t>
      </w:r>
      <w:r w:rsidR="002D7806" w:rsidRPr="00C831CB">
        <w:rPr>
          <w:rFonts w:cs="Arial"/>
          <w:iCs/>
          <w:u w:val="single"/>
        </w:rPr>
        <w:t xml:space="preserve"> </w:t>
      </w:r>
      <w:r w:rsidR="00662DA9" w:rsidRPr="00C831CB">
        <w:rPr>
          <w:rFonts w:cs="Arial"/>
          <w:iCs/>
          <w:u w:val="single"/>
        </w:rPr>
        <w:t>Point</w:t>
      </w:r>
      <w:r w:rsidR="002D7806" w:rsidRPr="00C831CB">
        <w:rPr>
          <w:rFonts w:cs="Arial"/>
          <w:iCs/>
          <w:u w:val="single"/>
        </w:rPr>
        <w:t xml:space="preserve"> </w:t>
      </w:r>
      <w:r w:rsidR="00662DA9" w:rsidRPr="00C831CB">
        <w:rPr>
          <w:rFonts w:cs="Arial"/>
          <w:iCs/>
          <w:u w:val="single"/>
        </w:rPr>
        <w:t>of</w:t>
      </w:r>
      <w:r w:rsidR="002D7806" w:rsidRPr="00C831CB">
        <w:rPr>
          <w:rFonts w:cs="Arial"/>
          <w:iCs/>
          <w:u w:val="single"/>
        </w:rPr>
        <w:t xml:space="preserve"> </w:t>
      </w:r>
      <w:r w:rsidR="00662DA9" w:rsidRPr="00C831CB">
        <w:rPr>
          <w:rFonts w:cs="Arial"/>
          <w:iCs/>
          <w:u w:val="single"/>
        </w:rPr>
        <w:t>Contact Health and Housing Referral Service</w:t>
      </w:r>
    </w:p>
    <w:p w:rsidR="00662DA9" w:rsidRPr="0073640D" w:rsidRDefault="009C7CF5" w:rsidP="00627AC2">
      <w:pPr>
        <w:pStyle w:val="ReportLevel3"/>
        <w:numPr>
          <w:ilvl w:val="0"/>
          <w:numId w:val="0"/>
        </w:numPr>
        <w:spacing w:line="276" w:lineRule="auto"/>
        <w:ind w:left="720" w:hanging="720"/>
        <w:jc w:val="both"/>
        <w:rPr>
          <w:rFonts w:cs="Arial"/>
          <w:b/>
        </w:rPr>
      </w:pPr>
      <w:r>
        <w:rPr>
          <w:rFonts w:cs="Arial"/>
          <w:iCs/>
        </w:rPr>
        <w:t>7.5.1</w:t>
      </w:r>
      <w:r>
        <w:rPr>
          <w:rFonts w:cs="Arial"/>
          <w:iCs/>
        </w:rPr>
        <w:tab/>
      </w:r>
      <w:r w:rsidR="00662DA9" w:rsidRPr="00A00D90">
        <w:rPr>
          <w:rFonts w:cs="Arial"/>
          <w:iCs/>
        </w:rPr>
        <w:t xml:space="preserve">This can ensure people receive the help that they </w:t>
      </w:r>
      <w:r w:rsidR="00662DA9" w:rsidRPr="00A00D90">
        <w:rPr>
          <w:rFonts w:cs="Arial"/>
        </w:rPr>
        <w:t>need effectively, with knowledge of services available and links with relevant national and local agencies, including health and social care providers, local housing providers, advice agencies (such as Citizens Advice and money advice organisations), health and social care charities, voluntary organisations and home improvement agencies.</w:t>
      </w:r>
    </w:p>
    <w:p w:rsidR="00A00D90" w:rsidRDefault="009C7CF5" w:rsidP="00627AC2">
      <w:pPr>
        <w:pStyle w:val="ReportLevel2"/>
        <w:numPr>
          <w:ilvl w:val="0"/>
          <w:numId w:val="0"/>
        </w:numPr>
        <w:spacing w:after="0" w:line="276" w:lineRule="auto"/>
        <w:ind w:left="720" w:hanging="720"/>
        <w:jc w:val="both"/>
      </w:pPr>
      <w:r>
        <w:t>8.</w:t>
      </w:r>
      <w:r>
        <w:tab/>
      </w:r>
      <w:r w:rsidR="00662DA9" w:rsidRPr="00A00D90">
        <w:t>Recommendations</w:t>
      </w:r>
    </w:p>
    <w:p w:rsidR="00EA7C35" w:rsidRPr="00C60831" w:rsidRDefault="00EA7C35" w:rsidP="00627AC2">
      <w:pPr>
        <w:pStyle w:val="ReportLevel3"/>
        <w:numPr>
          <w:ilvl w:val="0"/>
          <w:numId w:val="0"/>
        </w:numPr>
        <w:spacing w:line="276" w:lineRule="auto"/>
        <w:ind w:firstLine="720"/>
        <w:jc w:val="both"/>
      </w:pPr>
      <w:r>
        <w:t xml:space="preserve">The </w:t>
      </w:r>
      <w:r w:rsidRPr="00C60831">
        <w:t>Board is recommended to:</w:t>
      </w:r>
    </w:p>
    <w:p w:rsidR="00EA7C35" w:rsidRPr="00B47304" w:rsidRDefault="009C7CF5" w:rsidP="00627AC2">
      <w:pPr>
        <w:pStyle w:val="ReportLevel1"/>
        <w:numPr>
          <w:ilvl w:val="0"/>
          <w:numId w:val="0"/>
        </w:numPr>
        <w:spacing w:line="276" w:lineRule="auto"/>
        <w:ind w:left="720" w:hanging="720"/>
        <w:jc w:val="both"/>
        <w:rPr>
          <w:b w:val="0"/>
          <w:u w:val="none"/>
        </w:rPr>
      </w:pPr>
      <w:r>
        <w:rPr>
          <w:caps w:val="0"/>
          <w:u w:val="none"/>
        </w:rPr>
        <w:t>8.</w:t>
      </w:r>
      <w:r w:rsidR="00EA7C35" w:rsidRPr="00EA7C35">
        <w:rPr>
          <w:caps w:val="0"/>
          <w:u w:val="none"/>
        </w:rPr>
        <w:t>1</w:t>
      </w:r>
      <w:r w:rsidR="00EA7C35">
        <w:rPr>
          <w:b w:val="0"/>
          <w:caps w:val="0"/>
          <w:u w:val="none"/>
        </w:rPr>
        <w:tab/>
        <w:t>Make Every Contact Count.  C</w:t>
      </w:r>
      <w:r w:rsidR="00EA7C35" w:rsidRPr="00B47304">
        <w:rPr>
          <w:b w:val="0"/>
          <w:caps w:val="0"/>
          <w:u w:val="none"/>
        </w:rPr>
        <w:t xml:space="preserve">ommissioners of services in </w:t>
      </w:r>
      <w:r w:rsidR="00EA7C35">
        <w:rPr>
          <w:b w:val="0"/>
          <w:caps w:val="0"/>
          <w:u w:val="none"/>
        </w:rPr>
        <w:t>W</w:t>
      </w:r>
      <w:r w:rsidR="00EA7C35" w:rsidRPr="00B47304">
        <w:rPr>
          <w:b w:val="0"/>
          <w:caps w:val="0"/>
          <w:u w:val="none"/>
        </w:rPr>
        <w:t xml:space="preserve">est </w:t>
      </w:r>
      <w:r w:rsidR="00EA7C35">
        <w:rPr>
          <w:b w:val="0"/>
          <w:caps w:val="0"/>
          <w:u w:val="none"/>
        </w:rPr>
        <w:t>K</w:t>
      </w:r>
      <w:r w:rsidR="00EA7C35" w:rsidRPr="00B47304">
        <w:rPr>
          <w:b w:val="0"/>
          <w:caps w:val="0"/>
          <w:u w:val="none"/>
        </w:rPr>
        <w:t xml:space="preserve">ent (such as </w:t>
      </w:r>
      <w:r w:rsidR="00EA7C35">
        <w:rPr>
          <w:b w:val="0"/>
          <w:caps w:val="0"/>
          <w:u w:val="none"/>
        </w:rPr>
        <w:t>C</w:t>
      </w:r>
      <w:r w:rsidR="00EA7C35" w:rsidRPr="00B47304">
        <w:rPr>
          <w:b w:val="0"/>
          <w:caps w:val="0"/>
          <w:u w:val="none"/>
        </w:rPr>
        <w:t xml:space="preserve">linical </w:t>
      </w:r>
      <w:r w:rsidR="00EA7C35">
        <w:rPr>
          <w:b w:val="0"/>
          <w:caps w:val="0"/>
          <w:u w:val="none"/>
        </w:rPr>
        <w:t>C</w:t>
      </w:r>
      <w:r w:rsidR="00EA7C35" w:rsidRPr="00B47304">
        <w:rPr>
          <w:b w:val="0"/>
          <w:caps w:val="0"/>
          <w:u w:val="none"/>
        </w:rPr>
        <w:t xml:space="preserve">ommissioning </w:t>
      </w:r>
      <w:r w:rsidR="00EA7C35">
        <w:rPr>
          <w:b w:val="0"/>
          <w:caps w:val="0"/>
          <w:u w:val="none"/>
        </w:rPr>
        <w:t>G</w:t>
      </w:r>
      <w:r w:rsidR="00EA7C35" w:rsidRPr="00B47304">
        <w:rPr>
          <w:b w:val="0"/>
          <w:caps w:val="0"/>
          <w:u w:val="none"/>
        </w:rPr>
        <w:t xml:space="preserve">roups and local authorities) jointly </w:t>
      </w:r>
      <w:r w:rsidR="00EA7C35">
        <w:rPr>
          <w:b w:val="0"/>
          <w:caps w:val="0"/>
          <w:u w:val="none"/>
        </w:rPr>
        <w:t xml:space="preserve">consider </w:t>
      </w:r>
      <w:r w:rsidR="00EA7C35" w:rsidRPr="00B47304">
        <w:rPr>
          <w:b w:val="0"/>
          <w:caps w:val="0"/>
          <w:u w:val="none"/>
        </w:rPr>
        <w:t xml:space="preserve">a local single point of contact </w:t>
      </w:r>
      <w:r w:rsidR="007C3EFC">
        <w:rPr>
          <w:b w:val="0"/>
          <w:caps w:val="0"/>
          <w:u w:val="none"/>
        </w:rPr>
        <w:t xml:space="preserve">for wellbeing </w:t>
      </w:r>
      <w:r w:rsidR="00EA7C35" w:rsidRPr="00B47304">
        <w:rPr>
          <w:b w:val="0"/>
          <w:caps w:val="0"/>
          <w:u w:val="none"/>
        </w:rPr>
        <w:t>and housing re</w:t>
      </w:r>
      <w:r w:rsidR="007C3EFC">
        <w:rPr>
          <w:b w:val="0"/>
          <w:caps w:val="0"/>
          <w:u w:val="none"/>
        </w:rPr>
        <w:t xml:space="preserve">lated </w:t>
      </w:r>
      <w:r w:rsidR="00EA7C35" w:rsidRPr="00B47304">
        <w:rPr>
          <w:b w:val="0"/>
          <w:caps w:val="0"/>
          <w:u w:val="none"/>
        </w:rPr>
        <w:t>service</w:t>
      </w:r>
      <w:r w:rsidR="007C3EFC">
        <w:rPr>
          <w:b w:val="0"/>
          <w:caps w:val="0"/>
          <w:u w:val="none"/>
        </w:rPr>
        <w:t>s</w:t>
      </w:r>
      <w:r w:rsidR="00EA7C35" w:rsidRPr="00B47304">
        <w:rPr>
          <w:b w:val="0"/>
          <w:caps w:val="0"/>
          <w:u w:val="none"/>
        </w:rPr>
        <w:t xml:space="preserve"> that helps people who are identified as being vulnerable to the health problems associated with issues such as homelessness, financial hardship</w:t>
      </w:r>
      <w:r w:rsidR="007C3EFC">
        <w:rPr>
          <w:b w:val="0"/>
          <w:caps w:val="0"/>
          <w:u w:val="none"/>
        </w:rPr>
        <w:t xml:space="preserve">, frailty </w:t>
      </w:r>
      <w:r w:rsidR="00EA7C35" w:rsidRPr="00B47304">
        <w:rPr>
          <w:b w:val="0"/>
          <w:caps w:val="0"/>
          <w:u w:val="none"/>
        </w:rPr>
        <w:t>and cold homes to receive tailored support in order to improve health</w:t>
      </w:r>
      <w:r w:rsidR="007C3EFC">
        <w:rPr>
          <w:b w:val="0"/>
          <w:caps w:val="0"/>
          <w:u w:val="none"/>
        </w:rPr>
        <w:t xml:space="preserve"> outcomes</w:t>
      </w:r>
      <w:r w:rsidR="00EA7C35" w:rsidRPr="00B47304">
        <w:rPr>
          <w:b w:val="0"/>
          <w:caps w:val="0"/>
          <w:u w:val="none"/>
        </w:rPr>
        <w:t>.</w:t>
      </w:r>
    </w:p>
    <w:p w:rsidR="00EA7C35" w:rsidRPr="00B957C3" w:rsidRDefault="009C7CF5" w:rsidP="00627AC2">
      <w:pPr>
        <w:pStyle w:val="ReportLevel1"/>
        <w:numPr>
          <w:ilvl w:val="0"/>
          <w:numId w:val="0"/>
        </w:numPr>
        <w:ind w:left="720" w:hanging="720"/>
        <w:jc w:val="both"/>
        <w:rPr>
          <w:b w:val="0"/>
          <w:u w:val="none"/>
        </w:rPr>
      </w:pPr>
      <w:r>
        <w:rPr>
          <w:u w:val="none"/>
        </w:rPr>
        <w:t>8.</w:t>
      </w:r>
      <w:r w:rsidR="00EA7C35" w:rsidRPr="00B957C3">
        <w:rPr>
          <w:u w:val="none"/>
        </w:rPr>
        <w:t>2</w:t>
      </w:r>
      <w:r w:rsidR="00EA7C35">
        <w:rPr>
          <w:b w:val="0"/>
          <w:u w:val="none"/>
        </w:rPr>
        <w:tab/>
      </w:r>
      <w:r w:rsidR="00EA7C35">
        <w:rPr>
          <w:b w:val="0"/>
          <w:caps w:val="0"/>
          <w:u w:val="none"/>
        </w:rPr>
        <w:t>E</w:t>
      </w:r>
      <w:r w:rsidR="00EA7C35" w:rsidRPr="00B957C3">
        <w:rPr>
          <w:b w:val="0"/>
          <w:caps w:val="0"/>
          <w:u w:val="none"/>
        </w:rPr>
        <w:t xml:space="preserve">ncourage participation in preventative activities </w:t>
      </w:r>
      <w:r w:rsidR="00EA7C35">
        <w:rPr>
          <w:b w:val="0"/>
          <w:caps w:val="0"/>
          <w:u w:val="none"/>
        </w:rPr>
        <w:t>that contribute to the maintenance of good health, and to reducing episodes of poor health</w:t>
      </w:r>
      <w:r w:rsidR="007C3EFC">
        <w:rPr>
          <w:b w:val="0"/>
          <w:caps w:val="0"/>
          <w:u w:val="none"/>
        </w:rPr>
        <w:t xml:space="preserve"> such as signposting for smoking cessation, drugs and alcohol services</w:t>
      </w:r>
      <w:r w:rsidR="00EA7C35">
        <w:rPr>
          <w:b w:val="0"/>
          <w:caps w:val="0"/>
          <w:u w:val="none"/>
        </w:rPr>
        <w:t>.</w:t>
      </w:r>
    </w:p>
    <w:p w:rsidR="00EA7C35" w:rsidRPr="00B47304" w:rsidRDefault="009C7CF5" w:rsidP="00627AC2">
      <w:pPr>
        <w:pStyle w:val="ReportLevel1"/>
        <w:numPr>
          <w:ilvl w:val="0"/>
          <w:numId w:val="0"/>
        </w:numPr>
        <w:spacing w:line="276" w:lineRule="auto"/>
        <w:ind w:left="720" w:hanging="720"/>
        <w:jc w:val="both"/>
        <w:rPr>
          <w:b w:val="0"/>
          <w:u w:val="none"/>
        </w:rPr>
      </w:pPr>
      <w:r>
        <w:rPr>
          <w:caps w:val="0"/>
          <w:u w:val="none"/>
        </w:rPr>
        <w:t>8.</w:t>
      </w:r>
      <w:r w:rsidR="00EA7C35" w:rsidRPr="00B957C3">
        <w:rPr>
          <w:caps w:val="0"/>
          <w:u w:val="none"/>
        </w:rPr>
        <w:t>3</w:t>
      </w:r>
      <w:r w:rsidR="00EA7C35">
        <w:rPr>
          <w:b w:val="0"/>
          <w:caps w:val="0"/>
          <w:u w:val="none"/>
        </w:rPr>
        <w:tab/>
        <w:t>S</w:t>
      </w:r>
      <w:r w:rsidR="00EA7C35" w:rsidRPr="00B47304">
        <w:rPr>
          <w:b w:val="0"/>
          <w:caps w:val="0"/>
          <w:u w:val="none"/>
        </w:rPr>
        <w:t>et up targeted social prescribing</w:t>
      </w:r>
      <w:r w:rsidR="00EA7C35">
        <w:rPr>
          <w:b w:val="0"/>
          <w:caps w:val="0"/>
          <w:u w:val="none"/>
        </w:rPr>
        <w:t xml:space="preserve"> pilots in West K</w:t>
      </w:r>
      <w:r w:rsidR="00EA7C35" w:rsidRPr="00B47304">
        <w:rPr>
          <w:b w:val="0"/>
          <w:caps w:val="0"/>
          <w:u w:val="none"/>
        </w:rPr>
        <w:t>ent with local partners which provide opportunities to explore the potential for social prescribing of housing adaptations, warm home and other work to sustain the financial resilience of residents</w:t>
      </w:r>
      <w:r w:rsidR="00EA7C35">
        <w:rPr>
          <w:b w:val="0"/>
          <w:caps w:val="0"/>
          <w:u w:val="none"/>
        </w:rPr>
        <w:t xml:space="preserve"> and prevent the widening of economic inequalities</w:t>
      </w:r>
      <w:r w:rsidR="00EA7C35" w:rsidRPr="00B47304">
        <w:rPr>
          <w:b w:val="0"/>
          <w:caps w:val="0"/>
          <w:u w:val="none"/>
        </w:rPr>
        <w:t>.</w:t>
      </w:r>
    </w:p>
    <w:p w:rsidR="00EA7C35" w:rsidRPr="00F456FF" w:rsidRDefault="009C7CF5" w:rsidP="00627AC2">
      <w:pPr>
        <w:pStyle w:val="ReportLevel1"/>
        <w:numPr>
          <w:ilvl w:val="0"/>
          <w:numId w:val="0"/>
        </w:numPr>
        <w:spacing w:line="276" w:lineRule="auto"/>
        <w:ind w:left="720" w:hanging="720"/>
        <w:jc w:val="both"/>
        <w:rPr>
          <w:b w:val="0"/>
          <w:u w:val="none"/>
        </w:rPr>
      </w:pPr>
      <w:r w:rsidRPr="009C7CF5">
        <w:rPr>
          <w:caps w:val="0"/>
          <w:u w:val="none"/>
        </w:rPr>
        <w:t>8.4</w:t>
      </w:r>
      <w:r>
        <w:rPr>
          <w:b w:val="0"/>
          <w:caps w:val="0"/>
          <w:u w:val="none"/>
        </w:rPr>
        <w:tab/>
      </w:r>
      <w:r w:rsidR="00EA7C35" w:rsidRPr="00F456FF">
        <w:rPr>
          <w:b w:val="0"/>
          <w:caps w:val="0"/>
          <w:u w:val="none"/>
        </w:rPr>
        <w:t xml:space="preserve">Consider new ways of working with local councils and other providers in the health and care system that maximises opportunities to </w:t>
      </w:r>
      <w:r w:rsidR="007C3EFC">
        <w:rPr>
          <w:b w:val="0"/>
          <w:caps w:val="0"/>
          <w:u w:val="none"/>
        </w:rPr>
        <w:t xml:space="preserve">reduce </w:t>
      </w:r>
      <w:r w:rsidR="00EA7C35" w:rsidRPr="00F456FF">
        <w:rPr>
          <w:b w:val="0"/>
          <w:caps w:val="0"/>
          <w:u w:val="none"/>
        </w:rPr>
        <w:t>health inequalities.</w:t>
      </w:r>
    </w:p>
    <w:p w:rsidR="00EA7C35" w:rsidRPr="00F456FF" w:rsidRDefault="009C7CF5" w:rsidP="00627AC2">
      <w:pPr>
        <w:pStyle w:val="ReportLevel1"/>
        <w:numPr>
          <w:ilvl w:val="0"/>
          <w:numId w:val="0"/>
        </w:numPr>
        <w:spacing w:line="276" w:lineRule="auto"/>
        <w:ind w:left="720" w:hanging="720"/>
        <w:jc w:val="both"/>
        <w:rPr>
          <w:b w:val="0"/>
          <w:u w:val="none"/>
        </w:rPr>
      </w:pPr>
      <w:r w:rsidRPr="009C7CF5">
        <w:rPr>
          <w:caps w:val="0"/>
          <w:u w:val="none"/>
        </w:rPr>
        <w:t>8.5</w:t>
      </w:r>
      <w:r>
        <w:rPr>
          <w:b w:val="0"/>
          <w:caps w:val="0"/>
          <w:u w:val="none"/>
        </w:rPr>
        <w:tab/>
      </w:r>
      <w:r w:rsidR="00EA7C35" w:rsidRPr="00F456FF">
        <w:rPr>
          <w:b w:val="0"/>
          <w:caps w:val="0"/>
          <w:u w:val="none"/>
        </w:rPr>
        <w:t>Explore opportunities to review and strengthen hospital discharge protocols to ensure effective joint care planning and co-ordination in delivery of comprehensive support packages including housing related assistance.</w:t>
      </w:r>
    </w:p>
    <w:p w:rsidR="00EA7C35" w:rsidRPr="00B957C3" w:rsidRDefault="009C7CF5" w:rsidP="00627AC2">
      <w:pPr>
        <w:pStyle w:val="ReportLevel1"/>
        <w:numPr>
          <w:ilvl w:val="0"/>
          <w:numId w:val="0"/>
        </w:numPr>
        <w:spacing w:line="276" w:lineRule="auto"/>
        <w:ind w:left="720" w:hanging="720"/>
        <w:jc w:val="both"/>
        <w:rPr>
          <w:b w:val="0"/>
          <w:u w:val="none"/>
        </w:rPr>
      </w:pPr>
      <w:r w:rsidRPr="009C7CF5">
        <w:rPr>
          <w:caps w:val="0"/>
          <w:u w:val="none"/>
        </w:rPr>
        <w:t>8.6</w:t>
      </w:r>
      <w:r>
        <w:rPr>
          <w:b w:val="0"/>
          <w:caps w:val="0"/>
          <w:u w:val="none"/>
        </w:rPr>
        <w:tab/>
      </w:r>
      <w:r w:rsidR="00EA7C35">
        <w:rPr>
          <w:b w:val="0"/>
          <w:caps w:val="0"/>
          <w:u w:val="none"/>
        </w:rPr>
        <w:t xml:space="preserve">Encourage </w:t>
      </w:r>
      <w:r w:rsidR="00EA7C35" w:rsidRPr="00B957C3">
        <w:rPr>
          <w:b w:val="0"/>
          <w:caps w:val="0"/>
          <w:u w:val="none"/>
        </w:rPr>
        <w:t>CCG representation on the project board of the Integration, Housing, Health and Social Care Project.</w:t>
      </w:r>
    </w:p>
    <w:p w:rsidR="00EA7C35" w:rsidRPr="00C60831" w:rsidRDefault="009C7CF5" w:rsidP="00627AC2">
      <w:pPr>
        <w:pStyle w:val="ReportLevel3"/>
        <w:numPr>
          <w:ilvl w:val="0"/>
          <w:numId w:val="0"/>
        </w:numPr>
        <w:spacing w:line="276" w:lineRule="auto"/>
        <w:ind w:left="720" w:hanging="720"/>
        <w:jc w:val="both"/>
      </w:pPr>
      <w:r>
        <w:rPr>
          <w:b/>
        </w:rPr>
        <w:t>8.7</w:t>
      </w:r>
      <w:r>
        <w:rPr>
          <w:b/>
        </w:rPr>
        <w:tab/>
      </w:r>
      <w:r w:rsidR="00EA7C35">
        <w:t>Explore opportunities for working with relevant strategic partnership groups and agencies (including the Kent Health and Wellbeing Board and Kent County Council), to mitigate against any negative impacts</w:t>
      </w:r>
    </w:p>
    <w:p w:rsidR="008674CF" w:rsidRPr="00E87D3C" w:rsidRDefault="008674CF" w:rsidP="00627AC2">
      <w:pPr>
        <w:pStyle w:val="ReportLevel3"/>
        <w:numPr>
          <w:ilvl w:val="0"/>
          <w:numId w:val="0"/>
        </w:numPr>
        <w:ind w:left="720" w:hanging="720"/>
        <w:jc w:val="both"/>
        <w:rPr>
          <w:rFonts w:cs="Arial"/>
          <w:szCs w:val="24"/>
        </w:rPr>
      </w:pPr>
    </w:p>
    <w:p w:rsidR="00A00D90" w:rsidRPr="00E87D3C" w:rsidRDefault="00434F6A" w:rsidP="00627AC2">
      <w:pPr>
        <w:pStyle w:val="ReportLevel3"/>
        <w:numPr>
          <w:ilvl w:val="0"/>
          <w:numId w:val="0"/>
        </w:numPr>
        <w:ind w:left="720" w:hanging="720"/>
        <w:jc w:val="both"/>
        <w:rPr>
          <w:rFonts w:cs="Arial"/>
          <w:szCs w:val="24"/>
          <w:u w:val="single"/>
        </w:rPr>
      </w:pPr>
      <w:r w:rsidRPr="00E87D3C">
        <w:rPr>
          <w:rFonts w:cs="Arial"/>
          <w:szCs w:val="24"/>
          <w:u w:val="single"/>
        </w:rPr>
        <w:t>Report Contributo</w:t>
      </w:r>
      <w:r w:rsidR="0073640D" w:rsidRPr="00E87D3C">
        <w:rPr>
          <w:rFonts w:cs="Arial"/>
          <w:szCs w:val="24"/>
          <w:u w:val="single"/>
        </w:rPr>
        <w:t>rs</w:t>
      </w:r>
      <w:r w:rsidR="00E87D3C" w:rsidRPr="00E87D3C">
        <w:rPr>
          <w:rFonts w:cs="Arial"/>
          <w:szCs w:val="24"/>
          <w:u w:val="single"/>
        </w:rPr>
        <w:t>:</w:t>
      </w:r>
    </w:p>
    <w:p w:rsidR="00E87D3C" w:rsidRPr="00E87D3C" w:rsidRDefault="00E87D3C" w:rsidP="00E87D3C">
      <w:pPr>
        <w:rPr>
          <w:rFonts w:cs="Arial"/>
          <w:szCs w:val="24"/>
        </w:rPr>
      </w:pPr>
      <w:r w:rsidRPr="00E87D3C">
        <w:rPr>
          <w:rFonts w:cs="Arial"/>
          <w:szCs w:val="24"/>
        </w:rPr>
        <w:t>Lesley Clay, Joint Planning Manager,</w:t>
      </w:r>
    </w:p>
    <w:p w:rsidR="00E87D3C" w:rsidRPr="00E87D3C" w:rsidRDefault="00E87D3C" w:rsidP="00E87D3C">
      <w:pPr>
        <w:rPr>
          <w:rFonts w:cs="Arial"/>
          <w:szCs w:val="24"/>
        </w:rPr>
      </w:pPr>
      <w:r w:rsidRPr="00E87D3C">
        <w:rPr>
          <w:rFonts w:cs="Arial"/>
          <w:szCs w:val="24"/>
        </w:rPr>
        <w:t>Joint Policy &amp; Planning Board</w:t>
      </w:r>
    </w:p>
    <w:p w:rsidR="00E87D3C" w:rsidRPr="00E87D3C" w:rsidRDefault="00E87D3C" w:rsidP="00E87D3C">
      <w:pPr>
        <w:rPr>
          <w:rFonts w:cs="Arial"/>
          <w:szCs w:val="24"/>
        </w:rPr>
      </w:pPr>
      <w:r w:rsidRPr="00E87D3C">
        <w:rPr>
          <w:rFonts w:cs="Arial"/>
          <w:szCs w:val="24"/>
        </w:rPr>
        <w:t xml:space="preserve"> </w:t>
      </w:r>
    </w:p>
    <w:p w:rsidR="00E87D3C" w:rsidRPr="00E87D3C" w:rsidRDefault="007C3EFC" w:rsidP="00E87D3C">
      <w:pPr>
        <w:rPr>
          <w:rFonts w:cs="Arial"/>
          <w:szCs w:val="24"/>
        </w:rPr>
      </w:pPr>
      <w:r>
        <w:rPr>
          <w:rFonts w:cs="Arial"/>
          <w:szCs w:val="24"/>
        </w:rPr>
        <w:t>Jerem</w:t>
      </w:r>
      <w:r w:rsidR="00E87D3C" w:rsidRPr="00E87D3C">
        <w:rPr>
          <w:rFonts w:cs="Arial"/>
          <w:szCs w:val="24"/>
        </w:rPr>
        <w:t xml:space="preserve">y Cross, Chief Officer </w:t>
      </w:r>
    </w:p>
    <w:p w:rsidR="00E87D3C" w:rsidRDefault="00E87D3C" w:rsidP="00E87D3C">
      <w:pPr>
        <w:rPr>
          <w:rFonts w:cs="Arial"/>
          <w:szCs w:val="24"/>
        </w:rPr>
      </w:pPr>
      <w:r w:rsidRPr="00E87D3C">
        <w:rPr>
          <w:rFonts w:cs="Arial"/>
          <w:szCs w:val="24"/>
        </w:rPr>
        <w:t xml:space="preserve">Tunbridge Wells &amp; District Citizens Advice Bureau </w:t>
      </w:r>
    </w:p>
    <w:p w:rsidR="007C3EFC" w:rsidRDefault="007C3EFC" w:rsidP="00E87D3C">
      <w:pPr>
        <w:rPr>
          <w:rFonts w:cs="Arial"/>
          <w:szCs w:val="24"/>
        </w:rPr>
      </w:pPr>
    </w:p>
    <w:p w:rsidR="001B140D" w:rsidRPr="00E87D3C" w:rsidRDefault="001B140D" w:rsidP="001B140D">
      <w:pPr>
        <w:rPr>
          <w:rFonts w:cs="Arial"/>
          <w:szCs w:val="24"/>
        </w:rPr>
      </w:pPr>
      <w:r w:rsidRPr="00E87D3C">
        <w:rPr>
          <w:rFonts w:cs="Arial"/>
          <w:szCs w:val="24"/>
        </w:rPr>
        <w:t>John Littlemore, Head of Housing and Community Services</w:t>
      </w:r>
    </w:p>
    <w:p w:rsidR="001B140D" w:rsidRPr="00E87D3C" w:rsidRDefault="001B140D" w:rsidP="001B140D">
      <w:pPr>
        <w:rPr>
          <w:rFonts w:cs="Arial"/>
          <w:szCs w:val="24"/>
        </w:rPr>
      </w:pPr>
      <w:r w:rsidRPr="00E87D3C">
        <w:rPr>
          <w:rFonts w:cs="Arial"/>
          <w:szCs w:val="24"/>
        </w:rPr>
        <w:t>Maidstone Borough Council</w:t>
      </w:r>
    </w:p>
    <w:p w:rsidR="001B140D" w:rsidRDefault="001B140D" w:rsidP="00E87D3C">
      <w:pPr>
        <w:rPr>
          <w:rFonts w:cs="Arial"/>
          <w:szCs w:val="24"/>
        </w:rPr>
      </w:pPr>
    </w:p>
    <w:p w:rsidR="007C3EFC" w:rsidRDefault="007C3EFC" w:rsidP="00E87D3C">
      <w:pPr>
        <w:rPr>
          <w:rFonts w:cs="Arial"/>
          <w:szCs w:val="24"/>
        </w:rPr>
      </w:pPr>
      <w:r>
        <w:rPr>
          <w:rFonts w:cs="Arial"/>
          <w:szCs w:val="24"/>
        </w:rPr>
        <w:t>Malti Varshney</w:t>
      </w:r>
    </w:p>
    <w:p w:rsidR="007C3EFC" w:rsidRPr="00E87D3C" w:rsidRDefault="007C3EFC" w:rsidP="00E87D3C">
      <w:pPr>
        <w:rPr>
          <w:rFonts w:cs="Arial"/>
          <w:szCs w:val="24"/>
        </w:rPr>
      </w:pPr>
      <w:r>
        <w:rPr>
          <w:rFonts w:cs="Arial"/>
          <w:szCs w:val="24"/>
        </w:rPr>
        <w:t>Consultant in Public Health</w:t>
      </w:r>
    </w:p>
    <w:p w:rsidR="00E87D3C" w:rsidRPr="00E87D3C" w:rsidRDefault="00E87D3C" w:rsidP="00E87D3C">
      <w:pPr>
        <w:pStyle w:val="ReportLevel3"/>
        <w:numPr>
          <w:ilvl w:val="0"/>
          <w:numId w:val="0"/>
        </w:numPr>
        <w:spacing w:after="0"/>
        <w:ind w:left="720" w:hanging="720"/>
        <w:jc w:val="both"/>
        <w:rPr>
          <w:rFonts w:cs="Arial"/>
          <w:szCs w:val="24"/>
        </w:rPr>
      </w:pPr>
    </w:p>
    <w:p w:rsidR="0073640D" w:rsidRPr="00E87D3C" w:rsidRDefault="0073640D" w:rsidP="00E87D3C">
      <w:pPr>
        <w:pStyle w:val="ReportLevel3"/>
        <w:numPr>
          <w:ilvl w:val="0"/>
          <w:numId w:val="0"/>
        </w:numPr>
        <w:spacing w:after="0" w:line="276" w:lineRule="auto"/>
        <w:ind w:left="720" w:hanging="720"/>
        <w:jc w:val="both"/>
        <w:rPr>
          <w:rFonts w:cs="Arial"/>
          <w:szCs w:val="24"/>
        </w:rPr>
      </w:pPr>
      <w:r w:rsidRPr="00E87D3C">
        <w:rPr>
          <w:rFonts w:cs="Arial"/>
          <w:szCs w:val="24"/>
        </w:rPr>
        <w:t>Yvonne Wilson</w:t>
      </w:r>
      <w:r w:rsidR="00E87D3C" w:rsidRPr="00E87D3C">
        <w:rPr>
          <w:rFonts w:cs="Arial"/>
          <w:szCs w:val="24"/>
        </w:rPr>
        <w:t>, Health &amp; Wellbeing Partnerships Officer</w:t>
      </w:r>
    </w:p>
    <w:p w:rsidR="00E87D3C" w:rsidRPr="00E87D3C" w:rsidRDefault="00E87D3C" w:rsidP="00E87D3C">
      <w:pPr>
        <w:pStyle w:val="ReportLevel3"/>
        <w:numPr>
          <w:ilvl w:val="0"/>
          <w:numId w:val="0"/>
        </w:numPr>
        <w:spacing w:after="0" w:line="276" w:lineRule="auto"/>
        <w:ind w:left="720" w:hanging="720"/>
        <w:jc w:val="both"/>
        <w:rPr>
          <w:rFonts w:cs="Arial"/>
          <w:szCs w:val="24"/>
        </w:rPr>
      </w:pPr>
      <w:r w:rsidRPr="00E87D3C">
        <w:rPr>
          <w:rFonts w:cs="Arial"/>
          <w:szCs w:val="24"/>
        </w:rPr>
        <w:t>NHS West Kent Clinical Commissioning Group</w:t>
      </w:r>
    </w:p>
    <w:p w:rsidR="00E87D3C" w:rsidRPr="00E87D3C" w:rsidRDefault="00E87D3C" w:rsidP="00E87D3C">
      <w:pPr>
        <w:rPr>
          <w:rFonts w:cs="Arial"/>
          <w:szCs w:val="24"/>
          <w:u w:val="single"/>
        </w:rPr>
      </w:pPr>
    </w:p>
    <w:p w:rsidR="00E87D3C" w:rsidRPr="00E87D3C" w:rsidRDefault="00E87D3C" w:rsidP="00E87D3C">
      <w:pPr>
        <w:rPr>
          <w:rFonts w:cs="Arial"/>
          <w:szCs w:val="24"/>
          <w:u w:val="single"/>
        </w:rPr>
      </w:pPr>
      <w:r w:rsidRPr="00E87D3C">
        <w:rPr>
          <w:rFonts w:cs="Arial"/>
          <w:szCs w:val="24"/>
          <w:u w:val="single"/>
        </w:rPr>
        <w:t>Comments received from:</w:t>
      </w:r>
    </w:p>
    <w:p w:rsidR="00E87D3C" w:rsidRPr="00E87D3C" w:rsidRDefault="00E87D3C" w:rsidP="00E87D3C">
      <w:pPr>
        <w:rPr>
          <w:rFonts w:cs="Arial"/>
          <w:szCs w:val="24"/>
        </w:rPr>
      </w:pPr>
    </w:p>
    <w:p w:rsidR="007C3EFC" w:rsidRPr="00E87D3C" w:rsidRDefault="007C3EFC" w:rsidP="007C3EFC">
      <w:pPr>
        <w:rPr>
          <w:rFonts w:cs="Arial"/>
          <w:szCs w:val="24"/>
        </w:rPr>
      </w:pPr>
      <w:r w:rsidRPr="00E87D3C">
        <w:rPr>
          <w:rFonts w:cs="Arial"/>
          <w:szCs w:val="24"/>
        </w:rPr>
        <w:t>Ka</w:t>
      </w:r>
      <w:r w:rsidR="001B140D">
        <w:rPr>
          <w:rFonts w:cs="Arial"/>
          <w:szCs w:val="24"/>
        </w:rPr>
        <w:t>ren</w:t>
      </w:r>
      <w:r w:rsidRPr="00E87D3C">
        <w:rPr>
          <w:rFonts w:cs="Arial"/>
          <w:szCs w:val="24"/>
        </w:rPr>
        <w:t xml:space="preserve"> Hardy, Public Health Specialist,</w:t>
      </w:r>
    </w:p>
    <w:p w:rsidR="007C3EFC" w:rsidRDefault="007C3EFC" w:rsidP="007C3EFC">
      <w:pPr>
        <w:rPr>
          <w:rFonts w:cs="Arial"/>
          <w:szCs w:val="24"/>
        </w:rPr>
      </w:pPr>
      <w:r w:rsidRPr="00E87D3C">
        <w:rPr>
          <w:rFonts w:cs="Arial"/>
          <w:szCs w:val="24"/>
        </w:rPr>
        <w:t>KCC Public Health</w:t>
      </w:r>
    </w:p>
    <w:p w:rsidR="007C3EFC" w:rsidRPr="00E87D3C" w:rsidRDefault="007C3EFC" w:rsidP="007C3EFC">
      <w:pPr>
        <w:rPr>
          <w:rFonts w:cs="Arial"/>
          <w:szCs w:val="24"/>
        </w:rPr>
      </w:pPr>
    </w:p>
    <w:p w:rsidR="00E87D3C" w:rsidRPr="00E87D3C" w:rsidRDefault="00E87D3C" w:rsidP="00E87D3C">
      <w:pPr>
        <w:rPr>
          <w:rFonts w:cs="Arial"/>
          <w:szCs w:val="24"/>
        </w:rPr>
      </w:pPr>
      <w:r w:rsidRPr="00E87D3C">
        <w:rPr>
          <w:rFonts w:cs="Arial"/>
          <w:szCs w:val="24"/>
        </w:rPr>
        <w:t xml:space="preserve">Kevin Hetherington, Head of Communities and Wellbeing, </w:t>
      </w:r>
    </w:p>
    <w:p w:rsidR="00E87D3C" w:rsidRPr="00E87D3C" w:rsidRDefault="00E87D3C" w:rsidP="00E87D3C">
      <w:pPr>
        <w:rPr>
          <w:rFonts w:cs="Arial"/>
          <w:szCs w:val="24"/>
        </w:rPr>
      </w:pPr>
      <w:r w:rsidRPr="00E87D3C">
        <w:rPr>
          <w:rFonts w:cs="Arial"/>
          <w:szCs w:val="24"/>
        </w:rPr>
        <w:t>T</w:t>
      </w:r>
      <w:r w:rsidR="001B140D">
        <w:rPr>
          <w:rFonts w:cs="Arial"/>
          <w:szCs w:val="24"/>
        </w:rPr>
        <w:t xml:space="preserve">unbridge </w:t>
      </w:r>
      <w:r w:rsidRPr="00E87D3C">
        <w:rPr>
          <w:rFonts w:cs="Arial"/>
          <w:szCs w:val="24"/>
        </w:rPr>
        <w:t>W</w:t>
      </w:r>
      <w:r w:rsidR="001B140D">
        <w:rPr>
          <w:rFonts w:cs="Arial"/>
          <w:szCs w:val="24"/>
        </w:rPr>
        <w:t xml:space="preserve">ells </w:t>
      </w:r>
      <w:r w:rsidRPr="00E87D3C">
        <w:rPr>
          <w:rFonts w:cs="Arial"/>
          <w:szCs w:val="24"/>
        </w:rPr>
        <w:t>B</w:t>
      </w:r>
      <w:r w:rsidR="001B140D">
        <w:rPr>
          <w:rFonts w:cs="Arial"/>
          <w:szCs w:val="24"/>
        </w:rPr>
        <w:t xml:space="preserve">orough </w:t>
      </w:r>
      <w:r w:rsidRPr="00E87D3C">
        <w:rPr>
          <w:rFonts w:cs="Arial"/>
          <w:szCs w:val="24"/>
        </w:rPr>
        <w:t>C</w:t>
      </w:r>
      <w:r w:rsidR="001B140D">
        <w:rPr>
          <w:rFonts w:cs="Arial"/>
          <w:szCs w:val="24"/>
        </w:rPr>
        <w:t>ouncil</w:t>
      </w:r>
    </w:p>
    <w:p w:rsidR="00E87D3C" w:rsidRPr="00E87D3C" w:rsidRDefault="00E87D3C" w:rsidP="00E87D3C">
      <w:pPr>
        <w:rPr>
          <w:rFonts w:cs="Arial"/>
          <w:szCs w:val="24"/>
        </w:rPr>
      </w:pPr>
    </w:p>
    <w:p w:rsidR="00E87D3C" w:rsidRPr="00E87D3C" w:rsidRDefault="00E87D3C" w:rsidP="00E87D3C">
      <w:pPr>
        <w:rPr>
          <w:rFonts w:cs="Arial"/>
          <w:szCs w:val="24"/>
        </w:rPr>
      </w:pPr>
      <w:r w:rsidRPr="00E87D3C">
        <w:rPr>
          <w:rFonts w:cs="Arial"/>
          <w:szCs w:val="24"/>
        </w:rPr>
        <w:t>Jo Tonkin, Public Health Specialist,</w:t>
      </w:r>
    </w:p>
    <w:p w:rsidR="00E87D3C" w:rsidRPr="00E87D3C" w:rsidRDefault="00E87D3C" w:rsidP="00E87D3C">
      <w:pPr>
        <w:rPr>
          <w:rFonts w:cs="Arial"/>
          <w:szCs w:val="24"/>
        </w:rPr>
      </w:pPr>
      <w:r w:rsidRPr="00E87D3C">
        <w:rPr>
          <w:rFonts w:cs="Arial"/>
          <w:szCs w:val="24"/>
        </w:rPr>
        <w:t>KCC Public Health</w:t>
      </w:r>
    </w:p>
    <w:p w:rsidR="0073640D" w:rsidRDefault="0073640D" w:rsidP="00627AC2">
      <w:pPr>
        <w:pStyle w:val="ReportLevel3"/>
        <w:numPr>
          <w:ilvl w:val="0"/>
          <w:numId w:val="0"/>
        </w:numPr>
        <w:ind w:left="720" w:hanging="720"/>
        <w:jc w:val="both"/>
      </w:pPr>
    </w:p>
    <w:p w:rsidR="00C831CB" w:rsidRDefault="00C831CB" w:rsidP="00627AC2">
      <w:pPr>
        <w:pStyle w:val="ReportLevel3"/>
        <w:numPr>
          <w:ilvl w:val="0"/>
          <w:numId w:val="0"/>
        </w:numPr>
        <w:jc w:val="both"/>
      </w:pPr>
    </w:p>
    <w:p w:rsidR="00B1065F" w:rsidRDefault="00B1065F" w:rsidP="00EA7C35">
      <w:pPr>
        <w:pStyle w:val="ReportLevel3"/>
        <w:numPr>
          <w:ilvl w:val="0"/>
          <w:numId w:val="0"/>
        </w:numPr>
      </w:pPr>
    </w:p>
    <w:p w:rsidR="00B1065F" w:rsidRDefault="00B1065F" w:rsidP="00EA7C35">
      <w:pPr>
        <w:pStyle w:val="ReportLevel3"/>
        <w:numPr>
          <w:ilvl w:val="0"/>
          <w:numId w:val="0"/>
        </w:numPr>
      </w:pPr>
    </w:p>
    <w:p w:rsidR="00EA7C35" w:rsidRPr="00EA7C35" w:rsidRDefault="00EA7C35" w:rsidP="007C3EFC">
      <w:pPr>
        <w:pStyle w:val="ReportLevel3"/>
        <w:numPr>
          <w:ilvl w:val="0"/>
          <w:numId w:val="0"/>
        </w:numPr>
        <w:tabs>
          <w:tab w:val="left" w:pos="1031"/>
        </w:tabs>
        <w:rPr>
          <w:rFonts w:eastAsiaTheme="minorHAnsi" w:cs="Arial"/>
          <w:b/>
          <w:szCs w:val="24"/>
        </w:rPr>
      </w:pPr>
      <w:r w:rsidRPr="00EA7C35">
        <w:rPr>
          <w:rFonts w:eastAsiaTheme="minorHAnsi" w:cs="Arial"/>
          <w:b/>
          <w:szCs w:val="24"/>
        </w:rPr>
        <w:t xml:space="preserve">Appendix </w:t>
      </w:r>
      <w:r w:rsidR="00295974">
        <w:rPr>
          <w:rFonts w:eastAsiaTheme="minorHAnsi" w:cs="Arial"/>
          <w:b/>
          <w:szCs w:val="24"/>
        </w:rPr>
        <w:t>1</w:t>
      </w:r>
    </w:p>
    <w:p w:rsidR="00EA7C35" w:rsidRPr="00EA7C35" w:rsidRDefault="00EA7C35" w:rsidP="00EA7C35">
      <w:pPr>
        <w:spacing w:after="200" w:line="276" w:lineRule="auto"/>
        <w:rPr>
          <w:rFonts w:eastAsiaTheme="minorHAnsi" w:cs="Arial"/>
          <w:b/>
          <w:szCs w:val="24"/>
        </w:rPr>
      </w:pPr>
      <w:r w:rsidRPr="00EA7C35">
        <w:rPr>
          <w:rFonts w:eastAsiaTheme="minorHAnsi" w:cs="Arial"/>
          <w:b/>
          <w:szCs w:val="24"/>
        </w:rPr>
        <w:t xml:space="preserve">Summary </w:t>
      </w:r>
    </w:p>
    <w:p w:rsidR="00EA7C35" w:rsidRPr="00EA7C35" w:rsidRDefault="00EA7C35" w:rsidP="00EA7C35">
      <w:pPr>
        <w:spacing w:after="200" w:line="276" w:lineRule="auto"/>
        <w:rPr>
          <w:rFonts w:eastAsiaTheme="minorHAnsi" w:cs="Arial"/>
          <w:szCs w:val="24"/>
        </w:rPr>
      </w:pPr>
      <w:r w:rsidRPr="00EA7C35">
        <w:rPr>
          <w:rFonts w:eastAsiaTheme="minorHAnsi" w:cs="Arial"/>
          <w:szCs w:val="24"/>
          <w:u w:val="single"/>
        </w:rPr>
        <w:t>Provisions of the Act</w:t>
      </w:r>
      <w:r w:rsidRPr="00EA7C35">
        <w:rPr>
          <w:rFonts w:eastAsiaTheme="minorHAnsi" w:cs="Arial"/>
          <w:szCs w:val="24"/>
        </w:rPr>
        <w:t>:</w:t>
      </w:r>
    </w:p>
    <w:p w:rsidR="00EA7C35" w:rsidRPr="00EA7C35" w:rsidRDefault="00EA7C35" w:rsidP="00EA7C35">
      <w:pPr>
        <w:numPr>
          <w:ilvl w:val="0"/>
          <w:numId w:val="4"/>
        </w:numPr>
        <w:spacing w:after="200" w:line="276" w:lineRule="auto"/>
        <w:ind w:left="1134"/>
        <w:rPr>
          <w:rFonts w:cs="Arial"/>
          <w:szCs w:val="24"/>
        </w:rPr>
      </w:pPr>
      <w:r w:rsidRPr="00EA7C35">
        <w:rPr>
          <w:rFonts w:cs="Arial"/>
          <w:szCs w:val="24"/>
        </w:rPr>
        <w:t>Lowering the benefit cap and varying it between London and the rest of the UK</w:t>
      </w:r>
    </w:p>
    <w:p w:rsidR="00EA7C35" w:rsidRPr="00EA7C35" w:rsidRDefault="00EA7C35" w:rsidP="00EA7C35">
      <w:pPr>
        <w:numPr>
          <w:ilvl w:val="0"/>
          <w:numId w:val="4"/>
        </w:numPr>
        <w:spacing w:after="200" w:line="276" w:lineRule="auto"/>
        <w:ind w:left="1134"/>
        <w:rPr>
          <w:rFonts w:cs="Arial"/>
          <w:szCs w:val="24"/>
        </w:rPr>
      </w:pPr>
      <w:r w:rsidRPr="00EA7C35">
        <w:rPr>
          <w:rFonts w:cs="Arial"/>
          <w:szCs w:val="24"/>
        </w:rPr>
        <w:t>A four year benefits freeze</w:t>
      </w:r>
    </w:p>
    <w:p w:rsidR="00EA7C35" w:rsidRPr="00EA7C35" w:rsidRDefault="00EA7C35" w:rsidP="00EA7C35">
      <w:pPr>
        <w:numPr>
          <w:ilvl w:val="0"/>
          <w:numId w:val="4"/>
        </w:numPr>
        <w:spacing w:after="200" w:line="276" w:lineRule="auto"/>
        <w:ind w:left="1134"/>
        <w:rPr>
          <w:rFonts w:cs="Arial"/>
          <w:szCs w:val="24"/>
        </w:rPr>
      </w:pPr>
      <w:r w:rsidRPr="00EA7C35">
        <w:rPr>
          <w:rFonts w:cs="Arial"/>
          <w:szCs w:val="24"/>
        </w:rPr>
        <w:t>Limiting support through Child Tax Credits/Universal Credit</w:t>
      </w:r>
    </w:p>
    <w:p w:rsidR="00EA7C35" w:rsidRPr="00EA7C35" w:rsidRDefault="00EA7C35" w:rsidP="00EA7C35">
      <w:pPr>
        <w:numPr>
          <w:ilvl w:val="0"/>
          <w:numId w:val="4"/>
        </w:numPr>
        <w:spacing w:after="200" w:line="276" w:lineRule="auto"/>
        <w:ind w:left="1134"/>
        <w:rPr>
          <w:rFonts w:cs="Arial"/>
          <w:szCs w:val="24"/>
        </w:rPr>
      </w:pPr>
      <w:r w:rsidRPr="00EA7C35">
        <w:rPr>
          <w:rFonts w:cs="Arial"/>
          <w:szCs w:val="24"/>
        </w:rPr>
        <w:t>Abolishing Employment and Support Allowance Work Related Activity Component</w:t>
      </w:r>
    </w:p>
    <w:p w:rsidR="00EA7C35" w:rsidRPr="00EA7C35" w:rsidRDefault="00EA7C35" w:rsidP="00EA7C35">
      <w:pPr>
        <w:numPr>
          <w:ilvl w:val="0"/>
          <w:numId w:val="4"/>
        </w:numPr>
        <w:spacing w:after="200" w:line="276" w:lineRule="auto"/>
        <w:ind w:left="1134"/>
        <w:rPr>
          <w:rFonts w:cs="Arial"/>
          <w:szCs w:val="24"/>
        </w:rPr>
      </w:pPr>
      <w:r w:rsidRPr="00EA7C35">
        <w:rPr>
          <w:rFonts w:cs="Arial"/>
          <w:szCs w:val="24"/>
        </w:rPr>
        <w:t>Changing Conditionality for responsible carers under Universal Credit</w:t>
      </w:r>
    </w:p>
    <w:p w:rsidR="00EA7C35" w:rsidRPr="00EA7C35" w:rsidRDefault="00EA7C35" w:rsidP="00EA7C35">
      <w:pPr>
        <w:numPr>
          <w:ilvl w:val="0"/>
          <w:numId w:val="4"/>
        </w:numPr>
        <w:spacing w:after="200" w:line="276" w:lineRule="auto"/>
        <w:ind w:left="1134"/>
        <w:rPr>
          <w:rFonts w:cs="Arial"/>
          <w:szCs w:val="24"/>
        </w:rPr>
      </w:pPr>
      <w:r w:rsidRPr="00EA7C35">
        <w:rPr>
          <w:rFonts w:cs="Arial"/>
          <w:szCs w:val="24"/>
        </w:rPr>
        <w:t>Replacing support for Mortgage Interest with Loans for Mortgage Interest</w:t>
      </w:r>
    </w:p>
    <w:p w:rsidR="00EA7C35" w:rsidRPr="00EA7C35" w:rsidRDefault="00EA7C35" w:rsidP="00EA7C35">
      <w:pPr>
        <w:numPr>
          <w:ilvl w:val="0"/>
          <w:numId w:val="4"/>
        </w:numPr>
        <w:spacing w:after="200" w:line="276" w:lineRule="auto"/>
        <w:ind w:left="1134"/>
        <w:rPr>
          <w:rFonts w:cs="Arial"/>
          <w:szCs w:val="24"/>
        </w:rPr>
      </w:pPr>
      <w:r w:rsidRPr="00EA7C35">
        <w:rPr>
          <w:rFonts w:cs="Arial"/>
          <w:szCs w:val="24"/>
        </w:rPr>
        <w:t>Reducing social housing rent levels by 1% in each year for four years from 2016-2017.</w:t>
      </w:r>
    </w:p>
    <w:p w:rsidR="00EA7C35" w:rsidRPr="00B1065F" w:rsidRDefault="00B1065F" w:rsidP="00EA7C35">
      <w:pPr>
        <w:spacing w:after="200" w:line="276" w:lineRule="auto"/>
        <w:rPr>
          <w:rFonts w:eastAsiaTheme="minorHAnsi" w:cs="Arial"/>
          <w:b/>
          <w:szCs w:val="24"/>
        </w:rPr>
      </w:pPr>
      <w:r w:rsidRPr="00B1065F">
        <w:rPr>
          <w:rFonts w:eastAsiaTheme="minorHAnsi" w:cs="Arial"/>
          <w:b/>
          <w:szCs w:val="24"/>
        </w:rPr>
        <w:t>Policy Context</w:t>
      </w:r>
    </w:p>
    <w:p w:rsidR="00EA7C35" w:rsidRPr="00EA7C35" w:rsidRDefault="00EA7C35" w:rsidP="00EA7C35">
      <w:pPr>
        <w:spacing w:after="240" w:line="276" w:lineRule="auto"/>
        <w:ind w:left="720" w:hanging="720"/>
        <w:rPr>
          <w:rFonts w:cs="Arial"/>
          <w:szCs w:val="24"/>
        </w:rPr>
      </w:pPr>
      <w:r w:rsidRPr="00EA7C35">
        <w:rPr>
          <w:rFonts w:cs="Arial"/>
          <w:szCs w:val="24"/>
          <w:u w:val="single"/>
        </w:rPr>
        <w:t>Principles which underpin the proposed housing and work related measures</w:t>
      </w:r>
      <w:r w:rsidRPr="00EA7C35">
        <w:rPr>
          <w:rFonts w:cs="Arial"/>
          <w:szCs w:val="24"/>
        </w:rPr>
        <w:t>:</w:t>
      </w:r>
    </w:p>
    <w:p w:rsidR="00EA7C35" w:rsidRPr="00EA7C35" w:rsidRDefault="00EA7C35" w:rsidP="00EA7C35">
      <w:pPr>
        <w:numPr>
          <w:ilvl w:val="0"/>
          <w:numId w:val="36"/>
        </w:numPr>
        <w:tabs>
          <w:tab w:val="left" w:pos="2880"/>
        </w:tabs>
        <w:spacing w:after="200" w:line="276" w:lineRule="auto"/>
        <w:contextualSpacing/>
        <w:rPr>
          <w:rFonts w:cs="Arial"/>
          <w:bCs/>
          <w:szCs w:val="24"/>
        </w:rPr>
      </w:pPr>
      <w:r w:rsidRPr="00EA7C35">
        <w:rPr>
          <w:rFonts w:cs="Arial"/>
          <w:bCs/>
          <w:szCs w:val="24"/>
        </w:rPr>
        <w:t>Preparing the long term unemployed for the world of work</w:t>
      </w:r>
    </w:p>
    <w:p w:rsidR="00EA7C35" w:rsidRPr="00EA7C35" w:rsidRDefault="00EA7C35" w:rsidP="00EA7C35">
      <w:pPr>
        <w:numPr>
          <w:ilvl w:val="0"/>
          <w:numId w:val="36"/>
        </w:numPr>
        <w:spacing w:after="200" w:line="276" w:lineRule="auto"/>
        <w:contextualSpacing/>
        <w:rPr>
          <w:rFonts w:cs="Arial"/>
          <w:szCs w:val="24"/>
        </w:rPr>
      </w:pPr>
      <w:r w:rsidRPr="00EA7C35">
        <w:rPr>
          <w:rFonts w:cs="Arial"/>
          <w:szCs w:val="24"/>
        </w:rPr>
        <w:t>Making it pay to work</w:t>
      </w:r>
    </w:p>
    <w:p w:rsidR="00EA7C35" w:rsidRPr="00EA7C35" w:rsidRDefault="00EA7C35" w:rsidP="00EA7C35">
      <w:pPr>
        <w:numPr>
          <w:ilvl w:val="0"/>
          <w:numId w:val="36"/>
        </w:numPr>
        <w:spacing w:after="200" w:line="276" w:lineRule="auto"/>
        <w:contextualSpacing/>
        <w:rPr>
          <w:rFonts w:cs="Arial"/>
          <w:szCs w:val="24"/>
        </w:rPr>
      </w:pPr>
      <w:r w:rsidRPr="00EA7C35">
        <w:rPr>
          <w:rFonts w:cs="Arial"/>
          <w:szCs w:val="24"/>
        </w:rPr>
        <w:t>That the benefit system has trapped people into welfare dependency</w:t>
      </w:r>
    </w:p>
    <w:p w:rsidR="00EA7C35" w:rsidRPr="00EA7C35" w:rsidRDefault="00EA7C35" w:rsidP="00EA7C35">
      <w:pPr>
        <w:numPr>
          <w:ilvl w:val="0"/>
          <w:numId w:val="36"/>
        </w:numPr>
        <w:autoSpaceDE w:val="0"/>
        <w:autoSpaceDN w:val="0"/>
        <w:adjustRightInd w:val="0"/>
        <w:spacing w:after="200" w:line="276" w:lineRule="auto"/>
        <w:contextualSpacing/>
        <w:rPr>
          <w:rFonts w:cs="Arial"/>
          <w:color w:val="000000"/>
          <w:szCs w:val="24"/>
          <w:lang w:eastAsia="en-GB"/>
        </w:rPr>
      </w:pPr>
      <w:r w:rsidRPr="00EA7C35">
        <w:rPr>
          <w:rFonts w:cs="Arial"/>
          <w:color w:val="000000"/>
          <w:szCs w:val="24"/>
          <w:lang w:eastAsia="en-GB"/>
        </w:rPr>
        <w:t xml:space="preserve">Helping one million more first-time buyers into home ownership in the next five years </w:t>
      </w:r>
    </w:p>
    <w:p w:rsidR="00EA7C35" w:rsidRPr="00EA7C35" w:rsidRDefault="00EA7C35" w:rsidP="00EA7C35">
      <w:pPr>
        <w:numPr>
          <w:ilvl w:val="0"/>
          <w:numId w:val="36"/>
        </w:numPr>
        <w:autoSpaceDE w:val="0"/>
        <w:autoSpaceDN w:val="0"/>
        <w:adjustRightInd w:val="0"/>
        <w:spacing w:after="200" w:line="276" w:lineRule="auto"/>
        <w:contextualSpacing/>
        <w:rPr>
          <w:rFonts w:cs="Arial"/>
          <w:color w:val="000000"/>
          <w:szCs w:val="24"/>
          <w:lang w:eastAsia="en-GB"/>
        </w:rPr>
      </w:pPr>
      <w:r w:rsidRPr="00EA7C35">
        <w:rPr>
          <w:rFonts w:cs="Arial"/>
          <w:color w:val="000000"/>
          <w:szCs w:val="24"/>
          <w:lang w:eastAsia="en-GB"/>
        </w:rPr>
        <w:t>Extending the Right To Buy including Help to Buy schemes</w:t>
      </w:r>
    </w:p>
    <w:p w:rsidR="00EA7C35" w:rsidRPr="00EA7C35" w:rsidRDefault="00EA7C35" w:rsidP="00EA7C35">
      <w:pPr>
        <w:numPr>
          <w:ilvl w:val="0"/>
          <w:numId w:val="36"/>
        </w:numPr>
        <w:autoSpaceDE w:val="0"/>
        <w:autoSpaceDN w:val="0"/>
        <w:adjustRightInd w:val="0"/>
        <w:spacing w:after="200" w:line="276" w:lineRule="auto"/>
        <w:contextualSpacing/>
        <w:rPr>
          <w:rFonts w:cs="Arial"/>
          <w:color w:val="000000"/>
          <w:szCs w:val="24"/>
          <w:lang w:eastAsia="en-GB"/>
        </w:rPr>
      </w:pPr>
      <w:r w:rsidRPr="00EA7C35">
        <w:rPr>
          <w:rFonts w:cs="Arial"/>
          <w:color w:val="000000"/>
          <w:szCs w:val="24"/>
          <w:lang w:eastAsia="en-GB"/>
        </w:rPr>
        <w:t>Non – interventionist stance</w:t>
      </w:r>
    </w:p>
    <w:p w:rsidR="00EA7C35" w:rsidRPr="00EA7C35" w:rsidRDefault="00EA7C35" w:rsidP="00EA7C35">
      <w:pPr>
        <w:numPr>
          <w:ilvl w:val="0"/>
          <w:numId w:val="36"/>
        </w:numPr>
        <w:autoSpaceDE w:val="0"/>
        <w:autoSpaceDN w:val="0"/>
        <w:adjustRightInd w:val="0"/>
        <w:spacing w:after="200" w:line="276" w:lineRule="auto"/>
        <w:contextualSpacing/>
        <w:rPr>
          <w:rFonts w:cs="Arial"/>
          <w:color w:val="000000"/>
          <w:szCs w:val="24"/>
          <w:lang w:eastAsia="en-GB"/>
        </w:rPr>
      </w:pPr>
      <w:r w:rsidRPr="00EA7C35">
        <w:rPr>
          <w:rFonts w:eastAsiaTheme="minorHAnsi" w:cs="Arial"/>
          <w:color w:val="000000"/>
          <w:szCs w:val="24"/>
          <w:lang w:eastAsia="en-GB"/>
        </w:rPr>
        <w:t>Government estimates that the new measures account for around 70% of the £12-13 billion in welfare savings identified in the Summer Budget 2015</w:t>
      </w:r>
    </w:p>
    <w:p w:rsidR="00EA7C35" w:rsidRPr="00EA7C35" w:rsidRDefault="00EA7C35" w:rsidP="00EA7C35">
      <w:pPr>
        <w:autoSpaceDE w:val="0"/>
        <w:autoSpaceDN w:val="0"/>
        <w:adjustRightInd w:val="0"/>
        <w:spacing w:line="276" w:lineRule="auto"/>
        <w:rPr>
          <w:rFonts w:cs="Arial"/>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A25589" w:rsidRDefault="00A25589" w:rsidP="00EA7C35">
      <w:pPr>
        <w:autoSpaceDE w:val="0"/>
        <w:autoSpaceDN w:val="0"/>
        <w:adjustRightInd w:val="0"/>
        <w:spacing w:line="276" w:lineRule="auto"/>
        <w:rPr>
          <w:rFonts w:cs="Arial"/>
          <w:b/>
          <w:color w:val="000000"/>
          <w:szCs w:val="24"/>
          <w:lang w:eastAsia="en-GB"/>
        </w:rPr>
      </w:pPr>
    </w:p>
    <w:p w:rsidR="00434F6A" w:rsidRDefault="00434F6A" w:rsidP="00EA7C35">
      <w:pPr>
        <w:autoSpaceDE w:val="0"/>
        <w:autoSpaceDN w:val="0"/>
        <w:adjustRightInd w:val="0"/>
        <w:spacing w:line="276" w:lineRule="auto"/>
        <w:rPr>
          <w:rFonts w:cs="Arial"/>
          <w:b/>
          <w:color w:val="000000"/>
          <w:szCs w:val="24"/>
          <w:lang w:eastAsia="en-GB"/>
        </w:rPr>
      </w:pPr>
    </w:p>
    <w:p w:rsidR="00EA7C35" w:rsidRDefault="00295974" w:rsidP="00EA7C35">
      <w:pPr>
        <w:autoSpaceDE w:val="0"/>
        <w:autoSpaceDN w:val="0"/>
        <w:adjustRightInd w:val="0"/>
        <w:spacing w:line="276" w:lineRule="auto"/>
        <w:rPr>
          <w:rFonts w:cs="Arial"/>
          <w:b/>
          <w:color w:val="000000"/>
          <w:szCs w:val="24"/>
          <w:lang w:eastAsia="en-GB"/>
        </w:rPr>
      </w:pPr>
      <w:r w:rsidRPr="00295974">
        <w:rPr>
          <w:rFonts w:cs="Arial"/>
          <w:b/>
          <w:color w:val="000000"/>
          <w:szCs w:val="24"/>
          <w:lang w:eastAsia="en-GB"/>
        </w:rPr>
        <w:t>Appendix 2</w:t>
      </w:r>
    </w:p>
    <w:p w:rsidR="00B1065F" w:rsidRDefault="00B1065F" w:rsidP="00EA7C35">
      <w:pPr>
        <w:autoSpaceDE w:val="0"/>
        <w:autoSpaceDN w:val="0"/>
        <w:adjustRightInd w:val="0"/>
        <w:spacing w:line="276" w:lineRule="auto"/>
        <w:rPr>
          <w:rFonts w:cs="Arial"/>
          <w:b/>
          <w:color w:val="000000"/>
          <w:szCs w:val="24"/>
          <w:lang w:eastAsia="en-GB"/>
        </w:rPr>
      </w:pPr>
    </w:p>
    <w:p w:rsidR="00B1065F" w:rsidRPr="00295974" w:rsidRDefault="00B1065F" w:rsidP="00EA7C35">
      <w:pPr>
        <w:autoSpaceDE w:val="0"/>
        <w:autoSpaceDN w:val="0"/>
        <w:adjustRightInd w:val="0"/>
        <w:spacing w:line="276" w:lineRule="auto"/>
        <w:rPr>
          <w:rFonts w:cs="Arial"/>
          <w:b/>
          <w:color w:val="000000"/>
          <w:szCs w:val="24"/>
          <w:lang w:eastAsia="en-GB"/>
        </w:rPr>
      </w:pPr>
      <w:r>
        <w:rPr>
          <w:rFonts w:cs="Arial"/>
          <w:b/>
          <w:color w:val="000000"/>
          <w:szCs w:val="24"/>
          <w:lang w:eastAsia="en-GB"/>
        </w:rPr>
        <w:t>Work Related Measures</w:t>
      </w:r>
    </w:p>
    <w:p w:rsidR="00A25589" w:rsidRDefault="00A25589" w:rsidP="00295974">
      <w:pPr>
        <w:tabs>
          <w:tab w:val="left" w:pos="2880"/>
        </w:tabs>
        <w:spacing w:after="240" w:line="276" w:lineRule="auto"/>
        <w:ind w:left="720" w:hanging="720"/>
        <w:rPr>
          <w:bCs/>
        </w:rPr>
      </w:pPr>
    </w:p>
    <w:p w:rsidR="00295974" w:rsidRPr="00627AC2" w:rsidRDefault="00295974" w:rsidP="00627AC2">
      <w:pPr>
        <w:pStyle w:val="ListParagraph"/>
        <w:numPr>
          <w:ilvl w:val="0"/>
          <w:numId w:val="40"/>
        </w:numPr>
        <w:tabs>
          <w:tab w:val="left" w:pos="2880"/>
        </w:tabs>
        <w:spacing w:after="240"/>
        <w:jc w:val="both"/>
        <w:rPr>
          <w:rFonts w:ascii="Arial" w:hAnsi="Arial" w:cs="Arial"/>
          <w:sz w:val="24"/>
          <w:szCs w:val="24"/>
        </w:rPr>
      </w:pPr>
      <w:r w:rsidRPr="00627AC2">
        <w:rPr>
          <w:rFonts w:ascii="Arial" w:hAnsi="Arial" w:cs="Arial"/>
          <w:bCs/>
          <w:sz w:val="24"/>
          <w:szCs w:val="24"/>
        </w:rPr>
        <w:t>It is argued that there is clear evidence that people benefit from being in some kind of regular work and that for those with health issues it</w:t>
      </w:r>
      <w:r w:rsidRPr="00627AC2">
        <w:rPr>
          <w:rFonts w:ascii="Arial" w:hAnsi="Arial" w:cs="Arial"/>
          <w:sz w:val="24"/>
          <w:szCs w:val="24"/>
        </w:rPr>
        <w:t xml:space="preserve"> improves mental and physical health and can aid recovery</w:t>
      </w:r>
      <w:r w:rsidR="00B1065F" w:rsidRPr="00627AC2">
        <w:rPr>
          <w:rFonts w:ascii="Arial" w:hAnsi="Arial" w:cs="Arial"/>
          <w:sz w:val="24"/>
          <w:szCs w:val="24"/>
        </w:rPr>
        <w:t>.</w:t>
      </w:r>
      <w:r w:rsidRPr="00627AC2">
        <w:rPr>
          <w:rFonts w:ascii="Arial" w:hAnsi="Arial" w:cs="Arial"/>
          <w:sz w:val="24"/>
          <w:szCs w:val="24"/>
          <w:vertAlign w:val="superscript"/>
        </w:rPr>
        <w:t>3</w:t>
      </w:r>
      <w:r w:rsidRPr="00627AC2">
        <w:rPr>
          <w:rFonts w:ascii="Arial" w:hAnsi="Arial" w:cs="Arial"/>
          <w:sz w:val="24"/>
          <w:szCs w:val="24"/>
        </w:rPr>
        <w:t xml:space="preserve"> </w:t>
      </w:r>
      <w:r w:rsidRPr="00627AC2">
        <w:rPr>
          <w:rFonts w:ascii="Arial" w:hAnsi="Arial" w:cs="Arial"/>
          <w:sz w:val="24"/>
          <w:szCs w:val="24"/>
          <w:vertAlign w:val="superscript"/>
        </w:rPr>
        <w:t xml:space="preserve"> </w:t>
      </w:r>
      <w:r w:rsidRPr="00627AC2">
        <w:rPr>
          <w:rFonts w:ascii="Arial" w:hAnsi="Arial" w:cs="Arial"/>
          <w:sz w:val="24"/>
          <w:szCs w:val="24"/>
        </w:rPr>
        <w:t>It is also suggested that once someone has been on Incapacity Benefit for 2 years they are more likely to retire or die than to move into employment.</w:t>
      </w:r>
      <w:r w:rsidRPr="00627AC2">
        <w:rPr>
          <w:rFonts w:ascii="Arial" w:hAnsi="Arial" w:cs="Arial"/>
          <w:sz w:val="24"/>
          <w:szCs w:val="24"/>
          <w:vertAlign w:val="superscript"/>
        </w:rPr>
        <w:t>4</w:t>
      </w:r>
      <w:r w:rsidRPr="00627AC2">
        <w:rPr>
          <w:rFonts w:ascii="Arial" w:hAnsi="Arial" w:cs="Arial"/>
          <w:sz w:val="24"/>
          <w:szCs w:val="24"/>
        </w:rPr>
        <w:t xml:space="preserve"> In addition, it is argued that many claimants develop mental health issues as a secondary health issue after a period of time on Employment and Support Allowance.</w:t>
      </w:r>
    </w:p>
    <w:p w:rsidR="00A25589" w:rsidRPr="00627AC2" w:rsidRDefault="00A25589" w:rsidP="00627AC2">
      <w:pPr>
        <w:pStyle w:val="ListParagraph"/>
        <w:tabs>
          <w:tab w:val="left" w:pos="2880"/>
        </w:tabs>
        <w:spacing w:after="240"/>
        <w:jc w:val="both"/>
        <w:rPr>
          <w:rFonts w:ascii="Arial" w:hAnsi="Arial" w:cs="Arial"/>
          <w:sz w:val="24"/>
          <w:szCs w:val="24"/>
        </w:rPr>
      </w:pPr>
    </w:p>
    <w:p w:rsidR="00295974" w:rsidRPr="00627AC2" w:rsidRDefault="00295974" w:rsidP="00627AC2">
      <w:pPr>
        <w:pStyle w:val="ListParagraph"/>
        <w:numPr>
          <w:ilvl w:val="0"/>
          <w:numId w:val="40"/>
        </w:numPr>
        <w:tabs>
          <w:tab w:val="left" w:pos="2880"/>
        </w:tabs>
        <w:spacing w:after="240"/>
        <w:jc w:val="both"/>
        <w:rPr>
          <w:rFonts w:ascii="Arial" w:hAnsi="Arial" w:cs="Arial"/>
          <w:sz w:val="24"/>
          <w:szCs w:val="24"/>
        </w:rPr>
      </w:pPr>
      <w:r w:rsidRPr="00627AC2">
        <w:rPr>
          <w:rFonts w:ascii="Arial" w:hAnsi="Arial" w:cs="Arial"/>
          <w:sz w:val="24"/>
          <w:szCs w:val="24"/>
        </w:rPr>
        <w:t>Evidence supporting the introduction of the new Fit Note in 2013 indicated that patients are happy for their GP to give them advice on work issues</w:t>
      </w:r>
      <w:r w:rsidRPr="00627AC2">
        <w:rPr>
          <w:rFonts w:ascii="Arial" w:hAnsi="Arial" w:cs="Arial"/>
          <w:sz w:val="24"/>
          <w:szCs w:val="24"/>
          <w:vertAlign w:val="superscript"/>
        </w:rPr>
        <w:t>5</w:t>
      </w:r>
      <w:r w:rsidRPr="00627AC2">
        <w:rPr>
          <w:rFonts w:ascii="Arial" w:hAnsi="Arial" w:cs="Arial"/>
          <w:sz w:val="24"/>
          <w:szCs w:val="24"/>
        </w:rPr>
        <w:t>,  and do not feel that this threatens the doctor-patient relationship</w:t>
      </w:r>
      <w:r w:rsidRPr="00627AC2">
        <w:rPr>
          <w:rFonts w:ascii="Arial" w:hAnsi="Arial" w:cs="Arial"/>
          <w:sz w:val="24"/>
          <w:szCs w:val="24"/>
          <w:vertAlign w:val="superscript"/>
        </w:rPr>
        <w:t>6</w:t>
      </w:r>
      <w:r w:rsidRPr="00627AC2">
        <w:rPr>
          <w:rFonts w:ascii="Arial" w:hAnsi="Arial" w:cs="Arial"/>
          <w:sz w:val="24"/>
          <w:szCs w:val="24"/>
        </w:rPr>
        <w:t>.  It is also suggested that:</w:t>
      </w:r>
    </w:p>
    <w:p w:rsidR="00295974" w:rsidRPr="00627AC2" w:rsidRDefault="00295974" w:rsidP="00627AC2">
      <w:pPr>
        <w:numPr>
          <w:ilvl w:val="0"/>
          <w:numId w:val="9"/>
        </w:numPr>
        <w:spacing w:after="200" w:line="276" w:lineRule="auto"/>
        <w:contextualSpacing/>
        <w:jc w:val="both"/>
        <w:rPr>
          <w:rFonts w:eastAsiaTheme="minorHAnsi" w:cs="Arial"/>
          <w:szCs w:val="24"/>
        </w:rPr>
      </w:pPr>
      <w:r w:rsidRPr="00627AC2">
        <w:rPr>
          <w:rFonts w:eastAsiaTheme="minorHAnsi" w:cs="Arial"/>
          <w:szCs w:val="24"/>
        </w:rPr>
        <w:t xml:space="preserve">most GPs agree that work is generally beneficial for health, and that they play an important role in helping patients return to work </w:t>
      </w:r>
      <w:r w:rsidRPr="00627AC2">
        <w:rPr>
          <w:rFonts w:eastAsiaTheme="minorHAnsi" w:cs="Arial"/>
          <w:szCs w:val="24"/>
          <w:vertAlign w:val="superscript"/>
        </w:rPr>
        <w:t>7</w:t>
      </w:r>
      <w:r w:rsidRPr="00627AC2">
        <w:rPr>
          <w:rFonts w:eastAsiaTheme="minorHAnsi" w:cs="Arial"/>
          <w:szCs w:val="24"/>
        </w:rPr>
        <w:t xml:space="preserve">. </w:t>
      </w:r>
    </w:p>
    <w:p w:rsidR="00295974" w:rsidRPr="00627AC2" w:rsidRDefault="00295974" w:rsidP="00627AC2">
      <w:pPr>
        <w:numPr>
          <w:ilvl w:val="0"/>
          <w:numId w:val="9"/>
        </w:numPr>
        <w:spacing w:after="200" w:line="276" w:lineRule="auto"/>
        <w:contextualSpacing/>
        <w:jc w:val="both"/>
        <w:rPr>
          <w:rFonts w:eastAsiaTheme="minorHAnsi" w:cs="Arial"/>
          <w:szCs w:val="24"/>
        </w:rPr>
      </w:pPr>
      <w:r w:rsidRPr="00627AC2">
        <w:rPr>
          <w:rFonts w:eastAsiaTheme="minorHAnsi" w:cs="Arial"/>
          <w:szCs w:val="24"/>
        </w:rPr>
        <w:t>appropriate work is generally good for physical and mental health</w:t>
      </w:r>
      <w:r w:rsidRPr="00627AC2">
        <w:rPr>
          <w:rFonts w:eastAsiaTheme="minorHAnsi" w:cs="Arial"/>
          <w:szCs w:val="24"/>
          <w:vertAlign w:val="superscript"/>
        </w:rPr>
        <w:t>8</w:t>
      </w:r>
      <w:r w:rsidRPr="00627AC2">
        <w:rPr>
          <w:rFonts w:eastAsiaTheme="minorHAnsi" w:cs="Arial"/>
          <w:szCs w:val="24"/>
        </w:rPr>
        <w:t xml:space="preserve"> and people do not have to be 100% fit in order to work in most cases </w:t>
      </w:r>
      <w:r w:rsidRPr="00627AC2">
        <w:rPr>
          <w:rFonts w:eastAsiaTheme="minorHAnsi" w:cs="Arial"/>
          <w:szCs w:val="24"/>
          <w:vertAlign w:val="superscript"/>
        </w:rPr>
        <w:t>9</w:t>
      </w:r>
      <w:r w:rsidRPr="00627AC2">
        <w:rPr>
          <w:rFonts w:eastAsiaTheme="minorHAnsi" w:cs="Arial"/>
          <w:szCs w:val="24"/>
        </w:rPr>
        <w:t xml:space="preserve">. The longer a patient is off work the lower their chances are of making any return to work. </w:t>
      </w:r>
      <w:r w:rsidRPr="00627AC2">
        <w:rPr>
          <w:rFonts w:eastAsiaTheme="minorHAnsi" w:cs="Arial"/>
          <w:szCs w:val="24"/>
          <w:vertAlign w:val="superscript"/>
        </w:rPr>
        <w:t xml:space="preserve">10 </w:t>
      </w:r>
      <w:r w:rsidRPr="00627AC2">
        <w:rPr>
          <w:rFonts w:eastAsiaTheme="minorHAnsi" w:cs="Arial"/>
          <w:szCs w:val="24"/>
        </w:rPr>
        <w:t xml:space="preserve"> </w:t>
      </w:r>
    </w:p>
    <w:p w:rsidR="00EA7C35" w:rsidRDefault="00EA7C35" w:rsidP="00EA7C35">
      <w:pPr>
        <w:autoSpaceDE w:val="0"/>
        <w:autoSpaceDN w:val="0"/>
        <w:adjustRightInd w:val="0"/>
        <w:spacing w:line="276" w:lineRule="auto"/>
        <w:rPr>
          <w:rFonts w:cs="Arial"/>
          <w:b/>
          <w:color w:val="000000"/>
          <w:szCs w:val="24"/>
          <w:lang w:eastAsia="en-GB"/>
        </w:rPr>
      </w:pPr>
    </w:p>
    <w:p w:rsidR="00EA7C35" w:rsidRDefault="00EA7C35" w:rsidP="00EA7C35">
      <w:pPr>
        <w:autoSpaceDE w:val="0"/>
        <w:autoSpaceDN w:val="0"/>
        <w:adjustRightInd w:val="0"/>
        <w:spacing w:line="276" w:lineRule="auto"/>
        <w:rPr>
          <w:rFonts w:cs="Arial"/>
          <w:b/>
          <w:color w:val="000000"/>
          <w:szCs w:val="24"/>
          <w:lang w:eastAsia="en-GB"/>
        </w:rPr>
      </w:pPr>
    </w:p>
    <w:p w:rsidR="00295974" w:rsidRPr="00295974" w:rsidRDefault="00295974" w:rsidP="00295974">
      <w:pPr>
        <w:pStyle w:val="ReportLevel3"/>
        <w:numPr>
          <w:ilvl w:val="0"/>
          <w:numId w:val="0"/>
        </w:numPr>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295974">
      <w:pPr>
        <w:pStyle w:val="ListBullet"/>
        <w:rPr>
          <w:b/>
        </w:rPr>
      </w:pPr>
    </w:p>
    <w:p w:rsidR="0093669F" w:rsidRDefault="0093669F" w:rsidP="0093669F">
      <w:pPr>
        <w:autoSpaceDE w:val="0"/>
        <w:autoSpaceDN w:val="0"/>
        <w:adjustRightInd w:val="0"/>
        <w:spacing w:line="276" w:lineRule="auto"/>
        <w:rPr>
          <w:rFonts w:cs="Arial"/>
          <w:b/>
          <w:color w:val="000000"/>
          <w:szCs w:val="24"/>
          <w:lang w:eastAsia="en-GB"/>
        </w:rPr>
      </w:pPr>
      <w:r>
        <w:rPr>
          <w:rFonts w:cs="Arial"/>
          <w:b/>
          <w:color w:val="000000"/>
          <w:szCs w:val="24"/>
          <w:lang w:eastAsia="en-GB"/>
        </w:rPr>
        <w:t>Appendix 3</w:t>
      </w:r>
    </w:p>
    <w:p w:rsidR="0093669F" w:rsidRDefault="0093669F" w:rsidP="0093669F">
      <w:pPr>
        <w:autoSpaceDE w:val="0"/>
        <w:autoSpaceDN w:val="0"/>
        <w:adjustRightInd w:val="0"/>
        <w:spacing w:line="276" w:lineRule="auto"/>
        <w:rPr>
          <w:rFonts w:cs="Arial"/>
          <w:b/>
          <w:color w:val="000000"/>
          <w:szCs w:val="24"/>
          <w:lang w:eastAsia="en-GB"/>
        </w:rPr>
      </w:pPr>
    </w:p>
    <w:p w:rsidR="0093669F" w:rsidRPr="00EA7C35" w:rsidRDefault="0093669F" w:rsidP="0093669F">
      <w:pPr>
        <w:autoSpaceDE w:val="0"/>
        <w:autoSpaceDN w:val="0"/>
        <w:adjustRightInd w:val="0"/>
        <w:spacing w:line="276" w:lineRule="auto"/>
        <w:rPr>
          <w:rFonts w:cs="Arial"/>
          <w:b/>
          <w:color w:val="000000"/>
          <w:szCs w:val="24"/>
          <w:lang w:eastAsia="en-GB"/>
        </w:rPr>
      </w:pPr>
      <w:r w:rsidRPr="00EA7C35">
        <w:rPr>
          <w:rFonts w:cs="Arial"/>
          <w:b/>
          <w:color w:val="000000"/>
          <w:szCs w:val="24"/>
          <w:lang w:eastAsia="en-GB"/>
        </w:rPr>
        <w:t>Housing and Planning Bill Measures</w:t>
      </w:r>
    </w:p>
    <w:p w:rsidR="0093669F" w:rsidRPr="00EA7C35" w:rsidRDefault="0093669F" w:rsidP="0093669F">
      <w:pPr>
        <w:autoSpaceDE w:val="0"/>
        <w:autoSpaceDN w:val="0"/>
        <w:adjustRightInd w:val="0"/>
        <w:spacing w:line="276" w:lineRule="auto"/>
        <w:rPr>
          <w:rFonts w:cs="Arial"/>
          <w:b/>
          <w:color w:val="000000"/>
          <w:szCs w:val="24"/>
          <w:u w:val="single"/>
          <w:lang w:eastAsia="en-GB"/>
        </w:rPr>
      </w:pPr>
    </w:p>
    <w:p w:rsidR="0093669F" w:rsidRPr="00EA7C35" w:rsidRDefault="0093669F" w:rsidP="0093669F">
      <w:pPr>
        <w:rPr>
          <w:rFonts w:cs="Arial"/>
          <w:szCs w:val="24"/>
          <w:u w:val="single"/>
        </w:rPr>
      </w:pPr>
      <w:r w:rsidRPr="00EA7C35">
        <w:rPr>
          <w:rFonts w:cs="Arial"/>
          <w:szCs w:val="24"/>
          <w:u w:val="single"/>
        </w:rPr>
        <w:t>Changes to the Definition of Affordable Housing</w:t>
      </w:r>
      <w:r w:rsidRPr="00EA7C35">
        <w:rPr>
          <w:rFonts w:cs="Arial"/>
          <w:szCs w:val="24"/>
        </w:rPr>
        <w:t>:</w:t>
      </w:r>
    </w:p>
    <w:p w:rsidR="0093669F" w:rsidRPr="00EA7C35" w:rsidRDefault="0093669F" w:rsidP="0093669F">
      <w:pPr>
        <w:autoSpaceDE w:val="0"/>
        <w:autoSpaceDN w:val="0"/>
        <w:adjustRightInd w:val="0"/>
        <w:spacing w:line="276" w:lineRule="auto"/>
        <w:rPr>
          <w:rFonts w:cs="Arial"/>
          <w:color w:val="000000"/>
          <w:szCs w:val="24"/>
          <w:lang w:eastAsia="en-GB"/>
        </w:rPr>
      </w:pPr>
    </w:p>
    <w:p w:rsidR="0093669F" w:rsidRPr="00627AC2" w:rsidRDefault="0093669F" w:rsidP="0093669F">
      <w:pPr>
        <w:spacing w:line="276" w:lineRule="auto"/>
        <w:ind w:firstLine="720"/>
        <w:rPr>
          <w:rFonts w:cs="Arial"/>
          <w:szCs w:val="24"/>
          <w:u w:val="single"/>
        </w:rPr>
      </w:pPr>
    </w:p>
    <w:p w:rsidR="0093669F"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 xml:space="preserve">The current definition of affordable housing for planning purposes is set out in the National Planning Policy Framework and includes social rented, affordable rented and intermediate housing for sale (including shared equity and shared ownership models), provided to eligible households whose needs are not met by the market. The definition includes a requirement that the housing should remain affordable or for the subsidy to be recycled for alternative affordable housing provision. </w:t>
      </w:r>
    </w:p>
    <w:p w:rsidR="00627AC2" w:rsidRPr="00627AC2" w:rsidRDefault="00627AC2" w:rsidP="00627AC2">
      <w:pPr>
        <w:pStyle w:val="ListParagraph"/>
        <w:spacing w:after="240"/>
        <w:jc w:val="both"/>
        <w:rPr>
          <w:rFonts w:ascii="Arial" w:hAnsi="Arial" w:cs="Arial"/>
          <w:sz w:val="24"/>
          <w:szCs w:val="24"/>
        </w:rPr>
      </w:pPr>
    </w:p>
    <w:p w:rsidR="0093669F"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 xml:space="preserve">In short, there will be very few new affordable rented homes being delivered on new housing developments as the emphasis will shift to starter homes. </w:t>
      </w:r>
    </w:p>
    <w:p w:rsidR="0093669F" w:rsidRPr="00627AC2" w:rsidRDefault="0093669F" w:rsidP="00627AC2">
      <w:pPr>
        <w:spacing w:after="240" w:line="276" w:lineRule="auto"/>
        <w:ind w:left="720" w:hanging="720"/>
        <w:jc w:val="both"/>
        <w:rPr>
          <w:rFonts w:cs="Arial"/>
          <w:color w:val="000000"/>
          <w:szCs w:val="24"/>
          <w:lang w:eastAsia="en-GB"/>
        </w:rPr>
      </w:pPr>
      <w:r w:rsidRPr="00627AC2">
        <w:rPr>
          <w:rFonts w:cs="Arial"/>
          <w:szCs w:val="24"/>
          <w:u w:val="single"/>
        </w:rPr>
        <w:t>Starter Homes</w:t>
      </w:r>
      <w:r w:rsidRPr="00627AC2">
        <w:rPr>
          <w:rFonts w:cs="Arial"/>
          <w:szCs w:val="24"/>
        </w:rPr>
        <w:t>:</w:t>
      </w:r>
      <w:r w:rsidRPr="00627AC2">
        <w:rPr>
          <w:rFonts w:cs="Arial"/>
          <w:szCs w:val="24"/>
          <w:u w:val="single"/>
        </w:rPr>
        <w:t xml:space="preserve"> </w:t>
      </w:r>
      <w:r w:rsidRPr="00627AC2">
        <w:rPr>
          <w:rFonts w:cs="Arial"/>
          <w:color w:val="000000"/>
          <w:szCs w:val="24"/>
          <w:lang w:eastAsia="en-GB"/>
        </w:rPr>
        <w:t xml:space="preserve">  </w:t>
      </w:r>
    </w:p>
    <w:p w:rsidR="0093669F"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 xml:space="preserve">The technical consultation paper, Starter Homes Regulation issued by the Department of Communities and Local Government March 2016 proposes “that the starter homes requirement applies to sites which meet at least one of the following criteria: 10 units or more or 0.5 or more hectares.  Evidence suggests that a starter homes requirement of 20 per cent of all homes delivered on a residential development would be viable on an average development </w:t>
      </w:r>
      <w:r w:rsidRPr="00627AC2">
        <w:rPr>
          <w:rFonts w:ascii="Arial" w:hAnsi="Arial" w:cs="Arial"/>
          <w:sz w:val="24"/>
          <w:szCs w:val="24"/>
          <w:vertAlign w:val="superscript"/>
        </w:rPr>
        <w:t>3</w:t>
      </w:r>
      <w:r w:rsidRPr="00627AC2">
        <w:rPr>
          <w:rFonts w:ascii="Arial" w:hAnsi="Arial" w:cs="Arial"/>
          <w:sz w:val="24"/>
          <w:szCs w:val="24"/>
        </w:rPr>
        <w:t xml:space="preserve">.” </w:t>
      </w:r>
    </w:p>
    <w:p w:rsidR="00627AC2" w:rsidRPr="00627AC2" w:rsidRDefault="00627AC2" w:rsidP="00627AC2">
      <w:pPr>
        <w:pStyle w:val="ListParagraph"/>
        <w:spacing w:after="240"/>
        <w:jc w:val="both"/>
        <w:rPr>
          <w:rFonts w:ascii="Arial" w:hAnsi="Arial" w:cs="Arial"/>
          <w:sz w:val="24"/>
          <w:szCs w:val="24"/>
        </w:rPr>
      </w:pPr>
    </w:p>
    <w:p w:rsidR="00627AC2"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 xml:space="preserve">It is considered that the price caps of up to £450,000 in London and £250,000 elsewhere in England for the Starter Homes will be out of reach for many households.  The Starter Homes scheme will be of benefit to those households who are already able to buy their own home or who are on higher incomes as it will require people to be earning at least £50,000. </w:t>
      </w:r>
    </w:p>
    <w:p w:rsidR="0093669F" w:rsidRPr="00627AC2" w:rsidRDefault="0093669F" w:rsidP="00627AC2">
      <w:pPr>
        <w:pStyle w:val="ListParagraph"/>
        <w:spacing w:after="240"/>
        <w:jc w:val="both"/>
        <w:rPr>
          <w:rFonts w:ascii="Arial" w:hAnsi="Arial" w:cs="Arial"/>
          <w:sz w:val="24"/>
          <w:szCs w:val="24"/>
        </w:rPr>
      </w:pPr>
      <w:r w:rsidRPr="00627AC2">
        <w:rPr>
          <w:rFonts w:ascii="Arial" w:hAnsi="Arial" w:cs="Arial"/>
          <w:sz w:val="24"/>
          <w:szCs w:val="24"/>
        </w:rPr>
        <w:t xml:space="preserve"> </w:t>
      </w:r>
    </w:p>
    <w:p w:rsidR="0093669F"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The other aspect of affordability is being able to raise a deposit and pay a mortgage.  Research undertaken by Kent Housing Group and Kent Developers Group October 2015, found that average weekly full time earnings in Kent were £541.50 in 2014, part time earnings were £157.90 giving overall resident earnings of £431.30.  The full time figure equates with £28,158 annual gross earnings.  Assuming a 20 per cent discounted price, 5 per cent deposit and 95 per cent mortgage based on 3.5 times salary, a</w:t>
      </w:r>
      <w:r w:rsidRPr="00627AC2">
        <w:rPr>
          <w:rFonts w:ascii="Arial" w:hAnsi="Arial" w:cs="Arial"/>
          <w:b/>
          <w:sz w:val="24"/>
          <w:szCs w:val="24"/>
        </w:rPr>
        <w:t xml:space="preserve"> </w:t>
      </w:r>
      <w:r w:rsidRPr="00627AC2">
        <w:rPr>
          <w:rFonts w:ascii="Arial" w:hAnsi="Arial" w:cs="Arial"/>
          <w:sz w:val="24"/>
          <w:szCs w:val="24"/>
        </w:rPr>
        <w:t xml:space="preserve">first-time buyer of a flat/maisonette in Tunbridge Wells would need income of £55,053 and even higher in Sevenoaks.  This is only 2.25% below the average earnings of two Kent residents working full time </w:t>
      </w:r>
      <w:r w:rsidRPr="00627AC2">
        <w:rPr>
          <w:rFonts w:ascii="Arial" w:hAnsi="Arial" w:cs="Arial"/>
          <w:sz w:val="24"/>
          <w:szCs w:val="24"/>
          <w:vertAlign w:val="superscript"/>
        </w:rPr>
        <w:t>4</w:t>
      </w:r>
      <w:r w:rsidRPr="00627AC2">
        <w:rPr>
          <w:rFonts w:ascii="Arial" w:hAnsi="Arial" w:cs="Arial"/>
          <w:sz w:val="24"/>
          <w:szCs w:val="24"/>
        </w:rPr>
        <w:t xml:space="preserve">. </w:t>
      </w:r>
    </w:p>
    <w:p w:rsidR="0093669F" w:rsidRDefault="0093669F" w:rsidP="00627AC2">
      <w:pPr>
        <w:autoSpaceDE w:val="0"/>
        <w:autoSpaceDN w:val="0"/>
        <w:adjustRightInd w:val="0"/>
        <w:spacing w:line="276" w:lineRule="auto"/>
        <w:jc w:val="both"/>
        <w:rPr>
          <w:rFonts w:cs="Arial"/>
          <w:color w:val="000000"/>
          <w:szCs w:val="24"/>
          <w:lang w:eastAsia="en-GB"/>
        </w:rPr>
      </w:pPr>
    </w:p>
    <w:p w:rsidR="00627AC2" w:rsidRPr="00EA7C35" w:rsidRDefault="00627AC2" w:rsidP="00627AC2">
      <w:pPr>
        <w:autoSpaceDE w:val="0"/>
        <w:autoSpaceDN w:val="0"/>
        <w:adjustRightInd w:val="0"/>
        <w:spacing w:line="276" w:lineRule="auto"/>
        <w:jc w:val="both"/>
        <w:rPr>
          <w:rFonts w:cs="Arial"/>
          <w:color w:val="000000"/>
          <w:szCs w:val="24"/>
          <w:lang w:eastAsia="en-GB"/>
        </w:rPr>
      </w:pPr>
    </w:p>
    <w:p w:rsidR="0093669F" w:rsidRPr="00627AC2" w:rsidRDefault="0093669F" w:rsidP="00627AC2">
      <w:pPr>
        <w:spacing w:after="240" w:line="480" w:lineRule="auto"/>
        <w:ind w:left="720" w:hanging="720"/>
        <w:jc w:val="both"/>
        <w:rPr>
          <w:rFonts w:cs="Arial"/>
          <w:szCs w:val="24"/>
        </w:rPr>
      </w:pPr>
      <w:r w:rsidRPr="00627AC2">
        <w:rPr>
          <w:rFonts w:cs="Arial"/>
          <w:szCs w:val="24"/>
          <w:u w:val="single"/>
        </w:rPr>
        <w:t>End of Lifetime Tenancies</w:t>
      </w:r>
      <w:r w:rsidRPr="00627AC2">
        <w:rPr>
          <w:rFonts w:cs="Arial"/>
          <w:szCs w:val="24"/>
        </w:rPr>
        <w:t>:</w:t>
      </w:r>
    </w:p>
    <w:p w:rsidR="0093669F"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Currently, social housing provides households on low to middle incomes, particularly families with young children, with stability and security beyond what is available in the Private Rented Sector.  Removing security of tenure in council housing at a time when there is no security in the Private Rented Sector because private rental tenancies are typically six months or a year will mean that there is no secure option for people who are unable to buy their own home. This impacts differently for different population groups:</w:t>
      </w:r>
    </w:p>
    <w:p w:rsidR="0093669F" w:rsidRPr="00EA7C35" w:rsidRDefault="0093669F" w:rsidP="00627AC2">
      <w:pPr>
        <w:numPr>
          <w:ilvl w:val="0"/>
          <w:numId w:val="15"/>
        </w:numPr>
        <w:spacing w:after="240" w:line="276" w:lineRule="auto"/>
        <w:jc w:val="both"/>
        <w:rPr>
          <w:rFonts w:cs="Arial"/>
          <w:szCs w:val="24"/>
        </w:rPr>
      </w:pPr>
      <w:r w:rsidRPr="00EA7C35">
        <w:rPr>
          <w:rFonts w:eastAsiaTheme="minorHAnsi" w:cs="Arial"/>
          <w:szCs w:val="24"/>
        </w:rPr>
        <w:t xml:space="preserve">For children in young families, this will impact on children’s access to early education, which affects children’s early development and readiness for school. </w:t>
      </w:r>
    </w:p>
    <w:p w:rsidR="0093669F" w:rsidRPr="00EA7C35" w:rsidRDefault="0093669F" w:rsidP="00627AC2">
      <w:pPr>
        <w:numPr>
          <w:ilvl w:val="0"/>
          <w:numId w:val="15"/>
        </w:numPr>
        <w:spacing w:after="240" w:line="276" w:lineRule="auto"/>
        <w:jc w:val="both"/>
        <w:rPr>
          <w:rFonts w:cs="Arial"/>
          <w:szCs w:val="24"/>
        </w:rPr>
      </w:pPr>
      <w:r w:rsidRPr="00EA7C35">
        <w:rPr>
          <w:rFonts w:eastAsiaTheme="minorHAnsi" w:cs="Arial"/>
          <w:szCs w:val="24"/>
        </w:rPr>
        <w:t>For older young people, a lack of housing stability will impact on accessing stable education and their positive engagement within the wider community.</w:t>
      </w:r>
    </w:p>
    <w:p w:rsidR="0093669F" w:rsidRPr="00EA7C35" w:rsidRDefault="0093669F" w:rsidP="00627AC2">
      <w:pPr>
        <w:numPr>
          <w:ilvl w:val="0"/>
          <w:numId w:val="15"/>
        </w:numPr>
        <w:spacing w:after="240" w:line="276" w:lineRule="auto"/>
        <w:jc w:val="both"/>
        <w:rPr>
          <w:rFonts w:cs="Arial"/>
          <w:szCs w:val="24"/>
        </w:rPr>
      </w:pPr>
      <w:r w:rsidRPr="00EA7C35">
        <w:rPr>
          <w:rFonts w:eastAsiaTheme="minorHAnsi" w:cs="Arial"/>
          <w:szCs w:val="24"/>
        </w:rPr>
        <w:t xml:space="preserve">Children with disabilities, who are already overrepresented amongst households who rent  may be disproportionally affected because their families may find it harder to access suitable  and stable rented accommodation. This will impact on their ability to access continuity in health and support services.    </w:t>
      </w:r>
    </w:p>
    <w:p w:rsidR="0093669F" w:rsidRPr="00627AC2" w:rsidRDefault="0093669F" w:rsidP="00627AC2">
      <w:pPr>
        <w:spacing w:after="240" w:line="480" w:lineRule="auto"/>
        <w:jc w:val="both"/>
        <w:rPr>
          <w:rFonts w:cs="Arial"/>
          <w:szCs w:val="24"/>
        </w:rPr>
      </w:pPr>
      <w:r w:rsidRPr="00627AC2">
        <w:rPr>
          <w:rFonts w:eastAsiaTheme="minorHAnsi" w:cs="Arial"/>
          <w:szCs w:val="24"/>
          <w:u w:val="single"/>
        </w:rPr>
        <w:t>Extending the Right To Buy (RTB) to Housing Association Tenants</w:t>
      </w:r>
      <w:r w:rsidRPr="00627AC2">
        <w:rPr>
          <w:rFonts w:eastAsiaTheme="minorHAnsi" w:cs="Arial"/>
          <w:szCs w:val="24"/>
        </w:rPr>
        <w:t>:</w:t>
      </w:r>
    </w:p>
    <w:p w:rsidR="0093669F" w:rsidRPr="00627AC2" w:rsidRDefault="0093669F" w:rsidP="00627AC2">
      <w:pPr>
        <w:pStyle w:val="ListParagraph"/>
        <w:numPr>
          <w:ilvl w:val="0"/>
          <w:numId w:val="45"/>
        </w:numPr>
        <w:jc w:val="both"/>
        <w:rPr>
          <w:rFonts w:ascii="Arial" w:hAnsi="Arial" w:cs="Arial"/>
          <w:sz w:val="24"/>
          <w:szCs w:val="24"/>
        </w:rPr>
      </w:pPr>
      <w:r w:rsidRPr="00627AC2">
        <w:rPr>
          <w:rFonts w:ascii="Arial" w:hAnsi="Arial" w:cs="Arial"/>
          <w:sz w:val="24"/>
          <w:szCs w:val="24"/>
        </w:rPr>
        <w:t xml:space="preserve">Although there is an expectation from Government that those properties sold through RTB will be replaced on a 1-1 basis, the proposals as they stand, give Housing Associations the flexibility over the type, tenure and location of these replacements.  So for example, if a social rented property is sold in the borough of Tonbridge and Malling, the Housing Association would be permitted to replace this property with shared ownership, outright sale, or other intermediate products in any of its geographical operating areas.  </w:t>
      </w:r>
    </w:p>
    <w:p w:rsidR="0093669F" w:rsidRPr="00627AC2" w:rsidRDefault="0093669F" w:rsidP="00627AC2">
      <w:pPr>
        <w:spacing w:after="200" w:line="276" w:lineRule="auto"/>
        <w:ind w:left="720"/>
        <w:jc w:val="both"/>
        <w:rPr>
          <w:rFonts w:eastAsiaTheme="minorHAnsi" w:cs="Arial"/>
          <w:szCs w:val="24"/>
        </w:rPr>
      </w:pPr>
      <w:r w:rsidRPr="00627AC2">
        <w:rPr>
          <w:rFonts w:eastAsiaTheme="minorHAnsi" w:cs="Arial"/>
          <w:szCs w:val="24"/>
        </w:rPr>
        <w:t>The impact being that rented supply is further diminished hindering the ability of Councils to meet local housing need for those low to middle income families requiring social/affordable rent.</w:t>
      </w:r>
    </w:p>
    <w:p w:rsidR="0093669F" w:rsidRPr="00627AC2" w:rsidRDefault="0093669F" w:rsidP="00627AC2">
      <w:pPr>
        <w:spacing w:after="200" w:line="276" w:lineRule="auto"/>
        <w:ind w:left="720" w:hanging="720"/>
        <w:jc w:val="both"/>
        <w:rPr>
          <w:rFonts w:eastAsiaTheme="minorHAnsi" w:cs="Arial"/>
          <w:szCs w:val="24"/>
          <w:u w:val="single"/>
        </w:rPr>
      </w:pPr>
      <w:r w:rsidRPr="00627AC2">
        <w:rPr>
          <w:rFonts w:eastAsiaTheme="minorHAnsi" w:cs="Arial"/>
          <w:szCs w:val="24"/>
          <w:u w:val="single"/>
        </w:rPr>
        <w:t>Pay To Stay</w:t>
      </w:r>
      <w:r w:rsidRPr="00627AC2">
        <w:rPr>
          <w:rFonts w:eastAsiaTheme="minorHAnsi" w:cs="Arial"/>
          <w:szCs w:val="24"/>
        </w:rPr>
        <w:t>:</w:t>
      </w:r>
    </w:p>
    <w:p w:rsidR="0093669F"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 xml:space="preserve">The policy will be voluntary for housing associations but imposed on local authorities. The income generated from the increased rents on council homes will have to be paid to the Government, whereas Housing Associations will be permitted to retain their additional income.   </w:t>
      </w:r>
    </w:p>
    <w:p w:rsidR="00627AC2" w:rsidRDefault="00627AC2" w:rsidP="00627AC2">
      <w:pPr>
        <w:spacing w:after="240"/>
        <w:jc w:val="both"/>
        <w:rPr>
          <w:rFonts w:cs="Arial"/>
          <w:szCs w:val="24"/>
        </w:rPr>
      </w:pPr>
    </w:p>
    <w:p w:rsidR="00627AC2" w:rsidRPr="00627AC2" w:rsidRDefault="00627AC2" w:rsidP="00627AC2">
      <w:pPr>
        <w:spacing w:after="240"/>
        <w:jc w:val="both"/>
        <w:rPr>
          <w:rFonts w:cs="Arial"/>
          <w:szCs w:val="24"/>
        </w:rPr>
      </w:pPr>
    </w:p>
    <w:p w:rsid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 xml:space="preserve">An unintended consequence of ‘Pay to Stay’ is that it could render social housing too expensive for the people that it is expected to house. The low to medium income earners that the policy targets are already priced out of the market because of high housing costs in the private rented sector and paying market rent may expose them to unnecessary financial hardship.    </w:t>
      </w:r>
    </w:p>
    <w:p w:rsidR="00627AC2" w:rsidRPr="00627AC2" w:rsidRDefault="00627AC2" w:rsidP="00627AC2">
      <w:pPr>
        <w:pStyle w:val="ListParagraph"/>
        <w:rPr>
          <w:rFonts w:ascii="Arial" w:hAnsi="Arial" w:cs="Arial"/>
          <w:sz w:val="24"/>
          <w:szCs w:val="24"/>
        </w:rPr>
      </w:pPr>
    </w:p>
    <w:p w:rsidR="0093669F"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 xml:space="preserve">The day to day experience of Councils’ Housing Options Teams demonstrates that a family with two children, with a household income of £30k would struggle to afford private rented sector rents.  Paradoxically this policy could act as a disincentive for households to improve their economic situation as any increase in income would be met with an increase in housing costs. Some households may face homelessness or need recourse to housing benefit to meet rising rental costs. </w:t>
      </w:r>
    </w:p>
    <w:p w:rsidR="00627AC2" w:rsidRPr="00627AC2" w:rsidRDefault="00627AC2" w:rsidP="00627AC2">
      <w:pPr>
        <w:pStyle w:val="ListParagraph"/>
        <w:spacing w:after="240"/>
        <w:jc w:val="both"/>
        <w:rPr>
          <w:rFonts w:ascii="Arial" w:hAnsi="Arial" w:cs="Arial"/>
          <w:sz w:val="24"/>
          <w:szCs w:val="24"/>
        </w:rPr>
      </w:pPr>
    </w:p>
    <w:p w:rsidR="0093669F" w:rsidRPr="00627AC2" w:rsidRDefault="0093669F" w:rsidP="00627AC2">
      <w:pPr>
        <w:pStyle w:val="ListParagraph"/>
        <w:numPr>
          <w:ilvl w:val="0"/>
          <w:numId w:val="45"/>
        </w:numPr>
        <w:spacing w:after="240"/>
        <w:jc w:val="both"/>
        <w:rPr>
          <w:rFonts w:ascii="Arial" w:hAnsi="Arial" w:cs="Arial"/>
          <w:sz w:val="24"/>
          <w:szCs w:val="24"/>
        </w:rPr>
      </w:pPr>
      <w:r w:rsidRPr="00627AC2">
        <w:rPr>
          <w:rFonts w:ascii="Arial" w:hAnsi="Arial" w:cs="Arial"/>
          <w:sz w:val="24"/>
          <w:szCs w:val="24"/>
        </w:rPr>
        <w:t xml:space="preserve">Another potential unintended consequence could be that if the incomes of older children in a household were included in the calculation, parents may be unwilling to continue to house them with the result that they might end up presenting as homeless if they were unable to secure accommodation elsewhere.  </w:t>
      </w:r>
    </w:p>
    <w:p w:rsidR="00627AC2" w:rsidRPr="00627AC2" w:rsidRDefault="00627AC2" w:rsidP="00627AC2">
      <w:pPr>
        <w:pStyle w:val="ListParagraph"/>
        <w:spacing w:after="240"/>
        <w:jc w:val="both"/>
        <w:rPr>
          <w:rFonts w:ascii="Arial" w:hAnsi="Arial" w:cs="Arial"/>
          <w:sz w:val="24"/>
          <w:szCs w:val="24"/>
        </w:rPr>
      </w:pPr>
    </w:p>
    <w:p w:rsidR="0093669F" w:rsidRPr="00627AC2" w:rsidRDefault="0093669F" w:rsidP="00627AC2">
      <w:pPr>
        <w:pStyle w:val="ListParagraph"/>
        <w:numPr>
          <w:ilvl w:val="0"/>
          <w:numId w:val="45"/>
        </w:numPr>
        <w:spacing w:after="240"/>
        <w:jc w:val="both"/>
        <w:rPr>
          <w:rFonts w:ascii="Arial" w:hAnsi="Arial" w:cs="Arial"/>
          <w:color w:val="FF0000"/>
          <w:sz w:val="24"/>
          <w:szCs w:val="24"/>
        </w:rPr>
      </w:pPr>
      <w:r w:rsidRPr="00627AC2">
        <w:rPr>
          <w:rFonts w:ascii="Arial" w:hAnsi="Arial" w:cs="Arial"/>
          <w:sz w:val="24"/>
          <w:szCs w:val="24"/>
        </w:rPr>
        <w:t xml:space="preserve">There is a general consensus amongst Housing Providers that this presents difficulties in administering the checks required and some may struggle to retain their social purpose of managing and delivering genuinely affordable social homes for low income households </w:t>
      </w:r>
      <w:r w:rsidRPr="00627AC2">
        <w:rPr>
          <w:rFonts w:ascii="Arial" w:hAnsi="Arial" w:cs="Arial"/>
          <w:sz w:val="24"/>
          <w:szCs w:val="24"/>
          <w:vertAlign w:val="superscript"/>
        </w:rPr>
        <w:t>5.</w:t>
      </w:r>
      <w:r w:rsidRPr="00627AC2">
        <w:rPr>
          <w:rFonts w:ascii="Arial" w:hAnsi="Arial" w:cs="Arial"/>
          <w:sz w:val="24"/>
          <w:szCs w:val="24"/>
        </w:rPr>
        <w:t xml:space="preserve">  </w:t>
      </w: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1B140D" w:rsidRDefault="001B140D" w:rsidP="00627AC2">
      <w:pPr>
        <w:spacing w:after="200" w:line="276" w:lineRule="auto"/>
        <w:ind w:left="720" w:hanging="720"/>
        <w:jc w:val="both"/>
        <w:rPr>
          <w:rFonts w:eastAsiaTheme="minorHAnsi" w:cs="Arial"/>
          <w:szCs w:val="24"/>
          <w:u w:val="single"/>
        </w:rPr>
      </w:pPr>
    </w:p>
    <w:p w:rsidR="001B140D" w:rsidRDefault="001B140D" w:rsidP="00627AC2">
      <w:pPr>
        <w:spacing w:after="200" w:line="276" w:lineRule="auto"/>
        <w:ind w:left="720" w:hanging="720"/>
        <w:jc w:val="both"/>
        <w:rPr>
          <w:rFonts w:eastAsiaTheme="minorHAnsi" w:cs="Arial"/>
          <w:szCs w:val="24"/>
          <w:u w:val="single"/>
        </w:rPr>
      </w:pPr>
    </w:p>
    <w:p w:rsidR="00BA01ED" w:rsidRDefault="00BA01ED" w:rsidP="00627AC2">
      <w:pPr>
        <w:spacing w:after="200" w:line="276" w:lineRule="auto"/>
        <w:ind w:left="720" w:hanging="720"/>
        <w:jc w:val="both"/>
        <w:rPr>
          <w:rFonts w:eastAsiaTheme="minorHAnsi" w:cs="Arial"/>
          <w:szCs w:val="24"/>
          <w:u w:val="single"/>
        </w:rPr>
      </w:pPr>
    </w:p>
    <w:p w:rsidR="00BA01ED" w:rsidRPr="00BA01ED" w:rsidRDefault="00627AC2" w:rsidP="00627AC2">
      <w:pPr>
        <w:spacing w:after="200" w:line="276" w:lineRule="auto"/>
        <w:ind w:left="720" w:hanging="720"/>
        <w:jc w:val="both"/>
        <w:rPr>
          <w:rFonts w:eastAsiaTheme="minorHAnsi" w:cs="Arial"/>
          <w:b/>
          <w:szCs w:val="24"/>
        </w:rPr>
      </w:pPr>
      <w:r>
        <w:rPr>
          <w:rFonts w:eastAsiaTheme="minorHAnsi" w:cs="Arial"/>
          <w:b/>
          <w:szCs w:val="24"/>
        </w:rPr>
        <w:t>A</w:t>
      </w:r>
      <w:r w:rsidR="00BA01ED" w:rsidRPr="00BA01ED">
        <w:rPr>
          <w:rFonts w:eastAsiaTheme="minorHAnsi" w:cs="Arial"/>
          <w:b/>
          <w:szCs w:val="24"/>
        </w:rPr>
        <w:t xml:space="preserve">ppendix 4 </w:t>
      </w:r>
    </w:p>
    <w:p w:rsidR="0093669F" w:rsidRPr="00BA01ED" w:rsidRDefault="0093669F" w:rsidP="00627AC2">
      <w:pPr>
        <w:spacing w:after="200" w:line="276" w:lineRule="auto"/>
        <w:ind w:left="720" w:hanging="720"/>
        <w:jc w:val="both"/>
        <w:rPr>
          <w:rFonts w:eastAsiaTheme="minorHAnsi" w:cs="Arial"/>
          <w:b/>
          <w:szCs w:val="24"/>
        </w:rPr>
      </w:pPr>
      <w:r w:rsidRPr="00BA01ED">
        <w:rPr>
          <w:rFonts w:eastAsiaTheme="minorHAnsi" w:cs="Arial"/>
          <w:b/>
          <w:szCs w:val="24"/>
        </w:rPr>
        <w:t>Welfare Reform and Work Act 2016</w:t>
      </w:r>
      <w:r w:rsidR="00BA01ED" w:rsidRPr="00BA01ED">
        <w:rPr>
          <w:rFonts w:eastAsiaTheme="minorHAnsi" w:cs="Arial"/>
          <w:b/>
          <w:szCs w:val="24"/>
        </w:rPr>
        <w:t xml:space="preserve"> Measures</w:t>
      </w:r>
    </w:p>
    <w:p w:rsidR="0093669F" w:rsidRPr="003625A5" w:rsidRDefault="003625A5" w:rsidP="003625A5">
      <w:pPr>
        <w:spacing w:after="240"/>
        <w:ind w:left="709" w:hanging="709"/>
        <w:jc w:val="both"/>
        <w:rPr>
          <w:rFonts w:cs="Arial"/>
          <w:szCs w:val="24"/>
        </w:rPr>
      </w:pPr>
      <w:r>
        <w:rPr>
          <w:rFonts w:cs="Arial"/>
          <w:szCs w:val="24"/>
        </w:rPr>
        <w:t>a)</w:t>
      </w:r>
      <w:r>
        <w:rPr>
          <w:rFonts w:cs="Arial"/>
          <w:szCs w:val="24"/>
        </w:rPr>
        <w:tab/>
      </w:r>
      <w:r w:rsidR="0093669F" w:rsidRPr="003625A5">
        <w:rPr>
          <w:rFonts w:cs="Arial"/>
          <w:szCs w:val="24"/>
        </w:rPr>
        <w:t xml:space="preserve">The reduction in rent levels has impacted heavily on the business plans of Housing Associations.  Predicted revenue will reduce making it much more challenging to continue to drive housing growth to meet identified local needs.  Recent meetings between Local Authorities and Housing Associations operating in West Kent have revealed that although Housing Associations continue to actively seek opportunities for providing new affordable housing in the borough, this has become ever more challenging.  This combined with the reduction in capital funding overall, with the remaining focus only on Shared Ownership, means a likely significant reduction in the provision of Social/Affordable rented homes in the future.  </w:t>
      </w:r>
    </w:p>
    <w:p w:rsidR="0093669F" w:rsidRPr="003625A5" w:rsidRDefault="003625A5" w:rsidP="003625A5">
      <w:pPr>
        <w:spacing w:after="240" w:line="276" w:lineRule="auto"/>
        <w:ind w:left="709" w:hanging="709"/>
        <w:jc w:val="both"/>
        <w:rPr>
          <w:rFonts w:cs="Arial"/>
          <w:szCs w:val="24"/>
        </w:rPr>
      </w:pPr>
      <w:r w:rsidRPr="003625A5">
        <w:rPr>
          <w:rFonts w:cs="Arial"/>
          <w:szCs w:val="24"/>
        </w:rPr>
        <w:t>b)</w:t>
      </w:r>
      <w:r w:rsidRPr="003625A5">
        <w:rPr>
          <w:rFonts w:cs="Arial"/>
          <w:szCs w:val="24"/>
        </w:rPr>
        <w:tab/>
      </w:r>
      <w:r w:rsidR="0093669F" w:rsidRPr="003625A5">
        <w:rPr>
          <w:rFonts w:cs="Arial"/>
          <w:szCs w:val="24"/>
        </w:rPr>
        <w:t xml:space="preserve">It is forecast that a higher proportion of what is delivered is likely to be outright sale, shared ownership or other intermediate housing options rather than affordable/social rent, which will further reduce the supply of homes for people unable to afford any model of home ownership.  </w:t>
      </w:r>
    </w:p>
    <w:p w:rsidR="0093669F" w:rsidRPr="003625A5" w:rsidRDefault="003625A5" w:rsidP="00627AC2">
      <w:pPr>
        <w:spacing w:after="240" w:line="276" w:lineRule="auto"/>
        <w:ind w:left="709" w:hanging="709"/>
        <w:jc w:val="both"/>
        <w:rPr>
          <w:rFonts w:cs="Arial"/>
          <w:szCs w:val="24"/>
        </w:rPr>
      </w:pPr>
      <w:r w:rsidRPr="003625A5">
        <w:rPr>
          <w:rFonts w:cs="Arial"/>
          <w:szCs w:val="24"/>
        </w:rPr>
        <w:t>c)</w:t>
      </w:r>
      <w:r w:rsidRPr="003625A5">
        <w:rPr>
          <w:rFonts w:cs="Arial"/>
          <w:szCs w:val="24"/>
        </w:rPr>
        <w:tab/>
      </w:r>
      <w:r w:rsidR="0093669F" w:rsidRPr="003625A5">
        <w:rPr>
          <w:rFonts w:cs="Arial"/>
          <w:szCs w:val="24"/>
        </w:rPr>
        <w:t xml:space="preserve">Across West Kent there are a total of 3,500 households registered on Councils’ Housing Registers, in housing need, requiring rented accommodation.  This is because registrants cannot afford to enter into home ownership or struggle to access private rented accommodation due to rising rental costs.  Therefore Councils’ opportunities to rehouse households from Housing Registers will be significantly reduced and their ability to meet their statutory duties in relation to housing need and homelessness may be compromised.  </w:t>
      </w:r>
    </w:p>
    <w:p w:rsidR="0093669F" w:rsidRPr="003625A5" w:rsidRDefault="003625A5" w:rsidP="00627AC2">
      <w:pPr>
        <w:spacing w:after="240" w:line="276" w:lineRule="auto"/>
        <w:ind w:left="709" w:hanging="709"/>
        <w:jc w:val="both"/>
        <w:rPr>
          <w:rFonts w:cs="Arial"/>
          <w:szCs w:val="24"/>
        </w:rPr>
      </w:pPr>
      <w:r w:rsidRPr="003625A5">
        <w:rPr>
          <w:rFonts w:cs="Arial"/>
          <w:szCs w:val="24"/>
        </w:rPr>
        <w:t>d)</w:t>
      </w:r>
      <w:r w:rsidRPr="003625A5">
        <w:rPr>
          <w:rFonts w:cs="Arial"/>
          <w:szCs w:val="24"/>
        </w:rPr>
        <w:tab/>
      </w:r>
      <w:r w:rsidR="0093669F" w:rsidRPr="003625A5">
        <w:rPr>
          <w:rFonts w:cs="Arial"/>
          <w:szCs w:val="24"/>
        </w:rPr>
        <w:t>It is anticipated that an unintended consequence of this policy will be an increase in homelessness and the use of temporary accommodation.  The private sector is not considered a viable alternative due to rental costs being much higher than local housing allowance rates presenting severe affordability issues.</w:t>
      </w:r>
    </w:p>
    <w:p w:rsidR="0093669F" w:rsidRPr="003625A5" w:rsidRDefault="003625A5" w:rsidP="00627AC2">
      <w:pPr>
        <w:spacing w:after="240" w:line="276" w:lineRule="auto"/>
        <w:ind w:left="709" w:hanging="709"/>
        <w:jc w:val="both"/>
        <w:rPr>
          <w:rFonts w:cs="Arial"/>
          <w:szCs w:val="24"/>
        </w:rPr>
      </w:pPr>
      <w:r w:rsidRPr="003625A5">
        <w:rPr>
          <w:rFonts w:cs="Arial"/>
          <w:szCs w:val="24"/>
        </w:rPr>
        <w:t>e)</w:t>
      </w:r>
      <w:r w:rsidRPr="003625A5">
        <w:rPr>
          <w:rFonts w:cs="Arial"/>
          <w:szCs w:val="24"/>
        </w:rPr>
        <w:tab/>
      </w:r>
      <w:r w:rsidR="0093669F" w:rsidRPr="003625A5">
        <w:rPr>
          <w:rFonts w:cs="Arial"/>
          <w:szCs w:val="24"/>
        </w:rPr>
        <w:t>Of further concern is the impact that this proposal will have on specialist supported accommodation schemes.  Specialist supported housing is provided for vulnerable groups such as domestic abuse refuges, homelessness hostels and homes for people with disabilities or other acute care needs, such as frail older people and people with learning disabilities.  Such accommodation has tighter margins and higher rents, due to the increased cost of providing integrated housing care and support. Although an exemption has been applied for 12 months pending the outcome of a government review, in the event this is not a permanent exemption  and it will have a dramatic impact on the access and provision of specialist accommodation.  It is likely to lead to many of these schemes being dropped and future development plans being abandoned.</w:t>
      </w:r>
    </w:p>
    <w:p w:rsidR="0093669F" w:rsidRPr="00EA7C35" w:rsidRDefault="003625A5" w:rsidP="00627AC2">
      <w:pPr>
        <w:spacing w:after="240" w:line="276" w:lineRule="auto"/>
        <w:ind w:left="709" w:hanging="709"/>
        <w:jc w:val="both"/>
        <w:rPr>
          <w:rFonts w:cs="Arial"/>
          <w:szCs w:val="24"/>
        </w:rPr>
      </w:pPr>
      <w:r>
        <w:rPr>
          <w:rFonts w:cs="Arial"/>
          <w:szCs w:val="24"/>
        </w:rPr>
        <w:t>f)</w:t>
      </w:r>
      <w:r>
        <w:rPr>
          <w:rFonts w:cs="Arial"/>
          <w:szCs w:val="24"/>
        </w:rPr>
        <w:tab/>
      </w:r>
      <w:r w:rsidR="0093669F" w:rsidRPr="00EA7C35">
        <w:rPr>
          <w:rFonts w:cs="Arial"/>
          <w:szCs w:val="24"/>
        </w:rPr>
        <w:t>The position in relation to people currently living in supported housing, those who are on waiting lists, or the increased numbers of people likely to need supported accommodation in the future is unclear.  The impact could include:</w:t>
      </w:r>
    </w:p>
    <w:p w:rsidR="0093669F" w:rsidRPr="00EA7C35" w:rsidRDefault="0093669F" w:rsidP="00627AC2">
      <w:pPr>
        <w:numPr>
          <w:ilvl w:val="0"/>
          <w:numId w:val="16"/>
        </w:numPr>
        <w:spacing w:after="240" w:line="276" w:lineRule="auto"/>
        <w:jc w:val="both"/>
        <w:rPr>
          <w:rFonts w:cs="Arial"/>
          <w:szCs w:val="24"/>
        </w:rPr>
      </w:pPr>
      <w:r w:rsidRPr="00EA7C35">
        <w:rPr>
          <w:rFonts w:cs="Arial"/>
          <w:szCs w:val="24"/>
        </w:rPr>
        <w:t>an increase in accident and emergency attendances for homeless people</w:t>
      </w:r>
    </w:p>
    <w:p w:rsidR="0093669F" w:rsidRPr="00EA7C35" w:rsidRDefault="0093669F" w:rsidP="00627AC2">
      <w:pPr>
        <w:numPr>
          <w:ilvl w:val="0"/>
          <w:numId w:val="16"/>
        </w:numPr>
        <w:spacing w:after="240" w:line="276" w:lineRule="auto"/>
        <w:jc w:val="both"/>
        <w:rPr>
          <w:rFonts w:cs="Arial"/>
          <w:szCs w:val="24"/>
        </w:rPr>
      </w:pPr>
      <w:r w:rsidRPr="00EA7C35">
        <w:rPr>
          <w:rFonts w:cs="Arial"/>
          <w:szCs w:val="24"/>
        </w:rPr>
        <w:t>more people with learning disabilities unable to move out of care institutions</w:t>
      </w:r>
    </w:p>
    <w:p w:rsidR="0093669F" w:rsidRPr="00EA7C35" w:rsidRDefault="0093669F" w:rsidP="00627AC2">
      <w:pPr>
        <w:numPr>
          <w:ilvl w:val="0"/>
          <w:numId w:val="16"/>
        </w:numPr>
        <w:spacing w:after="240" w:line="276" w:lineRule="auto"/>
        <w:jc w:val="both"/>
        <w:rPr>
          <w:rFonts w:cs="Arial"/>
          <w:szCs w:val="24"/>
        </w:rPr>
      </w:pPr>
      <w:r w:rsidRPr="00EA7C35">
        <w:rPr>
          <w:rFonts w:cs="Arial"/>
          <w:szCs w:val="24"/>
        </w:rPr>
        <w:t xml:space="preserve"> increase in delayed transfers of care</w:t>
      </w:r>
    </w:p>
    <w:p w:rsidR="0093669F" w:rsidRPr="00EA7C35" w:rsidRDefault="0093669F" w:rsidP="00627AC2">
      <w:pPr>
        <w:numPr>
          <w:ilvl w:val="0"/>
          <w:numId w:val="16"/>
        </w:numPr>
        <w:spacing w:after="240" w:line="276" w:lineRule="auto"/>
        <w:jc w:val="both"/>
        <w:rPr>
          <w:rFonts w:cs="Arial"/>
          <w:szCs w:val="24"/>
        </w:rPr>
      </w:pPr>
      <w:r w:rsidRPr="00EA7C35">
        <w:rPr>
          <w:rFonts w:cs="Arial"/>
          <w:szCs w:val="24"/>
        </w:rPr>
        <w:t xml:space="preserve">many people with the highest support needs could potentially no longer be supported and this would have implications for Kent’s Accommodation Strategy </w:t>
      </w:r>
      <w:r w:rsidRPr="00EA7C35">
        <w:rPr>
          <w:rFonts w:cs="Arial"/>
          <w:szCs w:val="24"/>
          <w:vertAlign w:val="superscript"/>
        </w:rPr>
        <w:t>6</w:t>
      </w:r>
      <w:r w:rsidRPr="00EA7C35">
        <w:rPr>
          <w:rFonts w:cs="Arial"/>
          <w:szCs w:val="24"/>
        </w:rPr>
        <w:t xml:space="preserve">. </w:t>
      </w:r>
    </w:p>
    <w:p w:rsidR="003625A5" w:rsidRPr="00295974" w:rsidRDefault="003625A5" w:rsidP="003625A5">
      <w:pPr>
        <w:pStyle w:val="ListBullet"/>
        <w:rPr>
          <w:b/>
        </w:rPr>
      </w:pPr>
      <w:r w:rsidRPr="00295974">
        <w:rPr>
          <w:b/>
        </w:rPr>
        <w:t>Local Case Studies</w:t>
      </w:r>
    </w:p>
    <w:p w:rsidR="00295974" w:rsidRPr="0073640D" w:rsidRDefault="00295974" w:rsidP="00295974">
      <w:pPr>
        <w:pStyle w:val="ListBullet"/>
      </w:pPr>
      <w:r w:rsidRPr="0073640D">
        <w:t>These case studies illustrate the inroads that meeting rent payments will make into family finances, reducing the amount available for all other expenditure including food, clothing and energy bills:</w:t>
      </w:r>
    </w:p>
    <w:tbl>
      <w:tblPr>
        <w:tblStyle w:val="TableGrid"/>
        <w:tblW w:w="4944" w:type="pct"/>
        <w:tblInd w:w="99" w:type="dxa"/>
        <w:tblBorders>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10"/>
        <w:gridCol w:w="1534"/>
        <w:gridCol w:w="3514"/>
        <w:gridCol w:w="63"/>
        <w:gridCol w:w="1084"/>
        <w:gridCol w:w="155"/>
        <w:gridCol w:w="3216"/>
      </w:tblGrid>
      <w:tr w:rsidR="00295974" w:rsidRPr="003B42C2" w:rsidTr="0093669F">
        <w:trPr>
          <w:gridBefore w:val="1"/>
          <w:wBefore w:w="5" w:type="pct"/>
        </w:trPr>
        <w:tc>
          <w:tcPr>
            <w:tcW w:w="4995" w:type="pct"/>
            <w:gridSpan w:val="6"/>
            <w:shd w:val="clear" w:color="auto" w:fill="DBE5F1" w:themeFill="accent1" w:themeFillTint="33"/>
            <w:noWrap/>
          </w:tcPr>
          <w:p w:rsidR="00295974" w:rsidRPr="003B42C2" w:rsidRDefault="00295974" w:rsidP="0093669F">
            <w:pPr>
              <w:pStyle w:val="Heading4"/>
              <w:keepNext w:val="0"/>
              <w:keepLines w:val="0"/>
              <w:jc w:val="both"/>
              <w:outlineLvl w:val="3"/>
              <w:rPr>
                <w:rFonts w:asciiTheme="minorHAnsi" w:hAnsiTheme="minorHAnsi" w:cs="Tahoma"/>
              </w:rPr>
            </w:pPr>
            <w:r w:rsidRPr="003B42C2">
              <w:rPr>
                <w:rFonts w:asciiTheme="minorHAnsi" w:hAnsiTheme="minorHAnsi" w:cs="Tahoma"/>
              </w:rPr>
              <w:t>Case Study</w:t>
            </w:r>
            <w:r>
              <w:rPr>
                <w:rFonts w:asciiTheme="minorHAnsi" w:hAnsiTheme="minorHAnsi" w:cs="Tahoma"/>
              </w:rPr>
              <w:t xml:space="preserve"> 1</w:t>
            </w:r>
            <w:r w:rsidRPr="003B42C2">
              <w:rPr>
                <w:rFonts w:asciiTheme="minorHAnsi" w:hAnsiTheme="minorHAnsi" w:cs="Tahoma"/>
              </w:rPr>
              <w:t>: Single Parent receiving ESA main phase with Work Related Activity</w:t>
            </w:r>
          </w:p>
        </w:tc>
      </w:tr>
      <w:tr w:rsidR="00295974" w:rsidRPr="003B42C2" w:rsidTr="0093669F">
        <w:trPr>
          <w:gridBefore w:val="1"/>
          <w:wBefore w:w="5" w:type="pct"/>
        </w:trPr>
        <w:tc>
          <w:tcPr>
            <w:tcW w:w="2636" w:type="pct"/>
            <w:gridSpan w:val="2"/>
            <w:shd w:val="clear" w:color="auto" w:fill="DBE5F1" w:themeFill="accent1" w:themeFillTint="33"/>
            <w:noWrap/>
            <w:hideMark/>
          </w:tcPr>
          <w:p w:rsidR="00295974" w:rsidRPr="003B42C2" w:rsidRDefault="00295974" w:rsidP="0093669F">
            <w:pPr>
              <w:jc w:val="both"/>
              <w:rPr>
                <w:rFonts w:cs="Tahoma"/>
                <w:lang w:eastAsia="en-GB"/>
              </w:rPr>
            </w:pPr>
            <w:r w:rsidRPr="003B42C2">
              <w:rPr>
                <w:rFonts w:cs="Tahoma"/>
                <w:lang w:eastAsia="en-GB"/>
              </w:rPr>
              <w:t>3 dependants</w:t>
            </w:r>
          </w:p>
        </w:tc>
        <w:tc>
          <w:tcPr>
            <w:tcW w:w="2359" w:type="pct"/>
            <w:gridSpan w:val="4"/>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2 dependants</w:t>
            </w:r>
          </w:p>
        </w:tc>
      </w:tr>
      <w:tr w:rsidR="00295974" w:rsidRPr="003B42C2" w:rsidTr="0093669F">
        <w:trPr>
          <w:gridBefore w:val="1"/>
          <w:wBefore w:w="5" w:type="pct"/>
        </w:trPr>
        <w:tc>
          <w:tcPr>
            <w:tcW w:w="801"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£102.15</w:t>
            </w:r>
          </w:p>
        </w:tc>
        <w:tc>
          <w:tcPr>
            <w:tcW w:w="1835"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JSA/IS/ESA</w:t>
            </w:r>
          </w:p>
        </w:tc>
        <w:tc>
          <w:tcPr>
            <w:tcW w:w="680" w:type="pct"/>
            <w:gridSpan w:val="3"/>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£102.15</w:t>
            </w:r>
          </w:p>
        </w:tc>
        <w:tc>
          <w:tcPr>
            <w:tcW w:w="1679"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JSA/IS/ESA</w:t>
            </w:r>
          </w:p>
        </w:tc>
      </w:tr>
      <w:tr w:rsidR="00295974" w:rsidRPr="003B42C2" w:rsidTr="0093669F">
        <w:trPr>
          <w:gridBefore w:val="1"/>
          <w:wBefore w:w="5" w:type="pct"/>
        </w:trPr>
        <w:tc>
          <w:tcPr>
            <w:tcW w:w="801"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£48.10</w:t>
            </w:r>
          </w:p>
        </w:tc>
        <w:tc>
          <w:tcPr>
            <w:tcW w:w="1835"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Child Benefit</w:t>
            </w:r>
          </w:p>
        </w:tc>
        <w:tc>
          <w:tcPr>
            <w:tcW w:w="680" w:type="pct"/>
            <w:gridSpan w:val="3"/>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£34.40</w:t>
            </w:r>
          </w:p>
        </w:tc>
        <w:tc>
          <w:tcPr>
            <w:tcW w:w="1679"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Child Benefit</w:t>
            </w:r>
          </w:p>
        </w:tc>
      </w:tr>
      <w:tr w:rsidR="00295974" w:rsidRPr="003B42C2" w:rsidTr="0093669F">
        <w:trPr>
          <w:gridBefore w:val="1"/>
          <w:wBefore w:w="5" w:type="pct"/>
        </w:trPr>
        <w:tc>
          <w:tcPr>
            <w:tcW w:w="801"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£169.48</w:t>
            </w:r>
          </w:p>
        </w:tc>
        <w:tc>
          <w:tcPr>
            <w:tcW w:w="1835"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Council Tax Credit</w:t>
            </w:r>
          </w:p>
        </w:tc>
        <w:tc>
          <w:tcPr>
            <w:tcW w:w="680" w:type="pct"/>
            <w:gridSpan w:val="3"/>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£116.45</w:t>
            </w:r>
          </w:p>
        </w:tc>
        <w:tc>
          <w:tcPr>
            <w:tcW w:w="1679"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Council Tax Credit</w:t>
            </w:r>
          </w:p>
        </w:tc>
      </w:tr>
      <w:tr w:rsidR="00295974" w:rsidRPr="003B42C2" w:rsidTr="0093669F">
        <w:trPr>
          <w:gridBefore w:val="1"/>
          <w:wBefore w:w="5" w:type="pct"/>
        </w:trPr>
        <w:tc>
          <w:tcPr>
            <w:tcW w:w="801"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£319.73</w:t>
            </w:r>
          </w:p>
        </w:tc>
        <w:tc>
          <w:tcPr>
            <w:tcW w:w="1835"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Total</w:t>
            </w:r>
          </w:p>
        </w:tc>
        <w:tc>
          <w:tcPr>
            <w:tcW w:w="680" w:type="pct"/>
            <w:gridSpan w:val="3"/>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£253.00</w:t>
            </w:r>
          </w:p>
        </w:tc>
        <w:tc>
          <w:tcPr>
            <w:tcW w:w="1679"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Total</w:t>
            </w:r>
          </w:p>
        </w:tc>
      </w:tr>
      <w:tr w:rsidR="00295974" w:rsidRPr="003B42C2" w:rsidTr="0093669F">
        <w:trPr>
          <w:gridBefore w:val="1"/>
          <w:wBefore w:w="5" w:type="pct"/>
        </w:trPr>
        <w:tc>
          <w:tcPr>
            <w:tcW w:w="801"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£384.00</w:t>
            </w:r>
          </w:p>
        </w:tc>
        <w:tc>
          <w:tcPr>
            <w:tcW w:w="1835"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Cap</w:t>
            </w:r>
          </w:p>
        </w:tc>
        <w:tc>
          <w:tcPr>
            <w:tcW w:w="680" w:type="pct"/>
            <w:gridSpan w:val="3"/>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£384.00</w:t>
            </w:r>
          </w:p>
        </w:tc>
        <w:tc>
          <w:tcPr>
            <w:tcW w:w="1679"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Cap</w:t>
            </w:r>
          </w:p>
        </w:tc>
      </w:tr>
      <w:tr w:rsidR="00295974" w:rsidRPr="003B42C2" w:rsidTr="0093669F">
        <w:trPr>
          <w:gridBefore w:val="1"/>
          <w:wBefore w:w="5" w:type="pct"/>
        </w:trPr>
        <w:tc>
          <w:tcPr>
            <w:tcW w:w="801"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£64.27*</w:t>
            </w:r>
          </w:p>
        </w:tc>
        <w:tc>
          <w:tcPr>
            <w:tcW w:w="1835"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Amount available towards rent</w:t>
            </w:r>
          </w:p>
        </w:tc>
        <w:tc>
          <w:tcPr>
            <w:tcW w:w="680" w:type="pct"/>
            <w:gridSpan w:val="3"/>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£131.00*</w:t>
            </w:r>
          </w:p>
        </w:tc>
        <w:tc>
          <w:tcPr>
            <w:tcW w:w="1679" w:type="pct"/>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Amount available towards rent</w:t>
            </w:r>
          </w:p>
        </w:tc>
      </w:tr>
      <w:tr w:rsidR="00295974" w:rsidRPr="003B42C2" w:rsidTr="0093669F">
        <w:trPr>
          <w:gridBefore w:val="1"/>
          <w:wBefore w:w="5" w:type="pct"/>
        </w:trPr>
        <w:tc>
          <w:tcPr>
            <w:tcW w:w="801" w:type="pct"/>
            <w:shd w:val="clear" w:color="auto" w:fill="DBE5F1" w:themeFill="accent1" w:themeFillTint="33"/>
          </w:tcPr>
          <w:p w:rsidR="00295974" w:rsidRPr="003B42C2" w:rsidRDefault="00295974" w:rsidP="0093669F">
            <w:pPr>
              <w:jc w:val="right"/>
              <w:rPr>
                <w:rFonts w:cs="Tahoma"/>
                <w:lang w:eastAsia="en-GB"/>
              </w:rPr>
            </w:pPr>
            <w:r w:rsidRPr="003B42C2">
              <w:rPr>
                <w:rFonts w:cs="Tahoma"/>
                <w:lang w:eastAsia="en-GB"/>
              </w:rPr>
              <w:t>£210</w:t>
            </w:r>
            <w:r>
              <w:rPr>
                <w:rFonts w:cs="Tahoma"/>
                <w:lang w:eastAsia="en-GB"/>
              </w:rPr>
              <w:t>.00</w:t>
            </w:r>
          </w:p>
        </w:tc>
        <w:tc>
          <w:tcPr>
            <w:tcW w:w="1835" w:type="pct"/>
            <w:shd w:val="clear" w:color="auto" w:fill="DBE5F1" w:themeFill="accent1" w:themeFillTint="33"/>
          </w:tcPr>
          <w:p w:rsidR="00295974" w:rsidRPr="003B42C2" w:rsidRDefault="00295974" w:rsidP="0093669F">
            <w:pPr>
              <w:jc w:val="both"/>
              <w:rPr>
                <w:rFonts w:cs="Tahoma"/>
                <w:lang w:eastAsia="en-GB"/>
              </w:rPr>
            </w:pPr>
            <w:r w:rsidRPr="003B42C2">
              <w:rPr>
                <w:rFonts w:cs="Tahoma"/>
                <w:lang w:eastAsia="en-GB"/>
              </w:rPr>
              <w:t>Average weekly affordable rent (3 bed)</w:t>
            </w:r>
          </w:p>
        </w:tc>
        <w:tc>
          <w:tcPr>
            <w:tcW w:w="680" w:type="pct"/>
            <w:gridSpan w:val="3"/>
            <w:shd w:val="clear" w:color="auto" w:fill="DBE5F1" w:themeFill="accent1" w:themeFillTint="33"/>
          </w:tcPr>
          <w:p w:rsidR="00295974" w:rsidRPr="003B42C2" w:rsidRDefault="00295974" w:rsidP="0093669F">
            <w:pPr>
              <w:jc w:val="right"/>
              <w:rPr>
                <w:rFonts w:cs="Tahoma"/>
                <w:lang w:eastAsia="en-GB"/>
              </w:rPr>
            </w:pPr>
            <w:r w:rsidRPr="003B42C2">
              <w:rPr>
                <w:rFonts w:cs="Tahoma"/>
                <w:lang w:eastAsia="en-GB"/>
              </w:rPr>
              <w:t>£145</w:t>
            </w:r>
            <w:r>
              <w:rPr>
                <w:rFonts w:cs="Tahoma"/>
                <w:lang w:eastAsia="en-GB"/>
              </w:rPr>
              <w:t>.00</w:t>
            </w:r>
          </w:p>
        </w:tc>
        <w:tc>
          <w:tcPr>
            <w:tcW w:w="1679" w:type="pct"/>
            <w:shd w:val="clear" w:color="auto" w:fill="DBE5F1" w:themeFill="accent1" w:themeFillTint="33"/>
          </w:tcPr>
          <w:p w:rsidR="00295974" w:rsidRPr="003B42C2" w:rsidRDefault="00295974" w:rsidP="0093669F">
            <w:pPr>
              <w:jc w:val="both"/>
              <w:rPr>
                <w:rFonts w:cs="Tahoma"/>
                <w:lang w:eastAsia="en-GB"/>
              </w:rPr>
            </w:pPr>
            <w:r w:rsidRPr="003B42C2">
              <w:rPr>
                <w:rFonts w:cs="Tahoma"/>
                <w:lang w:eastAsia="en-GB"/>
              </w:rPr>
              <w:t>Average weekly affordable rent (2 bed)</w:t>
            </w:r>
          </w:p>
        </w:tc>
      </w:tr>
      <w:tr w:rsidR="00295974" w:rsidRPr="003B42C2" w:rsidTr="0093669F">
        <w:trPr>
          <w:gridBefore w:val="1"/>
          <w:wBefore w:w="5" w:type="pct"/>
        </w:trPr>
        <w:tc>
          <w:tcPr>
            <w:tcW w:w="801" w:type="pct"/>
            <w:tcBorders>
              <w:bottom w:val="single" w:sz="18" w:space="0" w:color="FFFFFF" w:themeColor="background1"/>
            </w:tcBorders>
            <w:shd w:val="clear" w:color="auto" w:fill="DBE5F1" w:themeFill="accent1" w:themeFillTint="33"/>
          </w:tcPr>
          <w:p w:rsidR="00295974" w:rsidRPr="003B42C2" w:rsidRDefault="00295974" w:rsidP="0093669F">
            <w:pPr>
              <w:jc w:val="right"/>
              <w:rPr>
                <w:rFonts w:cs="Tahoma"/>
                <w:b/>
                <w:lang w:eastAsia="en-GB"/>
              </w:rPr>
            </w:pPr>
            <w:r w:rsidRPr="003B42C2">
              <w:rPr>
                <w:rFonts w:cs="Tahoma"/>
                <w:b/>
                <w:lang w:eastAsia="en-GB"/>
              </w:rPr>
              <w:t>£145.73</w:t>
            </w:r>
          </w:p>
        </w:tc>
        <w:tc>
          <w:tcPr>
            <w:tcW w:w="1835" w:type="pct"/>
            <w:tcBorders>
              <w:bottom w:val="single" w:sz="18" w:space="0" w:color="FFFFFF" w:themeColor="background1"/>
            </w:tcBorders>
            <w:shd w:val="clear" w:color="auto" w:fill="DBE5F1" w:themeFill="accent1" w:themeFillTint="33"/>
          </w:tcPr>
          <w:p w:rsidR="00295974" w:rsidRPr="003B42C2" w:rsidRDefault="00295974" w:rsidP="0093669F">
            <w:pPr>
              <w:jc w:val="both"/>
              <w:rPr>
                <w:rFonts w:cs="Tahoma"/>
                <w:b/>
                <w:lang w:eastAsia="en-GB"/>
              </w:rPr>
            </w:pPr>
            <w:r w:rsidRPr="003B42C2">
              <w:rPr>
                <w:rFonts w:cs="Tahoma"/>
                <w:b/>
                <w:lang w:eastAsia="en-GB"/>
              </w:rPr>
              <w:t>Weekly rent shortfall</w:t>
            </w:r>
          </w:p>
        </w:tc>
        <w:tc>
          <w:tcPr>
            <w:tcW w:w="680" w:type="pct"/>
            <w:gridSpan w:val="3"/>
            <w:tcBorders>
              <w:bottom w:val="single" w:sz="18" w:space="0" w:color="FFFFFF" w:themeColor="background1"/>
            </w:tcBorders>
            <w:shd w:val="clear" w:color="auto" w:fill="DBE5F1" w:themeFill="accent1" w:themeFillTint="33"/>
          </w:tcPr>
          <w:p w:rsidR="00295974" w:rsidRPr="003B42C2" w:rsidRDefault="00295974" w:rsidP="0093669F">
            <w:pPr>
              <w:jc w:val="right"/>
              <w:rPr>
                <w:rFonts w:cs="Tahoma"/>
                <w:b/>
                <w:lang w:eastAsia="en-GB"/>
              </w:rPr>
            </w:pPr>
            <w:r w:rsidRPr="003B42C2">
              <w:rPr>
                <w:rFonts w:cs="Tahoma"/>
                <w:b/>
                <w:lang w:eastAsia="en-GB"/>
              </w:rPr>
              <w:t>£14.00</w:t>
            </w:r>
          </w:p>
        </w:tc>
        <w:tc>
          <w:tcPr>
            <w:tcW w:w="1679" w:type="pct"/>
            <w:tcBorders>
              <w:bottom w:val="single" w:sz="18" w:space="0" w:color="FFFFFF" w:themeColor="background1"/>
            </w:tcBorders>
            <w:shd w:val="clear" w:color="auto" w:fill="DBE5F1" w:themeFill="accent1" w:themeFillTint="33"/>
          </w:tcPr>
          <w:p w:rsidR="00295974" w:rsidRPr="003B42C2" w:rsidRDefault="00295974" w:rsidP="0093669F">
            <w:pPr>
              <w:jc w:val="both"/>
              <w:rPr>
                <w:rFonts w:cs="Tahoma"/>
                <w:b/>
                <w:lang w:eastAsia="en-GB"/>
              </w:rPr>
            </w:pPr>
            <w:r w:rsidRPr="003B42C2">
              <w:rPr>
                <w:rFonts w:cs="Tahoma"/>
                <w:b/>
                <w:lang w:eastAsia="en-GB"/>
              </w:rPr>
              <w:t>Weekly rent shortfall</w:t>
            </w:r>
          </w:p>
        </w:tc>
      </w:tr>
      <w:tr w:rsidR="00295974" w:rsidRPr="003B42C2" w:rsidTr="0093669F">
        <w:tblPrEx>
          <w:jc w:val="right"/>
        </w:tblPrEx>
        <w:trPr>
          <w:jc w:val="right"/>
        </w:trPr>
        <w:tc>
          <w:tcPr>
            <w:tcW w:w="5000" w:type="pct"/>
            <w:gridSpan w:val="7"/>
            <w:tcBorders>
              <w:top w:val="single" w:sz="18" w:space="0" w:color="FFFFFF" w:themeColor="background1"/>
              <w:bottom w:val="single" w:sz="4" w:space="0" w:color="FFFFFF" w:themeColor="background1"/>
            </w:tcBorders>
            <w:shd w:val="clear" w:color="auto" w:fill="DBE5F1" w:themeFill="accent1" w:themeFillTint="33"/>
            <w:noWrap/>
          </w:tcPr>
          <w:p w:rsidR="00295974" w:rsidRPr="003B42C2" w:rsidRDefault="00295974" w:rsidP="0093669F">
            <w:pPr>
              <w:pStyle w:val="Heading4"/>
              <w:keepNext w:val="0"/>
              <w:keepLines w:val="0"/>
              <w:jc w:val="both"/>
              <w:outlineLvl w:val="3"/>
              <w:rPr>
                <w:rFonts w:asciiTheme="minorHAnsi" w:eastAsia="Times New Roman" w:hAnsiTheme="minorHAnsi" w:cs="Tahoma"/>
                <w:lang w:eastAsia="en-GB"/>
              </w:rPr>
            </w:pPr>
            <w:r w:rsidRPr="003B42C2">
              <w:rPr>
                <w:rFonts w:asciiTheme="minorHAnsi" w:eastAsia="Times New Roman" w:hAnsiTheme="minorHAnsi" w:cs="Tahoma"/>
                <w:lang w:eastAsia="en-GB"/>
              </w:rPr>
              <w:t>Case Study</w:t>
            </w:r>
            <w:r>
              <w:rPr>
                <w:rFonts w:asciiTheme="minorHAnsi" w:eastAsia="Times New Roman" w:hAnsiTheme="minorHAnsi" w:cs="Tahoma"/>
                <w:lang w:eastAsia="en-GB"/>
              </w:rPr>
              <w:t xml:space="preserve"> 2</w:t>
            </w:r>
            <w:r w:rsidRPr="003B42C2">
              <w:rPr>
                <w:rFonts w:asciiTheme="minorHAnsi" w:eastAsia="Times New Roman" w:hAnsiTheme="minorHAnsi" w:cs="Tahoma"/>
                <w:lang w:eastAsia="en-GB"/>
              </w:rPr>
              <w:t xml:space="preserve"> : Couple receiving ESA main phase with Work Related Activity</w:t>
            </w:r>
          </w:p>
        </w:tc>
      </w:tr>
      <w:tr w:rsidR="00295974" w:rsidRPr="003B42C2" w:rsidTr="0093669F">
        <w:tblPrEx>
          <w:jc w:val="right"/>
        </w:tblPrEx>
        <w:trPr>
          <w:jc w:val="right"/>
        </w:trPr>
        <w:tc>
          <w:tcPr>
            <w:tcW w:w="2674" w:type="pct"/>
            <w:gridSpan w:val="4"/>
            <w:tcBorders>
              <w:top w:val="single" w:sz="4" w:space="0" w:color="FFFFFF" w:themeColor="background1"/>
            </w:tcBorders>
            <w:shd w:val="clear" w:color="auto" w:fill="DBE5F1" w:themeFill="accent1" w:themeFillTint="33"/>
            <w:noWrap/>
            <w:hideMark/>
          </w:tcPr>
          <w:p w:rsidR="00295974" w:rsidRPr="003B42C2" w:rsidRDefault="00295974" w:rsidP="0093669F">
            <w:pPr>
              <w:jc w:val="both"/>
              <w:rPr>
                <w:rFonts w:cs="Tahoma"/>
                <w:lang w:eastAsia="en-GB"/>
              </w:rPr>
            </w:pPr>
            <w:r w:rsidRPr="003B42C2">
              <w:rPr>
                <w:rFonts w:cs="Tahoma"/>
                <w:lang w:eastAsia="en-GB"/>
              </w:rPr>
              <w:t>3 dependants</w:t>
            </w:r>
          </w:p>
        </w:tc>
        <w:tc>
          <w:tcPr>
            <w:tcW w:w="2326" w:type="pct"/>
            <w:gridSpan w:val="3"/>
            <w:tcBorders>
              <w:top w:val="single" w:sz="4" w:space="0" w:color="FFFFFF" w:themeColor="background1"/>
            </w:tcBorders>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2 dependants</w:t>
            </w:r>
          </w:p>
        </w:tc>
      </w:tr>
      <w:tr w:rsidR="00295974" w:rsidRPr="003B42C2" w:rsidTr="0093669F">
        <w:tblPrEx>
          <w:jc w:val="right"/>
        </w:tblPrEx>
        <w:trPr>
          <w:jc w:val="right"/>
        </w:trPr>
        <w:tc>
          <w:tcPr>
            <w:tcW w:w="806" w:type="pct"/>
            <w:gridSpan w:val="2"/>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£143.90</w:t>
            </w:r>
          </w:p>
        </w:tc>
        <w:tc>
          <w:tcPr>
            <w:tcW w:w="1868"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JSA/IS/ESA</w:t>
            </w:r>
          </w:p>
        </w:tc>
        <w:tc>
          <w:tcPr>
            <w:tcW w:w="566"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£143.90</w:t>
            </w:r>
          </w:p>
        </w:tc>
        <w:tc>
          <w:tcPr>
            <w:tcW w:w="1760"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JSA/IS/ESA</w:t>
            </w:r>
          </w:p>
        </w:tc>
      </w:tr>
      <w:tr w:rsidR="00295974" w:rsidRPr="003B42C2" w:rsidTr="0093669F">
        <w:tblPrEx>
          <w:jc w:val="right"/>
        </w:tblPrEx>
        <w:trPr>
          <w:jc w:val="right"/>
        </w:trPr>
        <w:tc>
          <w:tcPr>
            <w:tcW w:w="806" w:type="pct"/>
            <w:gridSpan w:val="2"/>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£48.10</w:t>
            </w:r>
          </w:p>
        </w:tc>
        <w:tc>
          <w:tcPr>
            <w:tcW w:w="1868"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Child Benefit</w:t>
            </w:r>
          </w:p>
        </w:tc>
        <w:tc>
          <w:tcPr>
            <w:tcW w:w="566"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£34.40</w:t>
            </w:r>
          </w:p>
        </w:tc>
        <w:tc>
          <w:tcPr>
            <w:tcW w:w="1760"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Child Benefit</w:t>
            </w:r>
          </w:p>
        </w:tc>
      </w:tr>
      <w:tr w:rsidR="00295974" w:rsidRPr="003B42C2" w:rsidTr="0093669F">
        <w:tblPrEx>
          <w:jc w:val="right"/>
        </w:tblPrEx>
        <w:trPr>
          <w:jc w:val="right"/>
        </w:trPr>
        <w:tc>
          <w:tcPr>
            <w:tcW w:w="806" w:type="pct"/>
            <w:gridSpan w:val="2"/>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£169.48</w:t>
            </w:r>
          </w:p>
        </w:tc>
        <w:tc>
          <w:tcPr>
            <w:tcW w:w="1868"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Council Tax Credit</w:t>
            </w:r>
          </w:p>
        </w:tc>
        <w:tc>
          <w:tcPr>
            <w:tcW w:w="566"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£116.45</w:t>
            </w:r>
          </w:p>
        </w:tc>
        <w:tc>
          <w:tcPr>
            <w:tcW w:w="1760"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Council Tax Credit</w:t>
            </w:r>
          </w:p>
        </w:tc>
      </w:tr>
      <w:tr w:rsidR="00295974" w:rsidRPr="003B42C2" w:rsidTr="0093669F">
        <w:tblPrEx>
          <w:jc w:val="right"/>
        </w:tblPrEx>
        <w:trPr>
          <w:jc w:val="right"/>
        </w:trPr>
        <w:tc>
          <w:tcPr>
            <w:tcW w:w="806" w:type="pct"/>
            <w:gridSpan w:val="2"/>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£361.48</w:t>
            </w:r>
          </w:p>
        </w:tc>
        <w:tc>
          <w:tcPr>
            <w:tcW w:w="1868"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Total</w:t>
            </w:r>
          </w:p>
        </w:tc>
        <w:tc>
          <w:tcPr>
            <w:tcW w:w="566"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£294.75</w:t>
            </w:r>
          </w:p>
        </w:tc>
        <w:tc>
          <w:tcPr>
            <w:tcW w:w="1760"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Total</w:t>
            </w:r>
          </w:p>
        </w:tc>
      </w:tr>
      <w:tr w:rsidR="00295974" w:rsidRPr="003B42C2" w:rsidTr="0093669F">
        <w:tblPrEx>
          <w:jc w:val="right"/>
        </w:tblPrEx>
        <w:trPr>
          <w:jc w:val="right"/>
        </w:trPr>
        <w:tc>
          <w:tcPr>
            <w:tcW w:w="806" w:type="pct"/>
            <w:gridSpan w:val="2"/>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£384.00</w:t>
            </w:r>
          </w:p>
        </w:tc>
        <w:tc>
          <w:tcPr>
            <w:tcW w:w="1868"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Cap</w:t>
            </w:r>
          </w:p>
        </w:tc>
        <w:tc>
          <w:tcPr>
            <w:tcW w:w="566"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£384.00</w:t>
            </w:r>
          </w:p>
        </w:tc>
        <w:tc>
          <w:tcPr>
            <w:tcW w:w="1760"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Cap</w:t>
            </w:r>
          </w:p>
        </w:tc>
      </w:tr>
      <w:tr w:rsidR="00295974" w:rsidRPr="003B42C2" w:rsidTr="0093669F">
        <w:tblPrEx>
          <w:jc w:val="right"/>
        </w:tblPrEx>
        <w:trPr>
          <w:jc w:val="right"/>
        </w:trPr>
        <w:tc>
          <w:tcPr>
            <w:tcW w:w="806" w:type="pct"/>
            <w:gridSpan w:val="2"/>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£22.52*</w:t>
            </w:r>
          </w:p>
        </w:tc>
        <w:tc>
          <w:tcPr>
            <w:tcW w:w="1868"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Amount available towards rent</w:t>
            </w:r>
          </w:p>
        </w:tc>
        <w:tc>
          <w:tcPr>
            <w:tcW w:w="566" w:type="pct"/>
            <w:shd w:val="clear" w:color="auto" w:fill="DBE5F1" w:themeFill="accent1" w:themeFillTint="33"/>
            <w:hideMark/>
          </w:tcPr>
          <w:p w:rsidR="00295974" w:rsidRPr="003B42C2" w:rsidRDefault="00295974" w:rsidP="0093669F">
            <w:pPr>
              <w:jc w:val="right"/>
              <w:rPr>
                <w:rFonts w:cs="Tahoma"/>
                <w:lang w:eastAsia="en-GB"/>
              </w:rPr>
            </w:pPr>
            <w:r w:rsidRPr="003B42C2">
              <w:rPr>
                <w:rFonts w:cs="Tahoma"/>
                <w:lang w:eastAsia="en-GB"/>
              </w:rPr>
              <w:t>£89.25*</w:t>
            </w:r>
          </w:p>
        </w:tc>
        <w:tc>
          <w:tcPr>
            <w:tcW w:w="1760" w:type="pct"/>
            <w:gridSpan w:val="2"/>
            <w:shd w:val="clear" w:color="auto" w:fill="DBE5F1" w:themeFill="accent1" w:themeFillTint="33"/>
            <w:hideMark/>
          </w:tcPr>
          <w:p w:rsidR="00295974" w:rsidRPr="003B42C2" w:rsidRDefault="00295974" w:rsidP="0093669F">
            <w:pPr>
              <w:jc w:val="both"/>
              <w:rPr>
                <w:rFonts w:cs="Tahoma"/>
                <w:lang w:eastAsia="en-GB"/>
              </w:rPr>
            </w:pPr>
            <w:r w:rsidRPr="003B42C2">
              <w:rPr>
                <w:rFonts w:cs="Tahoma"/>
                <w:lang w:eastAsia="en-GB"/>
              </w:rPr>
              <w:t>Amount available towards rent</w:t>
            </w:r>
          </w:p>
        </w:tc>
      </w:tr>
      <w:tr w:rsidR="00295974" w:rsidRPr="003B42C2" w:rsidTr="0093669F">
        <w:tblPrEx>
          <w:jc w:val="right"/>
        </w:tblPrEx>
        <w:trPr>
          <w:jc w:val="right"/>
        </w:trPr>
        <w:tc>
          <w:tcPr>
            <w:tcW w:w="806" w:type="pct"/>
            <w:gridSpan w:val="2"/>
            <w:shd w:val="clear" w:color="auto" w:fill="DBE5F1" w:themeFill="accent1" w:themeFillTint="33"/>
          </w:tcPr>
          <w:p w:rsidR="00295974" w:rsidRPr="003B42C2" w:rsidRDefault="00295974" w:rsidP="0093669F">
            <w:pPr>
              <w:jc w:val="right"/>
              <w:rPr>
                <w:rFonts w:cs="Tahoma"/>
                <w:lang w:eastAsia="en-GB"/>
              </w:rPr>
            </w:pPr>
            <w:r w:rsidRPr="003B42C2">
              <w:rPr>
                <w:rFonts w:cs="Tahoma"/>
                <w:lang w:eastAsia="en-GB"/>
              </w:rPr>
              <w:t>£210.00</w:t>
            </w:r>
          </w:p>
        </w:tc>
        <w:tc>
          <w:tcPr>
            <w:tcW w:w="1868" w:type="pct"/>
            <w:gridSpan w:val="2"/>
            <w:shd w:val="clear" w:color="auto" w:fill="DBE5F1" w:themeFill="accent1" w:themeFillTint="33"/>
          </w:tcPr>
          <w:p w:rsidR="00295974" w:rsidRPr="003B42C2" w:rsidRDefault="00295974" w:rsidP="0093669F">
            <w:pPr>
              <w:jc w:val="both"/>
              <w:rPr>
                <w:rFonts w:cs="Tahoma"/>
                <w:lang w:eastAsia="en-GB"/>
              </w:rPr>
            </w:pPr>
            <w:r w:rsidRPr="003B42C2">
              <w:rPr>
                <w:rFonts w:cs="Tahoma"/>
                <w:lang w:eastAsia="en-GB"/>
              </w:rPr>
              <w:t>Average weekly affordable rent (3 bed)</w:t>
            </w:r>
          </w:p>
        </w:tc>
        <w:tc>
          <w:tcPr>
            <w:tcW w:w="566" w:type="pct"/>
            <w:shd w:val="clear" w:color="auto" w:fill="DBE5F1" w:themeFill="accent1" w:themeFillTint="33"/>
          </w:tcPr>
          <w:p w:rsidR="00295974" w:rsidRPr="003B42C2" w:rsidRDefault="00295974" w:rsidP="0093669F">
            <w:pPr>
              <w:jc w:val="right"/>
              <w:rPr>
                <w:rFonts w:cs="Tahoma"/>
                <w:lang w:eastAsia="en-GB"/>
              </w:rPr>
            </w:pPr>
            <w:r w:rsidRPr="003B42C2">
              <w:rPr>
                <w:rFonts w:cs="Tahoma"/>
                <w:lang w:eastAsia="en-GB"/>
              </w:rPr>
              <w:t>£145.00</w:t>
            </w:r>
          </w:p>
        </w:tc>
        <w:tc>
          <w:tcPr>
            <w:tcW w:w="1760" w:type="pct"/>
            <w:gridSpan w:val="2"/>
            <w:shd w:val="clear" w:color="auto" w:fill="DBE5F1" w:themeFill="accent1" w:themeFillTint="33"/>
          </w:tcPr>
          <w:p w:rsidR="00295974" w:rsidRPr="003B42C2" w:rsidRDefault="00295974" w:rsidP="0093669F">
            <w:pPr>
              <w:jc w:val="both"/>
              <w:rPr>
                <w:rFonts w:cs="Tahoma"/>
                <w:lang w:eastAsia="en-GB"/>
              </w:rPr>
            </w:pPr>
            <w:r w:rsidRPr="003B42C2">
              <w:rPr>
                <w:rFonts w:cs="Tahoma"/>
                <w:lang w:eastAsia="en-GB"/>
              </w:rPr>
              <w:t>Average weekly affordable rent (2 bed)</w:t>
            </w:r>
          </w:p>
        </w:tc>
      </w:tr>
      <w:tr w:rsidR="00295974" w:rsidRPr="003B42C2" w:rsidTr="0093669F">
        <w:tblPrEx>
          <w:jc w:val="right"/>
        </w:tblPrEx>
        <w:trPr>
          <w:jc w:val="right"/>
        </w:trPr>
        <w:tc>
          <w:tcPr>
            <w:tcW w:w="806" w:type="pct"/>
            <w:gridSpan w:val="2"/>
            <w:shd w:val="clear" w:color="auto" w:fill="DBE5F1" w:themeFill="accent1" w:themeFillTint="33"/>
          </w:tcPr>
          <w:p w:rsidR="00295974" w:rsidRPr="003B42C2" w:rsidRDefault="00295974" w:rsidP="0093669F">
            <w:pPr>
              <w:jc w:val="right"/>
              <w:rPr>
                <w:rFonts w:cs="Tahoma"/>
                <w:b/>
                <w:lang w:eastAsia="en-GB"/>
              </w:rPr>
            </w:pPr>
            <w:r w:rsidRPr="003B42C2">
              <w:rPr>
                <w:rFonts w:cs="Tahoma"/>
                <w:b/>
                <w:lang w:eastAsia="en-GB"/>
              </w:rPr>
              <w:t>£187.48</w:t>
            </w:r>
          </w:p>
        </w:tc>
        <w:tc>
          <w:tcPr>
            <w:tcW w:w="1868" w:type="pct"/>
            <w:gridSpan w:val="2"/>
            <w:shd w:val="clear" w:color="auto" w:fill="DBE5F1" w:themeFill="accent1" w:themeFillTint="33"/>
          </w:tcPr>
          <w:p w:rsidR="00295974" w:rsidRPr="003B42C2" w:rsidRDefault="00295974" w:rsidP="0093669F">
            <w:pPr>
              <w:jc w:val="both"/>
              <w:rPr>
                <w:rFonts w:cs="Tahoma"/>
                <w:b/>
                <w:lang w:eastAsia="en-GB"/>
              </w:rPr>
            </w:pPr>
            <w:r w:rsidRPr="003B42C2">
              <w:rPr>
                <w:rFonts w:cs="Tahoma"/>
                <w:b/>
                <w:lang w:eastAsia="en-GB"/>
              </w:rPr>
              <w:t>Weekly rent shortfall</w:t>
            </w:r>
          </w:p>
        </w:tc>
        <w:tc>
          <w:tcPr>
            <w:tcW w:w="566" w:type="pct"/>
            <w:shd w:val="clear" w:color="auto" w:fill="DBE5F1" w:themeFill="accent1" w:themeFillTint="33"/>
          </w:tcPr>
          <w:p w:rsidR="00295974" w:rsidRPr="003B42C2" w:rsidRDefault="00295974" w:rsidP="0093669F">
            <w:pPr>
              <w:jc w:val="right"/>
              <w:rPr>
                <w:rFonts w:cs="Tahoma"/>
                <w:b/>
                <w:lang w:eastAsia="en-GB"/>
              </w:rPr>
            </w:pPr>
            <w:r w:rsidRPr="003B42C2">
              <w:rPr>
                <w:rFonts w:cs="Tahoma"/>
                <w:b/>
                <w:lang w:eastAsia="en-GB"/>
              </w:rPr>
              <w:t>£55.75</w:t>
            </w:r>
          </w:p>
        </w:tc>
        <w:tc>
          <w:tcPr>
            <w:tcW w:w="1760" w:type="pct"/>
            <w:gridSpan w:val="2"/>
            <w:shd w:val="clear" w:color="auto" w:fill="DBE5F1" w:themeFill="accent1" w:themeFillTint="33"/>
          </w:tcPr>
          <w:p w:rsidR="00295974" w:rsidRPr="003B42C2" w:rsidRDefault="00295974" w:rsidP="0093669F">
            <w:pPr>
              <w:jc w:val="both"/>
              <w:rPr>
                <w:rFonts w:cs="Tahoma"/>
                <w:b/>
                <w:lang w:eastAsia="en-GB"/>
              </w:rPr>
            </w:pPr>
            <w:r w:rsidRPr="003B42C2">
              <w:rPr>
                <w:rFonts w:cs="Tahoma"/>
                <w:b/>
                <w:lang w:eastAsia="en-GB"/>
              </w:rPr>
              <w:t>Weekly rent shortfall</w:t>
            </w:r>
          </w:p>
        </w:tc>
      </w:tr>
      <w:tr w:rsidR="00295974" w:rsidRPr="003B42C2" w:rsidTr="0093669F">
        <w:tblPrEx>
          <w:jc w:val="right"/>
        </w:tblPrEx>
        <w:trPr>
          <w:jc w:val="right"/>
        </w:trPr>
        <w:tc>
          <w:tcPr>
            <w:tcW w:w="5000" w:type="pct"/>
            <w:gridSpan w:val="7"/>
            <w:shd w:val="clear" w:color="auto" w:fill="DBE5F1" w:themeFill="accent1" w:themeFillTint="33"/>
          </w:tcPr>
          <w:p w:rsidR="00295974" w:rsidRPr="003B42C2" w:rsidRDefault="00295974" w:rsidP="0093669F">
            <w:pPr>
              <w:jc w:val="both"/>
              <w:rPr>
                <w:rFonts w:cs="Tahoma"/>
                <w:lang w:eastAsia="en-GB"/>
              </w:rPr>
            </w:pPr>
            <w:r w:rsidRPr="003B42C2">
              <w:rPr>
                <w:rFonts w:cs="Tahoma"/>
                <w:lang w:eastAsia="en-GB"/>
              </w:rPr>
              <w:t> </w:t>
            </w:r>
            <w:r w:rsidRPr="003B42C2">
              <w:rPr>
                <w:rFonts w:cs="Tahoma"/>
              </w:rPr>
              <w:t>* Any rent above this figure would be subject to HB claim reduction under Benefit Cap</w:t>
            </w:r>
          </w:p>
        </w:tc>
      </w:tr>
    </w:tbl>
    <w:p w:rsidR="00EA7C35" w:rsidRDefault="00EA7C35" w:rsidP="00EA7C35">
      <w:pPr>
        <w:autoSpaceDE w:val="0"/>
        <w:autoSpaceDN w:val="0"/>
        <w:adjustRightInd w:val="0"/>
        <w:spacing w:line="276" w:lineRule="auto"/>
        <w:rPr>
          <w:rFonts w:cs="Arial"/>
          <w:b/>
          <w:color w:val="000000"/>
          <w:szCs w:val="24"/>
          <w:lang w:eastAsia="en-GB"/>
        </w:rPr>
      </w:pPr>
    </w:p>
    <w:p w:rsidR="00EA7C35" w:rsidRDefault="00CF0B60" w:rsidP="00EA7C35">
      <w:pPr>
        <w:autoSpaceDE w:val="0"/>
        <w:autoSpaceDN w:val="0"/>
        <w:adjustRightInd w:val="0"/>
        <w:spacing w:line="276" w:lineRule="auto"/>
        <w:rPr>
          <w:rFonts w:cs="Arial"/>
          <w:b/>
          <w:color w:val="000000"/>
          <w:szCs w:val="24"/>
          <w:lang w:eastAsia="en-GB"/>
        </w:rPr>
      </w:pPr>
      <w:r>
        <w:rPr>
          <w:rFonts w:cs="Arial"/>
          <w:b/>
          <w:color w:val="000000"/>
          <w:szCs w:val="24"/>
          <w:lang w:eastAsia="en-GB"/>
        </w:rPr>
        <w:t>Sources</w:t>
      </w:r>
    </w:p>
    <w:p w:rsidR="00CF0B60" w:rsidRDefault="00CF0B60" w:rsidP="00EA7C35">
      <w:pPr>
        <w:autoSpaceDE w:val="0"/>
        <w:autoSpaceDN w:val="0"/>
        <w:adjustRightInd w:val="0"/>
        <w:spacing w:line="276" w:lineRule="auto"/>
        <w:rPr>
          <w:rFonts w:cs="Arial"/>
          <w:b/>
          <w:color w:val="000000"/>
          <w:szCs w:val="24"/>
          <w:lang w:eastAsia="en-GB"/>
        </w:rPr>
      </w:pPr>
    </w:p>
    <w:p w:rsidR="00CF0B60" w:rsidRPr="00155ABF" w:rsidRDefault="00CF0B60" w:rsidP="00CF0B60">
      <w:pPr>
        <w:spacing w:after="240" w:line="276" w:lineRule="auto"/>
        <w:rPr>
          <w:lang w:eastAsia="en-GB"/>
        </w:rPr>
      </w:pPr>
      <w:r w:rsidRPr="00155ABF">
        <w:rPr>
          <w:lang w:eastAsia="en-GB"/>
        </w:rPr>
        <w:t>1</w:t>
      </w:r>
      <w:r w:rsidR="00304EF2" w:rsidRPr="00155ABF">
        <w:rPr>
          <w:lang w:eastAsia="en-GB"/>
        </w:rPr>
        <w:t>.</w:t>
      </w:r>
      <w:r w:rsidRPr="00155ABF">
        <w:rPr>
          <w:lang w:eastAsia="en-GB"/>
        </w:rPr>
        <w:t>2</w:t>
      </w:r>
      <w:r w:rsidR="00304EF2" w:rsidRPr="00155ABF">
        <w:rPr>
          <w:lang w:eastAsia="en-GB"/>
        </w:rPr>
        <w:t>.</w:t>
      </w:r>
      <w:r w:rsidRPr="00155ABF">
        <w:rPr>
          <w:vertAlign w:val="superscript"/>
          <w:lang w:eastAsia="en-GB"/>
        </w:rPr>
        <w:t xml:space="preserve"> </w:t>
      </w:r>
      <w:hyperlink r:id="rId9" w:history="1">
        <w:r w:rsidRPr="00155ABF">
          <w:rPr>
            <w:color w:val="0000FF"/>
            <w:u w:val="single"/>
            <w:lang w:eastAsia="en-GB"/>
          </w:rPr>
          <w:t>http://www.parliament.uk/mps-lords-and-offices/offices/commons/commonslibrary /commons-library-news/welfare-reform-and-work-bill-2015/</w:t>
        </w:r>
      </w:hyperlink>
      <w:r w:rsidRPr="00155ABF">
        <w:rPr>
          <w:lang w:eastAsia="en-GB"/>
        </w:rPr>
        <w:t xml:space="preserve"> (accessed 10 April 2016)</w:t>
      </w:r>
    </w:p>
    <w:p w:rsidR="00155ABF" w:rsidRPr="00155ABF" w:rsidRDefault="00304EF2" w:rsidP="00CF0B60">
      <w:pPr>
        <w:spacing w:after="240" w:line="276" w:lineRule="auto"/>
        <w:rPr>
          <w:lang w:eastAsia="en-GB"/>
        </w:rPr>
      </w:pPr>
      <w:r w:rsidRPr="00155ABF">
        <w:rPr>
          <w:lang w:eastAsia="en-GB"/>
        </w:rPr>
        <w:t xml:space="preserve">3. </w:t>
      </w:r>
      <w:r w:rsidRPr="00155ABF">
        <w:rPr>
          <w:color w:val="0070C0"/>
          <w:lang w:eastAsia="en-GB"/>
        </w:rPr>
        <w:t>gov.uk-‘Fit note:guidanceforGPs’https//www.gobv.uk/government/publications/fit-note-guidance’for’gps</w:t>
      </w:r>
    </w:p>
    <w:p w:rsidR="00304EF2" w:rsidRPr="00155ABF" w:rsidRDefault="00304EF2" w:rsidP="00CF0B60">
      <w:pPr>
        <w:spacing w:after="240" w:line="276" w:lineRule="auto"/>
        <w:rPr>
          <w:color w:val="0000FF"/>
          <w:u w:val="single"/>
          <w:lang w:eastAsia="en-GB"/>
        </w:rPr>
      </w:pPr>
      <w:r w:rsidRPr="00155ABF">
        <w:t xml:space="preserve">4. </w:t>
      </w:r>
      <w:hyperlink r:id="rId10" w:history="1">
        <w:r w:rsidRPr="00155ABF">
          <w:rPr>
            <w:color w:val="0000FF"/>
            <w:u w:val="single"/>
            <w:lang w:eastAsia="en-GB"/>
          </w:rPr>
          <w:t>http://www.kenthousinggroup.org.uk/KHG_Protocols.aspx</w:t>
        </w:r>
      </w:hyperlink>
    </w:p>
    <w:p w:rsidR="00304EF2" w:rsidRPr="00155ABF" w:rsidRDefault="00304EF2" w:rsidP="00CF0B60">
      <w:pPr>
        <w:spacing w:after="240" w:line="276" w:lineRule="auto"/>
        <w:rPr>
          <w:lang w:eastAsia="en-GB"/>
        </w:rPr>
      </w:pPr>
      <w:r w:rsidRPr="00155ABF">
        <w:rPr>
          <w:lang w:eastAsia="en-GB"/>
        </w:rPr>
        <w:t xml:space="preserve">5. </w:t>
      </w:r>
      <w:hyperlink r:id="rId11" w:history="1">
        <w:r w:rsidRPr="00155ABF">
          <w:rPr>
            <w:color w:val="0000FF"/>
            <w:u w:val="single"/>
            <w:lang w:eastAsia="en-GB"/>
          </w:rPr>
          <w:t>http://www.fph.org.uk/uploads/APPG_on_Health_in_All_Policies_inquiry_into_child_poverty_and_health_2.pdf</w:t>
        </w:r>
      </w:hyperlink>
    </w:p>
    <w:p w:rsidR="00CF565D" w:rsidRPr="00155ABF" w:rsidRDefault="00CF565D" w:rsidP="00CF0B60">
      <w:pPr>
        <w:tabs>
          <w:tab w:val="center" w:pos="4513"/>
          <w:tab w:val="right" w:pos="9026"/>
        </w:tabs>
        <w:spacing w:line="240" w:lineRule="auto"/>
        <w:rPr>
          <w:color w:val="0000FF"/>
          <w:u w:val="single"/>
          <w:lang w:eastAsia="en-GB"/>
        </w:rPr>
      </w:pPr>
      <w:r w:rsidRPr="00155ABF">
        <w:t xml:space="preserve">6. </w:t>
      </w:r>
      <w:hyperlink r:id="rId12" w:history="1">
        <w:r w:rsidRPr="00155ABF">
          <w:rPr>
            <w:color w:val="0000FF"/>
            <w:u w:val="single"/>
            <w:lang w:eastAsia="en-GB"/>
          </w:rPr>
          <w:t>http://www.cpag.org.uk/content/cpags-response-all-party-parliamentary-group-inquiry-child-poverty-and-health</w:t>
        </w:r>
      </w:hyperlink>
    </w:p>
    <w:p w:rsidR="00CF565D" w:rsidRPr="00155ABF" w:rsidRDefault="00CF565D" w:rsidP="00CF0B60">
      <w:pPr>
        <w:tabs>
          <w:tab w:val="center" w:pos="4513"/>
          <w:tab w:val="right" w:pos="9026"/>
        </w:tabs>
        <w:spacing w:line="240" w:lineRule="auto"/>
      </w:pPr>
    </w:p>
    <w:p w:rsidR="00CF565D" w:rsidRPr="00155ABF" w:rsidRDefault="00CF565D" w:rsidP="00CF0B60">
      <w:pPr>
        <w:tabs>
          <w:tab w:val="center" w:pos="4513"/>
          <w:tab w:val="right" w:pos="9026"/>
        </w:tabs>
        <w:spacing w:line="240" w:lineRule="auto"/>
        <w:rPr>
          <w:color w:val="0000FF"/>
          <w:u w:val="single"/>
          <w:lang w:eastAsia="en-GB"/>
        </w:rPr>
      </w:pPr>
      <w:r w:rsidRPr="00155ABF">
        <w:t xml:space="preserve">7. </w:t>
      </w:r>
      <w:hyperlink r:id="rId13" w:history="1">
        <w:r w:rsidRPr="00155ABF">
          <w:rPr>
            <w:color w:val="0000FF"/>
            <w:u w:val="single"/>
            <w:lang w:eastAsia="en-GB"/>
          </w:rPr>
          <w:t>http://www.westkentccg.nhs.uk/about-us/mapping-the-future/</w:t>
        </w:r>
      </w:hyperlink>
    </w:p>
    <w:p w:rsidR="00CF565D" w:rsidRPr="00155ABF" w:rsidRDefault="00CF565D" w:rsidP="00CF0B60">
      <w:pPr>
        <w:tabs>
          <w:tab w:val="center" w:pos="4513"/>
          <w:tab w:val="right" w:pos="9026"/>
        </w:tabs>
        <w:spacing w:line="240" w:lineRule="auto"/>
        <w:rPr>
          <w:color w:val="0000FF"/>
          <w:u w:val="single"/>
          <w:lang w:eastAsia="en-GB"/>
        </w:rPr>
      </w:pPr>
    </w:p>
    <w:p w:rsidR="00CF565D" w:rsidRPr="00155ABF" w:rsidRDefault="00CF565D" w:rsidP="00CF0B60">
      <w:pPr>
        <w:tabs>
          <w:tab w:val="center" w:pos="4513"/>
          <w:tab w:val="right" w:pos="9026"/>
        </w:tabs>
        <w:spacing w:line="240" w:lineRule="auto"/>
        <w:rPr>
          <w:color w:val="0000FF"/>
          <w:u w:val="single"/>
          <w:lang w:eastAsia="en-GB"/>
        </w:rPr>
      </w:pPr>
      <w:r w:rsidRPr="00155ABF">
        <w:rPr>
          <w:lang w:eastAsia="en-GB"/>
        </w:rPr>
        <w:t>8. Citizens Advice Survey with RCGP (2014)</w:t>
      </w:r>
    </w:p>
    <w:p w:rsidR="00CF565D" w:rsidRPr="00155ABF" w:rsidRDefault="00CF565D" w:rsidP="00CF0B60">
      <w:pPr>
        <w:tabs>
          <w:tab w:val="center" w:pos="4513"/>
          <w:tab w:val="right" w:pos="9026"/>
        </w:tabs>
        <w:spacing w:line="240" w:lineRule="auto"/>
        <w:rPr>
          <w:lang w:eastAsia="en-GB"/>
        </w:rPr>
      </w:pPr>
    </w:p>
    <w:p w:rsidR="00CF565D" w:rsidRPr="00155ABF" w:rsidRDefault="00CF565D" w:rsidP="00CF0B60">
      <w:pPr>
        <w:tabs>
          <w:tab w:val="center" w:pos="4513"/>
          <w:tab w:val="right" w:pos="9026"/>
        </w:tabs>
        <w:spacing w:line="240" w:lineRule="auto"/>
        <w:rPr>
          <w:lang w:eastAsia="en-GB"/>
        </w:rPr>
      </w:pPr>
      <w:r w:rsidRPr="00155ABF">
        <w:rPr>
          <w:lang w:eastAsia="en-GB"/>
        </w:rPr>
        <w:t xml:space="preserve">9. </w:t>
      </w:r>
      <w:hyperlink r:id="rId14" w:history="1">
        <w:r w:rsidRPr="00155ABF">
          <w:rPr>
            <w:rStyle w:val="Hyperlink"/>
            <w:lang w:eastAsia="en-GB"/>
          </w:rPr>
          <w:t>https://www.citizensadvice.org.uk/Global/CitizensAdvice/Public%20services%20publications/CitizensAdvice_AVeryGeneralPractice_May2015.pdf</w:t>
        </w:r>
      </w:hyperlink>
    </w:p>
    <w:p w:rsidR="00CF565D" w:rsidRPr="00155ABF" w:rsidRDefault="00CF565D" w:rsidP="00CF0B60">
      <w:pPr>
        <w:tabs>
          <w:tab w:val="center" w:pos="4513"/>
          <w:tab w:val="right" w:pos="9026"/>
        </w:tabs>
        <w:spacing w:line="240" w:lineRule="auto"/>
      </w:pPr>
    </w:p>
    <w:p w:rsidR="00CF565D" w:rsidRPr="00155ABF" w:rsidRDefault="00CF565D" w:rsidP="00CF0B60">
      <w:pPr>
        <w:tabs>
          <w:tab w:val="center" w:pos="4513"/>
          <w:tab w:val="right" w:pos="9026"/>
        </w:tabs>
        <w:spacing w:line="240" w:lineRule="auto"/>
        <w:rPr>
          <w:color w:val="0000FF"/>
          <w:u w:val="single"/>
          <w:lang w:eastAsia="en-GB"/>
        </w:rPr>
      </w:pPr>
      <w:r w:rsidRPr="00155ABF">
        <w:t xml:space="preserve">10. </w:t>
      </w:r>
      <w:hyperlink r:id="rId15" w:history="1">
        <w:r w:rsidRPr="00155ABF">
          <w:rPr>
            <w:color w:val="0000FF"/>
            <w:u w:val="single"/>
            <w:lang w:eastAsia="en-GB"/>
          </w:rPr>
          <w:t>http://www.gentoogroup.com/news/gp-visits-reduced-after-patients-receive-energy-saving-measures-on-prescription-from-nhs/</w:t>
        </w:r>
      </w:hyperlink>
    </w:p>
    <w:p w:rsidR="00CF565D" w:rsidRPr="00155ABF" w:rsidRDefault="00CF565D" w:rsidP="00CF0B60">
      <w:pPr>
        <w:tabs>
          <w:tab w:val="center" w:pos="4513"/>
          <w:tab w:val="right" w:pos="9026"/>
        </w:tabs>
        <w:spacing w:line="240" w:lineRule="auto"/>
        <w:rPr>
          <w:color w:val="0000FF"/>
          <w:u w:val="single"/>
          <w:lang w:eastAsia="en-GB"/>
        </w:rPr>
      </w:pPr>
    </w:p>
    <w:p w:rsidR="00CF565D" w:rsidRPr="00155ABF" w:rsidRDefault="00CF565D" w:rsidP="00CF0B60">
      <w:pPr>
        <w:tabs>
          <w:tab w:val="center" w:pos="4513"/>
          <w:tab w:val="right" w:pos="9026"/>
        </w:tabs>
        <w:spacing w:line="240" w:lineRule="auto"/>
        <w:rPr>
          <w:color w:val="0000FF"/>
          <w:u w:val="single"/>
          <w:lang w:eastAsia="en-GB"/>
        </w:rPr>
      </w:pPr>
    </w:p>
    <w:p w:rsidR="00CF0B60" w:rsidRPr="00155ABF" w:rsidRDefault="00CF565D" w:rsidP="009B2A0E">
      <w:pPr>
        <w:tabs>
          <w:tab w:val="center" w:pos="4513"/>
          <w:tab w:val="right" w:pos="9026"/>
        </w:tabs>
        <w:spacing w:line="240" w:lineRule="auto"/>
        <w:rPr>
          <w:rFonts w:eastAsiaTheme="minorHAnsi" w:cstheme="minorBidi"/>
          <w:szCs w:val="22"/>
        </w:rPr>
      </w:pPr>
      <w:r w:rsidRPr="00155ABF">
        <w:rPr>
          <w:rFonts w:eastAsiaTheme="minorHAnsi" w:cstheme="minorBidi"/>
          <w:szCs w:val="22"/>
        </w:rPr>
        <w:t>11.</w:t>
      </w:r>
      <w:r w:rsidR="00CF0B60" w:rsidRPr="00155ABF">
        <w:rPr>
          <w:rFonts w:eastAsiaTheme="minorHAnsi" w:cstheme="minorBidi"/>
          <w:szCs w:val="22"/>
          <w:vertAlign w:val="superscript"/>
        </w:rPr>
        <w:t xml:space="preserve"> </w:t>
      </w:r>
      <w:r w:rsidR="009B2A0E" w:rsidRPr="00155ABF">
        <w:rPr>
          <w:rFonts w:eastAsiaTheme="minorHAnsi" w:cstheme="minorBidi"/>
          <w:szCs w:val="22"/>
        </w:rPr>
        <w:t xml:space="preserve">Waddell, G., Burton, A.K. and Kendall, N.A.S. (2008). Vocational Rehabilitation, what works, for whom and when? TSO </w:t>
      </w:r>
      <w:hyperlink r:id="rId16" w:history="1">
        <w:r w:rsidR="009B2A0E" w:rsidRPr="00155ABF">
          <w:rPr>
            <w:rStyle w:val="Hyperlink"/>
            <w:rFonts w:eastAsiaTheme="minorHAnsi" w:cstheme="minorBidi"/>
            <w:szCs w:val="22"/>
          </w:rPr>
          <w:t>https://www.gov.uk/government/publications/vocational-rehabilitation-scientific-evidence-review</w:t>
        </w:r>
      </w:hyperlink>
    </w:p>
    <w:p w:rsidR="00CF565D" w:rsidRPr="00155ABF" w:rsidRDefault="00CF565D" w:rsidP="00CF0B60">
      <w:pPr>
        <w:tabs>
          <w:tab w:val="center" w:pos="4513"/>
          <w:tab w:val="right" w:pos="9026"/>
        </w:tabs>
        <w:spacing w:line="240" w:lineRule="auto"/>
        <w:rPr>
          <w:rFonts w:eastAsiaTheme="minorHAnsi" w:cstheme="minorBidi"/>
          <w:szCs w:val="22"/>
        </w:rPr>
      </w:pPr>
    </w:p>
    <w:p w:rsidR="00A0578E" w:rsidRPr="00155ABF" w:rsidRDefault="00CF565D" w:rsidP="009B2A0E">
      <w:pPr>
        <w:tabs>
          <w:tab w:val="center" w:pos="4513"/>
          <w:tab w:val="right" w:pos="9026"/>
        </w:tabs>
        <w:spacing w:line="240" w:lineRule="auto"/>
        <w:rPr>
          <w:lang w:eastAsia="en-GB"/>
        </w:rPr>
      </w:pPr>
      <w:r w:rsidRPr="00155ABF">
        <w:rPr>
          <w:rFonts w:eastAsiaTheme="minorHAnsi" w:cstheme="minorBidi"/>
          <w:szCs w:val="22"/>
        </w:rPr>
        <w:t xml:space="preserve">12. </w:t>
      </w:r>
      <w:r w:rsidR="00A0578E" w:rsidRPr="00155ABF">
        <w:rPr>
          <w:lang w:eastAsia="en-GB"/>
        </w:rPr>
        <w:t>The Chief Executive of social care organisation Turning Point, Lord Victor Adebowale, 2008</w:t>
      </w:r>
    </w:p>
    <w:p w:rsidR="009B2A0E" w:rsidRPr="00155ABF" w:rsidRDefault="009B2A0E" w:rsidP="009B2A0E">
      <w:pPr>
        <w:tabs>
          <w:tab w:val="center" w:pos="4513"/>
          <w:tab w:val="right" w:pos="9026"/>
        </w:tabs>
        <w:spacing w:line="240" w:lineRule="auto"/>
        <w:rPr>
          <w:rFonts w:eastAsiaTheme="minorHAnsi" w:cstheme="minorBidi"/>
          <w:szCs w:val="22"/>
        </w:rPr>
      </w:pPr>
    </w:p>
    <w:p w:rsidR="009B2A0E" w:rsidRPr="00155ABF" w:rsidRDefault="009B2A0E" w:rsidP="009B2A0E">
      <w:pPr>
        <w:tabs>
          <w:tab w:val="center" w:pos="4513"/>
          <w:tab w:val="right" w:pos="9026"/>
        </w:tabs>
        <w:spacing w:line="240" w:lineRule="auto"/>
        <w:rPr>
          <w:rFonts w:eastAsiaTheme="minorHAnsi" w:cstheme="minorBidi"/>
          <w:szCs w:val="22"/>
        </w:rPr>
      </w:pPr>
      <w:r w:rsidRPr="00155ABF">
        <w:rPr>
          <w:rFonts w:eastAsiaTheme="minorHAnsi" w:cstheme="minorBidi"/>
          <w:szCs w:val="22"/>
        </w:rPr>
        <w:t>13. Collingwood, S. (2011). Attitudes to health and work amongst the working-age population DWP Research Report No 763</w:t>
      </w:r>
    </w:p>
    <w:p w:rsidR="009B2A0E" w:rsidRPr="00155ABF" w:rsidRDefault="001A0914" w:rsidP="009B2A0E">
      <w:pPr>
        <w:tabs>
          <w:tab w:val="center" w:pos="4513"/>
          <w:tab w:val="right" w:pos="9026"/>
        </w:tabs>
        <w:spacing w:line="240" w:lineRule="auto"/>
        <w:rPr>
          <w:rFonts w:eastAsiaTheme="minorHAnsi" w:cstheme="minorBidi"/>
          <w:szCs w:val="22"/>
        </w:rPr>
      </w:pPr>
      <w:hyperlink r:id="rId17" w:history="1">
        <w:r w:rsidR="009B2A0E" w:rsidRPr="00155ABF">
          <w:rPr>
            <w:rFonts w:eastAsiaTheme="minorHAnsi" w:cstheme="minorBidi"/>
            <w:color w:val="0000FF"/>
            <w:szCs w:val="22"/>
            <w:u w:val="single"/>
          </w:rPr>
          <w:t>https://www.gov.uk/government/uploads/system/uploads/attachment_data/file/214544/rrep763.pdf</w:t>
        </w:r>
      </w:hyperlink>
    </w:p>
    <w:p w:rsidR="009B2A0E" w:rsidRPr="00155ABF" w:rsidRDefault="009B2A0E" w:rsidP="009B2A0E">
      <w:pPr>
        <w:tabs>
          <w:tab w:val="center" w:pos="4513"/>
          <w:tab w:val="right" w:pos="9026"/>
        </w:tabs>
        <w:spacing w:line="240" w:lineRule="auto"/>
        <w:rPr>
          <w:rFonts w:eastAsiaTheme="minorHAnsi" w:cstheme="minorBidi"/>
          <w:szCs w:val="22"/>
        </w:rPr>
      </w:pPr>
    </w:p>
    <w:p w:rsidR="009B2A0E" w:rsidRPr="00155ABF" w:rsidRDefault="009B2A0E" w:rsidP="009B2A0E">
      <w:pPr>
        <w:tabs>
          <w:tab w:val="center" w:pos="4513"/>
          <w:tab w:val="right" w:pos="9026"/>
        </w:tabs>
        <w:spacing w:line="240" w:lineRule="auto"/>
        <w:rPr>
          <w:rFonts w:eastAsiaTheme="minorHAnsi" w:cstheme="minorBidi"/>
          <w:color w:val="0000FF"/>
          <w:szCs w:val="22"/>
          <w:u w:val="single"/>
        </w:rPr>
      </w:pPr>
      <w:r w:rsidRPr="00155ABF">
        <w:rPr>
          <w:rFonts w:eastAsiaTheme="minorHAnsi" w:cstheme="minorBidi"/>
          <w:szCs w:val="22"/>
        </w:rPr>
        <w:t xml:space="preserve">14. O’Brien et al (2008). Sickness certification in the general practice consultation: the patients’ perspective, a qualitative study. Cardiff University </w:t>
      </w:r>
      <w:hyperlink r:id="rId18" w:history="1">
        <w:r w:rsidRPr="00155ABF">
          <w:rPr>
            <w:rFonts w:eastAsiaTheme="minorHAnsi" w:cstheme="minorBidi"/>
            <w:color w:val="0000FF"/>
            <w:szCs w:val="22"/>
            <w:u w:val="single"/>
          </w:rPr>
          <w:t>www.ncbi.nlm.nih.gov/pubmed/18245795</w:t>
        </w:r>
      </w:hyperlink>
    </w:p>
    <w:p w:rsidR="009B2A0E" w:rsidRPr="00155ABF" w:rsidRDefault="009B2A0E" w:rsidP="009B2A0E">
      <w:pPr>
        <w:tabs>
          <w:tab w:val="center" w:pos="4513"/>
          <w:tab w:val="right" w:pos="9026"/>
        </w:tabs>
        <w:spacing w:line="240" w:lineRule="auto"/>
        <w:rPr>
          <w:lang w:eastAsia="en-GB"/>
        </w:rPr>
      </w:pPr>
    </w:p>
    <w:p w:rsidR="00A0578E" w:rsidRPr="00155ABF" w:rsidRDefault="00A0578E" w:rsidP="009B2A0E">
      <w:pPr>
        <w:tabs>
          <w:tab w:val="center" w:pos="142"/>
          <w:tab w:val="center" w:pos="4513"/>
          <w:tab w:val="right" w:pos="9026"/>
        </w:tabs>
        <w:spacing w:line="240" w:lineRule="auto"/>
        <w:rPr>
          <w:rFonts w:eastAsiaTheme="minorHAnsi" w:cstheme="minorBidi"/>
          <w:szCs w:val="22"/>
        </w:rPr>
      </w:pPr>
    </w:p>
    <w:p w:rsidR="00A0578E" w:rsidRPr="00155ABF" w:rsidRDefault="00A0578E" w:rsidP="00A0578E">
      <w:pPr>
        <w:tabs>
          <w:tab w:val="center" w:pos="4513"/>
          <w:tab w:val="right" w:pos="9026"/>
        </w:tabs>
        <w:spacing w:line="240" w:lineRule="auto"/>
        <w:rPr>
          <w:rFonts w:eastAsiaTheme="minorHAnsi" w:cstheme="minorBidi"/>
          <w:szCs w:val="22"/>
          <w:vertAlign w:val="superscript"/>
        </w:rPr>
      </w:pPr>
      <w:r w:rsidRPr="00155ABF">
        <w:rPr>
          <w:rFonts w:eastAsiaTheme="minorHAnsi" w:cstheme="minorBidi"/>
          <w:szCs w:val="22"/>
        </w:rPr>
        <w:t>15. Hann M and Sibbald B (2011). General Practitioners’ attitudes towards patients’ health and work DWP Research Report 733.https://www.gov.uk/government/uploads/system/uploads/attachment_data/file/214507/rrep733.pdf</w:t>
      </w:r>
    </w:p>
    <w:p w:rsidR="00CF565D" w:rsidRPr="00155ABF" w:rsidRDefault="00CF565D" w:rsidP="00CF0B60">
      <w:pPr>
        <w:tabs>
          <w:tab w:val="center" w:pos="4513"/>
          <w:tab w:val="right" w:pos="9026"/>
        </w:tabs>
        <w:spacing w:line="240" w:lineRule="auto"/>
        <w:rPr>
          <w:rFonts w:eastAsiaTheme="minorHAnsi" w:cstheme="minorBidi"/>
          <w:szCs w:val="22"/>
        </w:rPr>
      </w:pPr>
    </w:p>
    <w:p w:rsidR="00A0578E" w:rsidRPr="00155ABF" w:rsidRDefault="00A0578E" w:rsidP="00CF0B60">
      <w:pPr>
        <w:spacing w:after="240" w:line="276" w:lineRule="auto"/>
        <w:rPr>
          <w:rFonts w:eastAsiaTheme="minorHAnsi" w:cstheme="minorBidi"/>
          <w:szCs w:val="22"/>
        </w:rPr>
      </w:pPr>
      <w:r w:rsidRPr="00155ABF">
        <w:rPr>
          <w:lang w:eastAsia="en-GB"/>
        </w:rPr>
        <w:t>16</w:t>
      </w:r>
      <w:r w:rsidRPr="00155ABF">
        <w:rPr>
          <w:vertAlign w:val="superscript"/>
          <w:lang w:eastAsia="en-GB"/>
        </w:rPr>
        <w:t xml:space="preserve">. </w:t>
      </w:r>
      <w:r w:rsidRPr="00155ABF">
        <w:rPr>
          <w:lang w:eastAsia="en-GB"/>
        </w:rPr>
        <w:t>Ibid, footnote 1</w:t>
      </w:r>
      <w:r w:rsidRPr="00155ABF">
        <w:rPr>
          <w:rFonts w:eastAsiaTheme="minorHAnsi" w:cstheme="minorBidi"/>
          <w:szCs w:val="22"/>
        </w:rPr>
        <w:t xml:space="preserve"> </w:t>
      </w:r>
    </w:p>
    <w:p w:rsidR="00A0578E" w:rsidRPr="00155ABF" w:rsidRDefault="00A0578E" w:rsidP="00CF0B60">
      <w:pPr>
        <w:spacing w:after="240" w:line="276" w:lineRule="auto"/>
        <w:rPr>
          <w:rStyle w:val="Hyperlink"/>
          <w:rFonts w:eastAsiaTheme="minorHAnsi" w:cstheme="minorBidi"/>
          <w:szCs w:val="22"/>
        </w:rPr>
      </w:pPr>
      <w:r w:rsidRPr="00155ABF">
        <w:rPr>
          <w:rFonts w:eastAsiaTheme="minorHAnsi" w:cstheme="minorBidi"/>
          <w:szCs w:val="22"/>
        </w:rPr>
        <w:t xml:space="preserve">17. </w:t>
      </w:r>
      <w:r w:rsidR="009B2A0E" w:rsidRPr="00155ABF">
        <w:rPr>
          <w:rFonts w:eastAsiaTheme="minorHAnsi" w:cstheme="minorBidi"/>
          <w:szCs w:val="22"/>
        </w:rPr>
        <w:t xml:space="preserve">Waddell, G., Burton, A.K. and Kendall, N.A.S. (2008). Vocational Rehabilitation, what works, for whom and when? TSO </w:t>
      </w:r>
      <w:hyperlink r:id="rId19" w:history="1">
        <w:r w:rsidR="009B2A0E" w:rsidRPr="00155ABF">
          <w:rPr>
            <w:rStyle w:val="Hyperlink"/>
            <w:rFonts w:eastAsiaTheme="minorHAnsi" w:cstheme="minorBidi"/>
            <w:szCs w:val="22"/>
          </w:rPr>
          <w:t>https://www.gov.uk/government/publications/vocational-rehabilitation-scientific-evidence-review</w:t>
        </w:r>
      </w:hyperlink>
    </w:p>
    <w:p w:rsidR="00A0578E" w:rsidRPr="00155ABF" w:rsidRDefault="00A0578E" w:rsidP="00CF0B60">
      <w:pPr>
        <w:spacing w:after="240" w:line="276" w:lineRule="auto"/>
        <w:rPr>
          <w:lang w:eastAsia="en-GB"/>
        </w:rPr>
      </w:pPr>
      <w:r w:rsidRPr="00155ABF">
        <w:rPr>
          <w:lang w:eastAsia="en-GB"/>
        </w:rPr>
        <w:t>18. Ibid, footnote 1</w:t>
      </w:r>
    </w:p>
    <w:p w:rsidR="00CF0B60" w:rsidRPr="00155ABF" w:rsidRDefault="009B2A0E" w:rsidP="009B2A0E">
      <w:pPr>
        <w:numPr>
          <w:ilvl w:val="0"/>
          <w:numId w:val="47"/>
        </w:numPr>
        <w:tabs>
          <w:tab w:val="center" w:pos="0"/>
          <w:tab w:val="right" w:pos="9026"/>
        </w:tabs>
        <w:spacing w:after="200" w:line="240" w:lineRule="auto"/>
        <w:rPr>
          <w:rFonts w:eastAsiaTheme="minorHAnsi" w:cstheme="minorBidi"/>
          <w:szCs w:val="22"/>
        </w:rPr>
      </w:pPr>
      <w:r w:rsidRPr="00155ABF">
        <w:t xml:space="preserve">19. </w:t>
      </w:r>
      <w:hyperlink r:id="rId20" w:history="1">
        <w:r w:rsidRPr="00155ABF">
          <w:rPr>
            <w:color w:val="0000FF"/>
            <w:u w:val="single"/>
            <w:lang w:eastAsia="en-GB"/>
          </w:rPr>
          <w:t>https://www.gov.uk/government/consultations/implementation-of-planning-  changes-technical-consultation</w:t>
        </w:r>
      </w:hyperlink>
    </w:p>
    <w:p w:rsidR="00CF0B60" w:rsidRPr="00155ABF" w:rsidRDefault="009B2A0E" w:rsidP="009B2A0E">
      <w:pPr>
        <w:numPr>
          <w:ilvl w:val="0"/>
          <w:numId w:val="47"/>
        </w:numPr>
        <w:tabs>
          <w:tab w:val="center" w:pos="0"/>
          <w:tab w:val="right" w:pos="9026"/>
        </w:tabs>
        <w:spacing w:after="200" w:line="240" w:lineRule="auto"/>
        <w:rPr>
          <w:rFonts w:eastAsiaTheme="minorHAnsi" w:cstheme="minorBidi"/>
          <w:szCs w:val="22"/>
        </w:rPr>
      </w:pPr>
      <w:r w:rsidRPr="00155ABF">
        <w:t xml:space="preserve">20. </w:t>
      </w:r>
      <w:hyperlink r:id="rId21" w:history="1">
        <w:r w:rsidRPr="00155ABF">
          <w:rPr>
            <w:color w:val="0000FF"/>
            <w:u w:val="single"/>
            <w:lang w:eastAsia="en-GB"/>
          </w:rPr>
          <w:t>http://www.kenthousinggroup.org.uk/KHG_Protocols.aspx</w:t>
        </w:r>
      </w:hyperlink>
    </w:p>
    <w:p w:rsidR="009B2A0E" w:rsidRDefault="009B2A0E" w:rsidP="009B2A0E">
      <w:pPr>
        <w:numPr>
          <w:ilvl w:val="0"/>
          <w:numId w:val="47"/>
        </w:numPr>
        <w:tabs>
          <w:tab w:val="center" w:pos="0"/>
          <w:tab w:val="right" w:pos="9026"/>
        </w:tabs>
        <w:spacing w:after="200" w:line="240" w:lineRule="auto"/>
        <w:rPr>
          <w:rFonts w:eastAsiaTheme="minorHAnsi" w:cstheme="minorBidi"/>
          <w:color w:val="0070C0"/>
          <w:szCs w:val="22"/>
        </w:rPr>
      </w:pPr>
      <w:r w:rsidRPr="00155ABF">
        <w:t>21.</w:t>
      </w:r>
      <w:r w:rsidRPr="00155ABF">
        <w:rPr>
          <w:rFonts w:eastAsiaTheme="minorHAnsi" w:cstheme="minorBidi"/>
          <w:szCs w:val="22"/>
        </w:rPr>
        <w:t xml:space="preserve"> Beresford &amp; Rhodes (2008) </w:t>
      </w:r>
      <w:hyperlink r:id="rId22" w:history="1">
        <w:r w:rsidR="00155ABF" w:rsidRPr="00466D30">
          <w:rPr>
            <w:rStyle w:val="Hyperlink"/>
            <w:rFonts w:eastAsiaTheme="minorHAnsi" w:cstheme="minorBidi"/>
            <w:szCs w:val="22"/>
          </w:rPr>
          <w:t>https://www.jrf.org.uk/report/housing-and-diabled-children</w:t>
        </w:r>
      </w:hyperlink>
    </w:p>
    <w:p w:rsidR="00CF0B60" w:rsidRPr="00155ABF" w:rsidRDefault="00155ABF" w:rsidP="00155ABF">
      <w:pPr>
        <w:tabs>
          <w:tab w:val="center" w:pos="4513"/>
          <w:tab w:val="right" w:pos="9026"/>
        </w:tabs>
        <w:spacing w:line="240" w:lineRule="auto"/>
        <w:rPr>
          <w:rFonts w:eastAsiaTheme="minorHAnsi" w:cstheme="minorBidi"/>
          <w:szCs w:val="22"/>
        </w:rPr>
      </w:pPr>
      <w:r w:rsidRPr="00155ABF">
        <w:rPr>
          <w:rFonts w:eastAsiaTheme="minorHAnsi" w:cstheme="minorBidi"/>
          <w:szCs w:val="22"/>
        </w:rPr>
        <w:t xml:space="preserve">22. </w:t>
      </w:r>
      <w:hyperlink r:id="rId23" w:history="1">
        <w:r w:rsidRPr="00155ABF">
          <w:rPr>
            <w:color w:val="0000FF"/>
            <w:u w:val="single"/>
            <w:lang w:eastAsia="en-GB"/>
          </w:rPr>
          <w:t>http://www.kenthousinggroup.org.uk/KHG_Protocols.aspx</w:t>
        </w:r>
      </w:hyperlink>
    </w:p>
    <w:p w:rsidR="00155ABF" w:rsidRPr="00155ABF" w:rsidRDefault="00155ABF" w:rsidP="00155ABF">
      <w:pPr>
        <w:tabs>
          <w:tab w:val="center" w:pos="4513"/>
          <w:tab w:val="right" w:pos="9026"/>
        </w:tabs>
        <w:spacing w:line="240" w:lineRule="auto"/>
        <w:rPr>
          <w:rFonts w:eastAsiaTheme="minorHAnsi" w:cstheme="minorBidi"/>
          <w:szCs w:val="22"/>
        </w:rPr>
      </w:pPr>
    </w:p>
    <w:p w:rsidR="00CF0B60" w:rsidRPr="00155ABF" w:rsidRDefault="001A0914" w:rsidP="00CF0B60">
      <w:pPr>
        <w:spacing w:after="240" w:line="276" w:lineRule="auto"/>
        <w:rPr>
          <w:lang w:eastAsia="en-GB"/>
        </w:rPr>
      </w:pPr>
      <w:hyperlink r:id="rId24" w:history="1">
        <w:r w:rsidR="00CF0B60" w:rsidRPr="00155ABF">
          <w:rPr>
            <w:color w:val="0000FF"/>
            <w:u w:val="single"/>
            <w:lang w:eastAsia="en-GB"/>
          </w:rPr>
          <w:t>http://www.housing.org.uk/resource-library/browse/welfare-reform-and-work-bill-briefing-for-members-october-2015/</w:t>
        </w:r>
      </w:hyperlink>
    </w:p>
    <w:p w:rsidR="00CF0B60" w:rsidRPr="00155ABF" w:rsidRDefault="001A0914" w:rsidP="00CF0B60">
      <w:pPr>
        <w:spacing w:after="240" w:line="276" w:lineRule="auto"/>
        <w:rPr>
          <w:lang w:eastAsia="en-GB"/>
        </w:rPr>
      </w:pPr>
      <w:hyperlink r:id="rId25" w:history="1">
        <w:r w:rsidR="00CF0B60" w:rsidRPr="00155ABF">
          <w:rPr>
            <w:color w:val="0000FF"/>
            <w:u w:val="single"/>
            <w:lang w:eastAsia="en-GB"/>
          </w:rPr>
          <w:t>http://www.cih.org/publication-free/display/vpathDCR/templatedata/cih/publication-free/data/Reduction_in_social_housing_rents</w:t>
        </w:r>
      </w:hyperlink>
    </w:p>
    <w:p w:rsidR="00CF0B60" w:rsidRPr="00155ABF" w:rsidRDefault="001A0914" w:rsidP="00CF0B60">
      <w:pPr>
        <w:spacing w:after="240" w:line="276" w:lineRule="auto"/>
        <w:rPr>
          <w:lang w:eastAsia="en-GB"/>
        </w:rPr>
      </w:pPr>
      <w:hyperlink r:id="rId26" w:history="1">
        <w:r w:rsidR="00CF0B60" w:rsidRPr="00155ABF">
          <w:rPr>
            <w:color w:val="0000FF"/>
            <w:u w:val="single"/>
            <w:lang w:eastAsia="en-GB"/>
          </w:rPr>
          <w:t>http://www.kingsfund.org.uk/publications/commissioned/district-council-contribution-public-health</w:t>
        </w:r>
      </w:hyperlink>
    </w:p>
    <w:p w:rsidR="00CF0B60" w:rsidRDefault="00CF0B60" w:rsidP="00CF0B60">
      <w:pPr>
        <w:spacing w:after="240" w:line="276" w:lineRule="auto"/>
        <w:rPr>
          <w:lang w:eastAsia="en-GB"/>
        </w:rPr>
      </w:pPr>
      <w:r w:rsidRPr="00155ABF">
        <w:rPr>
          <w:lang w:eastAsia="en-GB"/>
        </w:rPr>
        <w:t xml:space="preserve">Excess Winter Mortality in England and Wales Office of National Statistics </w:t>
      </w:r>
      <w:hyperlink r:id="rId27" w:history="1">
        <w:r w:rsidR="00155ABF" w:rsidRPr="00466D30">
          <w:rPr>
            <w:rStyle w:val="Hyperlink"/>
            <w:lang w:eastAsia="en-GB"/>
          </w:rPr>
          <w:t>http://www.ons.gov.uk/</w:t>
        </w:r>
      </w:hyperlink>
    </w:p>
    <w:p w:rsidR="00155ABF" w:rsidRDefault="00CF0B60" w:rsidP="00CF0B60">
      <w:pPr>
        <w:spacing w:after="240" w:line="276" w:lineRule="auto"/>
        <w:rPr>
          <w:lang w:eastAsia="en-GB"/>
        </w:rPr>
      </w:pPr>
      <w:r w:rsidRPr="00155ABF">
        <w:rPr>
          <w:lang w:eastAsia="en-GB"/>
        </w:rPr>
        <w:t xml:space="preserve">The Health Impacts of Cold Homes and Fuel Poverty </w:t>
      </w:r>
      <w:hyperlink r:id="rId28" w:history="1">
        <w:r w:rsidR="00155ABF" w:rsidRPr="00466D30">
          <w:rPr>
            <w:rStyle w:val="Hyperlink"/>
            <w:lang w:eastAsia="en-GB"/>
          </w:rPr>
          <w:t>www.marmotreview.org</w:t>
        </w:r>
      </w:hyperlink>
      <w:r w:rsidR="00155ABF">
        <w:rPr>
          <w:lang w:eastAsia="en-GB"/>
        </w:rPr>
        <w:t>.</w:t>
      </w:r>
      <w:hyperlink r:id="rId29" w:history="1">
        <w:r w:rsidR="00155ABF" w:rsidRPr="00466D30">
          <w:rPr>
            <w:rStyle w:val="Hyperlink"/>
            <w:lang w:eastAsia="en-GB"/>
          </w:rPr>
          <w:t>www.foe.co.uk</w:t>
        </w:r>
      </w:hyperlink>
    </w:p>
    <w:p w:rsidR="00CF0B60" w:rsidRPr="00155ABF" w:rsidRDefault="00CF0B60" w:rsidP="00CF0B60">
      <w:pPr>
        <w:spacing w:after="240" w:line="276" w:lineRule="auto"/>
        <w:rPr>
          <w:lang w:eastAsia="en-GB"/>
        </w:rPr>
      </w:pPr>
      <w:r w:rsidRPr="00155ABF">
        <w:rPr>
          <w:lang w:eastAsia="en-GB"/>
        </w:rPr>
        <w:t>Thomas, B (2011) Homelessness is a silent killer</w:t>
      </w:r>
    </w:p>
    <w:p w:rsidR="00CF0B60" w:rsidRPr="00155ABF" w:rsidRDefault="00CF0B60" w:rsidP="00CF0B60">
      <w:pPr>
        <w:spacing w:after="240" w:line="276" w:lineRule="auto"/>
        <w:rPr>
          <w:lang w:eastAsia="en-GB"/>
        </w:rPr>
      </w:pPr>
      <w:r w:rsidRPr="00155ABF">
        <w:rPr>
          <w:lang w:eastAsia="en-GB"/>
        </w:rPr>
        <w:t>Healthcare for Single Homeless People, DoH, March 2010.</w:t>
      </w:r>
    </w:p>
    <w:p w:rsidR="00CF0B60" w:rsidRPr="00155ABF" w:rsidRDefault="00CF0B60" w:rsidP="00CF0B60">
      <w:pPr>
        <w:spacing w:after="240" w:line="276" w:lineRule="auto"/>
        <w:rPr>
          <w:lang w:eastAsia="en-GB"/>
        </w:rPr>
      </w:pPr>
      <w:r w:rsidRPr="00155ABF">
        <w:rPr>
          <w:lang w:eastAsia="en-GB"/>
        </w:rPr>
        <w:t>Business Intelligence statistical Bulletin December 2015 www.kent.gov.uk/research</w:t>
      </w:r>
    </w:p>
    <w:p w:rsidR="00CF0B60" w:rsidRPr="00155ABF" w:rsidRDefault="00CF0B60" w:rsidP="00CF0B60">
      <w:pPr>
        <w:spacing w:after="240" w:line="276" w:lineRule="auto"/>
        <w:rPr>
          <w:lang w:eastAsia="en-GB"/>
        </w:rPr>
      </w:pPr>
      <w:r w:rsidRPr="00155ABF">
        <w:rPr>
          <w:lang w:eastAsia="en-GB"/>
        </w:rPr>
        <w:t>Kent Public Health Observatory, Health and Social Care Maps WK CCG Mortality and morbidity</w:t>
      </w:r>
    </w:p>
    <w:p w:rsidR="00CF0B60" w:rsidRPr="00CF0B60" w:rsidRDefault="00CF0B60" w:rsidP="00CF0B60">
      <w:pPr>
        <w:autoSpaceDE w:val="0"/>
        <w:autoSpaceDN w:val="0"/>
        <w:adjustRightInd w:val="0"/>
        <w:spacing w:line="276" w:lineRule="auto"/>
        <w:rPr>
          <w:rFonts w:cs="Arial"/>
          <w:color w:val="000000"/>
          <w:szCs w:val="24"/>
          <w:lang w:eastAsia="en-GB"/>
        </w:rPr>
      </w:pPr>
    </w:p>
    <w:p w:rsidR="00A61A4E" w:rsidRDefault="00A61A4E" w:rsidP="0073640D">
      <w:pPr>
        <w:pStyle w:val="ListBullet"/>
      </w:pPr>
    </w:p>
    <w:p w:rsidR="00A61A4E" w:rsidRDefault="00A61A4E" w:rsidP="0073640D">
      <w:pPr>
        <w:pStyle w:val="ListBullet"/>
      </w:pPr>
    </w:p>
    <w:sectPr w:rsidR="00A61A4E" w:rsidSect="00B8233B">
      <w:headerReference w:type="default" r:id="rId30"/>
      <w:footerReference w:type="default" r:id="rId31"/>
      <w:headerReference w:type="first" r:id="rId32"/>
      <w:footerReference w:type="first" r:id="rId33"/>
      <w:pgSz w:w="11906" w:h="16838" w:code="9"/>
      <w:pgMar w:top="1418" w:right="1134" w:bottom="1276" w:left="130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BC" w:rsidRDefault="00B265BC">
      <w:r>
        <w:separator/>
      </w:r>
    </w:p>
  </w:endnote>
  <w:endnote w:type="continuationSeparator" w:id="0">
    <w:p w:rsidR="00B265BC" w:rsidRDefault="00B2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BC" w:rsidRPr="0037507C" w:rsidRDefault="00B265BC" w:rsidP="0037507C">
    <w:pPr>
      <w:pStyle w:val="Footer"/>
      <w:tabs>
        <w:tab w:val="center" w:pos="467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BC" w:rsidRPr="0037507C" w:rsidRDefault="00B8233B" w:rsidP="0037507C">
    <w:pPr>
      <w:pStyle w:val="Footer"/>
      <w:tabs>
        <w:tab w:val="center" w:pos="4678"/>
      </w:tabs>
      <w:rPr>
        <w:rStyle w:val="PageNumber"/>
      </w:rPr>
    </w:pPr>
    <w:r>
      <w:fldChar w:fldCharType="begin"/>
    </w:r>
    <w:r w:rsidR="00B265BC">
      <w:instrText xml:space="preserve"> If subdectype = 1 "KD" </w:instrText>
    </w:r>
    <w:r>
      <w:fldChar w:fldCharType="begin"/>
    </w:r>
    <w:r w:rsidR="00B265BC">
      <w:instrText xml:space="preserve"> if subdectype = 2 "NKD" </w:instrText>
    </w:r>
    <w:r>
      <w:fldChar w:fldCharType="begin"/>
    </w:r>
    <w:r w:rsidR="00B265BC">
      <w:instrText xml:space="preserve"> if subdectype = 3 "C" </w:instrText>
    </w:r>
    <w:r>
      <w:fldChar w:fldCharType="begin"/>
    </w:r>
    <w:r w:rsidR="00B265BC">
      <w:instrText xml:space="preserve"> if subdectype = 4 "I" "" </w:instrText>
    </w:r>
    <w:r>
      <w:fldChar w:fldCharType="end"/>
    </w:r>
    <w:r w:rsidR="00B265BC">
      <w:instrText xml:space="preserve"> </w:instrText>
    </w:r>
    <w:r>
      <w:fldChar w:fldCharType="end"/>
    </w:r>
    <w:r w:rsidR="00B265BC">
      <w:instrText xml:space="preserve"> </w:instrText>
    </w:r>
    <w:r>
      <w:fldChar w:fldCharType="end"/>
    </w:r>
    <w:r w:rsidR="00B265BC">
      <w:instrText xml:space="preserve"> </w:instrText>
    </w:r>
    <w:r>
      <w:fldChar w:fldCharType="end"/>
    </w:r>
    <w:r>
      <w:fldChar w:fldCharType="begin"/>
    </w:r>
    <w:r w:rsidR="00B265BC">
      <w:instrText xml:space="preserve"> IF type = 1 " - Part 1 Public" </w:instrText>
    </w:r>
    <w:r>
      <w:fldChar w:fldCharType="begin"/>
    </w:r>
    <w:r w:rsidR="00B265BC">
      <w:instrText xml:space="preserve"> if type = 2 " - Part 2 Private" "" </w:instrText>
    </w:r>
    <w:r w:rsidR="001A0914">
      <w:fldChar w:fldCharType="separate"/>
    </w:r>
    <w:r>
      <w:fldChar w:fldCharType="end"/>
    </w:r>
    <w:r w:rsidR="00B265BC">
      <w:instrText xml:space="preserve"> \* MERGEFORMAT </w:instrText>
    </w:r>
    <w:r w:rsidR="001A0914">
      <w:fldChar w:fldCharType="separate"/>
    </w:r>
    <w:r>
      <w:fldChar w:fldCharType="end"/>
    </w:r>
    <w:r w:rsidR="00B265BC">
      <w:tab/>
    </w:r>
    <w:r w:rsidR="00B265BC">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BC" w:rsidRDefault="00B265BC">
      <w:r>
        <w:separator/>
      </w:r>
    </w:p>
  </w:footnote>
  <w:footnote w:type="continuationSeparator" w:id="0">
    <w:p w:rsidR="00B265BC" w:rsidRDefault="00B2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BC" w:rsidRDefault="00B265BC">
    <w:pPr>
      <w:pStyle w:val="Header"/>
      <w:tabs>
        <w:tab w:val="clear" w:pos="4153"/>
        <w:tab w:val="clear" w:pos="8306"/>
        <w:tab w:val="center" w:pos="4678"/>
        <w:tab w:val="right" w:pos="9356"/>
      </w:tabs>
      <w:rPr>
        <w:sz w:val="28"/>
      </w:rPr>
    </w:pPr>
    <w:r>
      <w:rPr>
        <w:rStyle w:val="PageNumber"/>
      </w:rPr>
      <w:tab/>
    </w:r>
    <w:r w:rsidR="00B8233B">
      <w:rPr>
        <w:rStyle w:val="PageNumber"/>
      </w:rPr>
      <w:fldChar w:fldCharType="begin"/>
    </w:r>
    <w:r>
      <w:rPr>
        <w:rStyle w:val="PageNumber"/>
      </w:rPr>
      <w:instrText xml:space="preserve"> PAGE </w:instrText>
    </w:r>
    <w:r w:rsidR="00B8233B">
      <w:rPr>
        <w:rStyle w:val="PageNumber"/>
      </w:rPr>
      <w:fldChar w:fldCharType="separate"/>
    </w:r>
    <w:r w:rsidR="001A0914">
      <w:rPr>
        <w:rStyle w:val="PageNumber"/>
        <w:noProof/>
      </w:rPr>
      <w:t>3</w:t>
    </w:r>
    <w:r w:rsidR="00B8233B">
      <w:rPr>
        <w:rStyle w:val="PageNumber"/>
      </w:rPr>
      <w:fldChar w:fldCharType="end"/>
    </w:r>
    <w:r>
      <w:rPr>
        <w:rStyle w:val="PageNumber"/>
      </w:rPr>
      <w:tab/>
    </w:r>
    <w:r w:rsidR="00B8233B">
      <w:rPr>
        <w:sz w:val="28"/>
      </w:rPr>
      <w:fldChar w:fldCharType="begin"/>
    </w:r>
    <w:r>
      <w:rPr>
        <w:sz w:val="28"/>
      </w:rPr>
      <w:instrText xml:space="preserve"> IF type = 2 "Not for Publication" "" \* MERGEFORMAT </w:instrText>
    </w:r>
    <w:r w:rsidR="00B8233B">
      <w:rPr>
        <w:sz w:val="28"/>
      </w:rPr>
      <w:fldChar w:fldCharType="end"/>
    </w:r>
  </w:p>
  <w:p w:rsidR="00B265BC" w:rsidRDefault="00B26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BC" w:rsidRDefault="00B265BC">
    <w:pPr>
      <w:pStyle w:val="Header"/>
      <w:tabs>
        <w:tab w:val="clear" w:pos="4153"/>
        <w:tab w:val="clear" w:pos="8306"/>
        <w:tab w:val="center" w:pos="4678"/>
        <w:tab w:val="right" w:pos="9356"/>
      </w:tabs>
    </w:pPr>
    <w:r>
      <w:tab/>
    </w:r>
    <w:r>
      <w:rPr>
        <w:sz w:val="28"/>
      </w:rPr>
      <w:tab/>
    </w:r>
    <w:r w:rsidR="00B8233B">
      <w:rPr>
        <w:sz w:val="28"/>
      </w:rPr>
      <w:fldChar w:fldCharType="begin"/>
    </w:r>
    <w:r>
      <w:rPr>
        <w:sz w:val="28"/>
      </w:rPr>
      <w:instrText xml:space="preserve"> IF type = 2 "Not for Publication" "" \* MERGEFORMAT </w:instrText>
    </w:r>
    <w:r w:rsidR="00B8233B">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629192"/>
    <w:lvl w:ilvl="0">
      <w:start w:val="1"/>
      <w:numFmt w:val="bullet"/>
      <w:lvlText w:val=""/>
      <w:lvlJc w:val="left"/>
      <w:pPr>
        <w:tabs>
          <w:tab w:val="num" w:pos="360"/>
        </w:tabs>
        <w:ind w:left="360" w:hanging="360"/>
      </w:pPr>
      <w:rPr>
        <w:rFonts w:ascii="Symbol" w:hAnsi="Symbol" w:hint="default"/>
      </w:rPr>
    </w:lvl>
  </w:abstractNum>
  <w:abstractNum w:abstractNumId="1">
    <w:nsid w:val="01AF44E1"/>
    <w:multiLevelType w:val="hybridMultilevel"/>
    <w:tmpl w:val="E9E4798E"/>
    <w:lvl w:ilvl="0" w:tplc="964095A8">
      <w:start w:val="3"/>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3DF2BE4"/>
    <w:multiLevelType w:val="hybridMultilevel"/>
    <w:tmpl w:val="0A608A10"/>
    <w:lvl w:ilvl="0" w:tplc="201061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D32CD"/>
    <w:multiLevelType w:val="hybridMultilevel"/>
    <w:tmpl w:val="6178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486A"/>
    <w:multiLevelType w:val="hybridMultilevel"/>
    <w:tmpl w:val="DD9C4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8E3BC8"/>
    <w:multiLevelType w:val="hybridMultilevel"/>
    <w:tmpl w:val="C0FE493C"/>
    <w:lvl w:ilvl="0" w:tplc="A8AC78D4">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051479"/>
    <w:multiLevelType w:val="multilevel"/>
    <w:tmpl w:val="671C2132"/>
    <w:lvl w:ilvl="0">
      <w:start w:val="3"/>
      <w:numFmt w:val="decimal"/>
      <w:lvlText w:val="%1"/>
      <w:lvlJc w:val="left"/>
      <w:pPr>
        <w:ind w:left="465" w:hanging="465"/>
      </w:pPr>
      <w:rPr>
        <w:rFonts w:hint="default"/>
        <w:b/>
      </w:rPr>
    </w:lvl>
    <w:lvl w:ilvl="1">
      <w:start w:val="1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0AAD4CA2"/>
    <w:multiLevelType w:val="hybridMultilevel"/>
    <w:tmpl w:val="617A1B28"/>
    <w:lvl w:ilvl="0" w:tplc="201061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1F4341"/>
    <w:multiLevelType w:val="multilevel"/>
    <w:tmpl w:val="C5003424"/>
    <w:lvl w:ilvl="0">
      <w:start w:val="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9">
    <w:nsid w:val="0D8C58B9"/>
    <w:multiLevelType w:val="hybridMultilevel"/>
    <w:tmpl w:val="7F184C32"/>
    <w:lvl w:ilvl="0" w:tplc="201061EA">
      <w:numFmt w:val="bullet"/>
      <w:lvlText w:val="•"/>
      <w:lvlJc w:val="left"/>
      <w:pPr>
        <w:ind w:left="787" w:hanging="360"/>
      </w:pPr>
      <w:rPr>
        <w:rFonts w:ascii="Arial" w:eastAsia="Times New Roman"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nsid w:val="0DC85C36"/>
    <w:multiLevelType w:val="hybridMultilevel"/>
    <w:tmpl w:val="ABE64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21D273F"/>
    <w:multiLevelType w:val="multilevel"/>
    <w:tmpl w:val="F72CFBB8"/>
    <w:lvl w:ilvl="0">
      <w:start w:val="1"/>
      <w:numFmt w:val="decimal"/>
      <w:lvlText w:val="%1"/>
      <w:lvlJc w:val="left"/>
      <w:pPr>
        <w:tabs>
          <w:tab w:val="num" w:pos="720"/>
        </w:tabs>
        <w:ind w:left="720" w:hanging="720"/>
      </w:pPr>
      <w:rPr>
        <w:rFonts w:ascii="Arial" w:hAnsi="Arial" w:hint="default"/>
        <w:b/>
        <w:i w:val="0"/>
        <w:spacing w:val="-18"/>
        <w:sz w:val="24"/>
        <w:u w:val="none"/>
      </w:rPr>
    </w:lvl>
    <w:lvl w:ilvl="1">
      <w:start w:val="1"/>
      <w:numFmt w:val="decimal"/>
      <w:lvlText w:val="%2."/>
      <w:lvlJc w:val="left"/>
      <w:pPr>
        <w:tabs>
          <w:tab w:val="num" w:pos="720"/>
        </w:tabs>
        <w:ind w:left="720" w:hanging="720"/>
      </w:pPr>
      <w:rPr>
        <w:rFonts w:ascii="Arial" w:eastAsia="Times New Roman" w:hAnsi="Arial" w:cs="Times New Roman" w:hint="default"/>
        <w:b/>
        <w:i w:val="0"/>
        <w:spacing w:val="-18"/>
        <w:sz w:val="24"/>
      </w:rPr>
    </w:lvl>
    <w:lvl w:ilvl="2">
      <w:start w:val="1"/>
      <w:numFmt w:val="decimal"/>
      <w:lvlText w:val="%1.%2.%3"/>
      <w:lvlJc w:val="left"/>
      <w:pPr>
        <w:tabs>
          <w:tab w:val="num" w:pos="720"/>
        </w:tabs>
        <w:ind w:left="720" w:hanging="720"/>
      </w:pPr>
      <w:rPr>
        <w:rFonts w:ascii="Arial" w:hAnsi="Arial" w:hint="default"/>
        <w:b w:val="0"/>
        <w:i w:val="0"/>
        <w:spacing w:val="-18"/>
        <w:sz w:val="24"/>
      </w:rPr>
    </w:lvl>
    <w:lvl w:ilvl="3">
      <w:start w:val="1"/>
      <w:numFmt w:val="bullet"/>
      <w:lvlText w:val=""/>
      <w:lvlJc w:val="left"/>
      <w:pPr>
        <w:tabs>
          <w:tab w:val="num" w:pos="1440"/>
        </w:tabs>
        <w:ind w:left="1440" w:hanging="720"/>
      </w:pPr>
      <w:rPr>
        <w:rFonts w:ascii="Symbol" w:hAnsi="Symbol" w:hint="default"/>
        <w:b w:val="0"/>
        <w:i w:val="0"/>
        <w:sz w:val="24"/>
      </w:rPr>
    </w:lvl>
    <w:lvl w:ilvl="4">
      <w:start w:val="1"/>
      <w:numFmt w:val="decimal"/>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abstractNum w:abstractNumId="12">
    <w:nsid w:val="13FA0BD7"/>
    <w:multiLevelType w:val="hybridMultilevel"/>
    <w:tmpl w:val="C94C0618"/>
    <w:lvl w:ilvl="0" w:tplc="201061E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061AF5"/>
    <w:multiLevelType w:val="multilevel"/>
    <w:tmpl w:val="2D8CA0FA"/>
    <w:lvl w:ilvl="0">
      <w:start w:val="3"/>
      <w:numFmt w:val="decimal"/>
      <w:lvlText w:val="%1"/>
      <w:lvlJc w:val="left"/>
      <w:pPr>
        <w:ind w:left="465" w:hanging="465"/>
      </w:pPr>
      <w:rPr>
        <w:rFonts w:hint="default"/>
        <w:color w:val="auto"/>
      </w:rPr>
    </w:lvl>
    <w:lvl w:ilvl="1">
      <w:start w:val="10"/>
      <w:numFmt w:val="decimal"/>
      <w:lvlText w:val="%1.%2"/>
      <w:lvlJc w:val="left"/>
      <w:pPr>
        <w:ind w:left="1033" w:hanging="46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1671276D"/>
    <w:multiLevelType w:val="hybridMultilevel"/>
    <w:tmpl w:val="94F86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F1D58A6"/>
    <w:multiLevelType w:val="hybridMultilevel"/>
    <w:tmpl w:val="3EFA5EE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7337BA4"/>
    <w:multiLevelType w:val="hybridMultilevel"/>
    <w:tmpl w:val="F2F072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2D3BA1"/>
    <w:multiLevelType w:val="hybridMultilevel"/>
    <w:tmpl w:val="6FCEAA66"/>
    <w:lvl w:ilvl="0" w:tplc="21ECE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C938EB"/>
    <w:multiLevelType w:val="multilevel"/>
    <w:tmpl w:val="89028238"/>
    <w:lvl w:ilvl="0">
      <w:start w:val="1"/>
      <w:numFmt w:val="decimal"/>
      <w:pStyle w:val="ReportLevel1"/>
      <w:lvlText w:val="%1"/>
      <w:lvlJc w:val="left"/>
      <w:pPr>
        <w:tabs>
          <w:tab w:val="num" w:pos="720"/>
        </w:tabs>
        <w:ind w:left="720" w:hanging="720"/>
      </w:pPr>
      <w:rPr>
        <w:rFonts w:ascii="Arial" w:hAnsi="Arial" w:hint="default"/>
        <w:b/>
        <w:i w:val="0"/>
        <w:spacing w:val="-18"/>
        <w:sz w:val="24"/>
        <w:u w:val="none"/>
      </w:rPr>
    </w:lvl>
    <w:lvl w:ilvl="1">
      <w:start w:val="1"/>
      <w:numFmt w:val="decimal"/>
      <w:pStyle w:val="ReportLevel2"/>
      <w:lvlText w:val="%2."/>
      <w:lvlJc w:val="left"/>
      <w:pPr>
        <w:tabs>
          <w:tab w:val="num" w:pos="720"/>
        </w:tabs>
        <w:ind w:left="720" w:hanging="720"/>
      </w:pPr>
      <w:rPr>
        <w:rFonts w:ascii="Arial" w:eastAsia="Times New Roman" w:hAnsi="Arial" w:cs="Times New Roman"/>
        <w:b/>
        <w:i w:val="0"/>
        <w:spacing w:val="-18"/>
        <w:sz w:val="24"/>
      </w:rPr>
    </w:lvl>
    <w:lvl w:ilvl="2">
      <w:start w:val="1"/>
      <w:numFmt w:val="decimal"/>
      <w:pStyle w:val="ReportLevel3"/>
      <w:lvlText w:val="%1.%2.%3"/>
      <w:lvlJc w:val="left"/>
      <w:pPr>
        <w:tabs>
          <w:tab w:val="num" w:pos="720"/>
        </w:tabs>
        <w:ind w:left="720" w:hanging="720"/>
      </w:pPr>
      <w:rPr>
        <w:rFonts w:ascii="Arial" w:hAnsi="Arial" w:hint="default"/>
        <w:b w:val="0"/>
        <w:i w:val="0"/>
        <w:spacing w:val="-18"/>
        <w:sz w:val="24"/>
      </w:rPr>
    </w:lvl>
    <w:lvl w:ilvl="3">
      <w:start w:val="1"/>
      <w:numFmt w:val="bullet"/>
      <w:lvlText w:val=""/>
      <w:lvlJc w:val="left"/>
      <w:pPr>
        <w:tabs>
          <w:tab w:val="num" w:pos="1440"/>
        </w:tabs>
        <w:ind w:left="1440" w:hanging="720"/>
      </w:pPr>
      <w:rPr>
        <w:rFonts w:ascii="Symbol" w:hAnsi="Symbol" w:hint="default"/>
        <w:b w:val="0"/>
        <w:i w:val="0"/>
        <w:sz w:val="24"/>
      </w:rPr>
    </w:lvl>
    <w:lvl w:ilvl="4">
      <w:start w:val="1"/>
      <w:numFmt w:val="decimal"/>
      <w:pStyle w:val="ListNumbered"/>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abstractNum w:abstractNumId="19">
    <w:nsid w:val="389744B5"/>
    <w:multiLevelType w:val="hybridMultilevel"/>
    <w:tmpl w:val="24729222"/>
    <w:lvl w:ilvl="0" w:tplc="201061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757940"/>
    <w:multiLevelType w:val="multilevel"/>
    <w:tmpl w:val="9F8C341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25151B0"/>
    <w:multiLevelType w:val="multilevel"/>
    <w:tmpl w:val="33CC7D94"/>
    <w:lvl w:ilvl="0">
      <w:start w:val="1"/>
      <w:numFmt w:val="decimal"/>
      <w:lvlText w:val="%1"/>
      <w:lvlJc w:val="left"/>
      <w:pPr>
        <w:tabs>
          <w:tab w:val="num" w:pos="720"/>
        </w:tabs>
        <w:ind w:left="720" w:hanging="720"/>
      </w:pPr>
      <w:rPr>
        <w:rFonts w:ascii="Arial" w:hAnsi="Arial" w:hint="default"/>
        <w:b/>
        <w:i w:val="0"/>
        <w:spacing w:val="-18"/>
        <w:sz w:val="24"/>
        <w:u w:val="none"/>
      </w:rPr>
    </w:lvl>
    <w:lvl w:ilvl="1">
      <w:start w:val="1"/>
      <w:numFmt w:val="decimal"/>
      <w:lvlText w:val="%2."/>
      <w:lvlJc w:val="left"/>
      <w:pPr>
        <w:tabs>
          <w:tab w:val="num" w:pos="720"/>
        </w:tabs>
        <w:ind w:left="720" w:hanging="720"/>
      </w:pPr>
      <w:rPr>
        <w:rFonts w:ascii="Arial" w:eastAsia="Times New Roman" w:hAnsi="Arial" w:cs="Times New Roman" w:hint="default"/>
        <w:b/>
        <w:i w:val="0"/>
        <w:spacing w:val="-18"/>
        <w:sz w:val="24"/>
      </w:rPr>
    </w:lvl>
    <w:lvl w:ilvl="2">
      <w:start w:val="1"/>
      <w:numFmt w:val="bullet"/>
      <w:lvlText w:val=""/>
      <w:lvlJc w:val="left"/>
      <w:pPr>
        <w:tabs>
          <w:tab w:val="num" w:pos="720"/>
        </w:tabs>
        <w:ind w:left="720" w:hanging="720"/>
      </w:pPr>
      <w:rPr>
        <w:rFonts w:ascii="Symbol" w:hAnsi="Symbol" w:hint="default"/>
        <w:b w:val="0"/>
        <w:i w:val="0"/>
        <w:spacing w:val="-18"/>
        <w:sz w:val="24"/>
      </w:rPr>
    </w:lvl>
    <w:lvl w:ilvl="3">
      <w:start w:val="1"/>
      <w:numFmt w:val="bullet"/>
      <w:lvlText w:val=""/>
      <w:lvlJc w:val="left"/>
      <w:pPr>
        <w:tabs>
          <w:tab w:val="num" w:pos="1440"/>
        </w:tabs>
        <w:ind w:left="1440" w:hanging="720"/>
      </w:pPr>
      <w:rPr>
        <w:rFonts w:ascii="Symbol" w:hAnsi="Symbol" w:hint="default"/>
        <w:b w:val="0"/>
        <w:i w:val="0"/>
        <w:sz w:val="24"/>
      </w:rPr>
    </w:lvl>
    <w:lvl w:ilvl="4">
      <w:start w:val="1"/>
      <w:numFmt w:val="decimal"/>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abstractNum w:abstractNumId="22">
    <w:nsid w:val="43168640"/>
    <w:multiLevelType w:val="hybridMultilevel"/>
    <w:tmpl w:val="B5072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5CD0CAF"/>
    <w:multiLevelType w:val="hybridMultilevel"/>
    <w:tmpl w:val="71FC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FA4754"/>
    <w:multiLevelType w:val="hybridMultilevel"/>
    <w:tmpl w:val="4B4AB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0D5706"/>
    <w:multiLevelType w:val="hybridMultilevel"/>
    <w:tmpl w:val="EA2A0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9091D24"/>
    <w:multiLevelType w:val="hybridMultilevel"/>
    <w:tmpl w:val="3B7ECE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nsid w:val="5B8D76BA"/>
    <w:multiLevelType w:val="multilevel"/>
    <w:tmpl w:val="4226163A"/>
    <w:lvl w:ilvl="0">
      <w:numFmt w:val="bullet"/>
      <w:lvlText w:val="•"/>
      <w:lvlJc w:val="left"/>
      <w:pPr>
        <w:tabs>
          <w:tab w:val="num" w:pos="764"/>
        </w:tabs>
        <w:ind w:left="764" w:hanging="720"/>
      </w:pPr>
      <w:rPr>
        <w:rFonts w:ascii="Arial" w:eastAsia="Times New Roman" w:hAnsi="Arial" w:cs="Arial" w:hint="default"/>
        <w:b/>
        <w:i w:val="0"/>
        <w:spacing w:val="-18"/>
        <w:sz w:val="24"/>
        <w:u w:val="none"/>
      </w:rPr>
    </w:lvl>
    <w:lvl w:ilvl="1">
      <w:start w:val="1"/>
      <w:numFmt w:val="decimal"/>
      <w:lvlText w:val="%2."/>
      <w:lvlJc w:val="left"/>
      <w:pPr>
        <w:tabs>
          <w:tab w:val="num" w:pos="764"/>
        </w:tabs>
        <w:ind w:left="764" w:hanging="720"/>
      </w:pPr>
      <w:rPr>
        <w:rFonts w:ascii="Arial" w:eastAsia="Times New Roman" w:hAnsi="Arial" w:cs="Times New Roman" w:hint="default"/>
        <w:b/>
        <w:i w:val="0"/>
        <w:spacing w:val="-18"/>
        <w:sz w:val="24"/>
      </w:rPr>
    </w:lvl>
    <w:lvl w:ilvl="2">
      <w:start w:val="1"/>
      <w:numFmt w:val="bullet"/>
      <w:lvlText w:val=""/>
      <w:lvlJc w:val="left"/>
      <w:pPr>
        <w:tabs>
          <w:tab w:val="num" w:pos="764"/>
        </w:tabs>
        <w:ind w:left="764" w:hanging="720"/>
      </w:pPr>
      <w:rPr>
        <w:rFonts w:ascii="Symbol" w:hAnsi="Symbol" w:hint="default"/>
        <w:b w:val="0"/>
        <w:i w:val="0"/>
        <w:spacing w:val="-18"/>
        <w:sz w:val="24"/>
      </w:rPr>
    </w:lvl>
    <w:lvl w:ilvl="3">
      <w:start w:val="1"/>
      <w:numFmt w:val="bullet"/>
      <w:lvlText w:val=""/>
      <w:lvlJc w:val="left"/>
      <w:pPr>
        <w:tabs>
          <w:tab w:val="num" w:pos="1484"/>
        </w:tabs>
        <w:ind w:left="1484" w:hanging="720"/>
      </w:pPr>
      <w:rPr>
        <w:rFonts w:ascii="Symbol" w:hAnsi="Symbol" w:hint="default"/>
        <w:b w:val="0"/>
        <w:i w:val="0"/>
        <w:sz w:val="24"/>
      </w:rPr>
    </w:lvl>
    <w:lvl w:ilvl="4">
      <w:start w:val="1"/>
      <w:numFmt w:val="decimal"/>
      <w:lvlText w:val="%5)"/>
      <w:lvlJc w:val="left"/>
      <w:pPr>
        <w:tabs>
          <w:tab w:val="num" w:pos="1484"/>
        </w:tabs>
        <w:ind w:left="1484" w:hanging="720"/>
      </w:pPr>
      <w:rPr>
        <w:rFonts w:ascii="Arial" w:hAnsi="Arial" w:hint="default"/>
        <w:b w:val="0"/>
        <w:i w:val="0"/>
        <w:spacing w:val="-18"/>
        <w:sz w:val="24"/>
      </w:rPr>
    </w:lvl>
    <w:lvl w:ilvl="5">
      <w:start w:val="1"/>
      <w:numFmt w:val="none"/>
      <w:lvlText w:val=""/>
      <w:lvlJc w:val="left"/>
      <w:pPr>
        <w:tabs>
          <w:tab w:val="num" w:pos="1484"/>
        </w:tabs>
        <w:ind w:left="1484" w:hanging="720"/>
      </w:pPr>
      <w:rPr>
        <w:rFonts w:hint="default"/>
      </w:rPr>
    </w:lvl>
    <w:lvl w:ilvl="6">
      <w:start w:val="1"/>
      <w:numFmt w:val="none"/>
      <w:lvlText w:val=""/>
      <w:lvlJc w:val="left"/>
      <w:pPr>
        <w:tabs>
          <w:tab w:val="num" w:pos="1484"/>
        </w:tabs>
        <w:ind w:left="1484" w:hanging="720"/>
      </w:pPr>
      <w:rPr>
        <w:rFonts w:hint="default"/>
      </w:rPr>
    </w:lvl>
    <w:lvl w:ilvl="7">
      <w:start w:val="1"/>
      <w:numFmt w:val="none"/>
      <w:lvlText w:val=""/>
      <w:lvlJc w:val="left"/>
      <w:pPr>
        <w:tabs>
          <w:tab w:val="num" w:pos="1484"/>
        </w:tabs>
        <w:ind w:left="1484" w:hanging="720"/>
      </w:pPr>
      <w:rPr>
        <w:rFonts w:hint="default"/>
      </w:rPr>
    </w:lvl>
    <w:lvl w:ilvl="8">
      <w:start w:val="1"/>
      <w:numFmt w:val="none"/>
      <w:lvlText w:val=""/>
      <w:lvlJc w:val="left"/>
      <w:pPr>
        <w:tabs>
          <w:tab w:val="num" w:pos="1484"/>
        </w:tabs>
        <w:ind w:left="1484" w:hanging="720"/>
      </w:pPr>
      <w:rPr>
        <w:rFonts w:hint="default"/>
      </w:rPr>
    </w:lvl>
  </w:abstractNum>
  <w:abstractNum w:abstractNumId="28">
    <w:nsid w:val="65BC2EFA"/>
    <w:multiLevelType w:val="hybridMultilevel"/>
    <w:tmpl w:val="EC1ECAFA"/>
    <w:lvl w:ilvl="0" w:tplc="201061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940E59"/>
    <w:multiLevelType w:val="hybridMultilevel"/>
    <w:tmpl w:val="5616FA5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0">
    <w:nsid w:val="6ABC04BA"/>
    <w:multiLevelType w:val="multilevel"/>
    <w:tmpl w:val="0706F3C4"/>
    <w:lvl w:ilvl="0">
      <w:start w:val="1"/>
      <w:numFmt w:val="decimal"/>
      <w:lvlText w:val="%1"/>
      <w:lvlJc w:val="left"/>
      <w:pPr>
        <w:tabs>
          <w:tab w:val="num" w:pos="720"/>
        </w:tabs>
        <w:ind w:left="720" w:hanging="720"/>
      </w:pPr>
      <w:rPr>
        <w:rFonts w:ascii="Arial" w:hAnsi="Arial" w:hint="default"/>
        <w:b/>
        <w:i w:val="0"/>
        <w:spacing w:val="-18"/>
        <w:sz w:val="24"/>
        <w:u w:val="none"/>
      </w:rPr>
    </w:lvl>
    <w:lvl w:ilvl="1">
      <w:start w:val="1"/>
      <w:numFmt w:val="decimal"/>
      <w:lvlText w:val="%2."/>
      <w:lvlJc w:val="left"/>
      <w:pPr>
        <w:tabs>
          <w:tab w:val="num" w:pos="720"/>
        </w:tabs>
        <w:ind w:left="720" w:hanging="720"/>
      </w:pPr>
      <w:rPr>
        <w:rFonts w:ascii="Arial" w:eastAsia="Times New Roman" w:hAnsi="Arial" w:cs="Times New Roman" w:hint="default"/>
        <w:b/>
        <w:i w:val="0"/>
        <w:spacing w:val="-18"/>
        <w:sz w:val="24"/>
      </w:rPr>
    </w:lvl>
    <w:lvl w:ilvl="2">
      <w:start w:val="1"/>
      <w:numFmt w:val="bullet"/>
      <w:lvlText w:val=""/>
      <w:lvlJc w:val="left"/>
      <w:pPr>
        <w:tabs>
          <w:tab w:val="num" w:pos="720"/>
        </w:tabs>
        <w:ind w:left="720" w:hanging="720"/>
      </w:pPr>
      <w:rPr>
        <w:rFonts w:ascii="Symbol" w:hAnsi="Symbol" w:hint="default"/>
        <w:b w:val="0"/>
        <w:i w:val="0"/>
        <w:spacing w:val="-18"/>
        <w:sz w:val="24"/>
      </w:rPr>
    </w:lvl>
    <w:lvl w:ilvl="3">
      <w:start w:val="1"/>
      <w:numFmt w:val="bullet"/>
      <w:lvlText w:val=""/>
      <w:lvlJc w:val="left"/>
      <w:pPr>
        <w:tabs>
          <w:tab w:val="num" w:pos="1440"/>
        </w:tabs>
        <w:ind w:left="1440" w:hanging="720"/>
      </w:pPr>
      <w:rPr>
        <w:rFonts w:ascii="Symbol" w:hAnsi="Symbol" w:hint="default"/>
        <w:b w:val="0"/>
        <w:i w:val="0"/>
        <w:sz w:val="24"/>
      </w:rPr>
    </w:lvl>
    <w:lvl w:ilvl="4">
      <w:start w:val="1"/>
      <w:numFmt w:val="decimal"/>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abstractNum w:abstractNumId="31">
    <w:nsid w:val="6B50362E"/>
    <w:multiLevelType w:val="hybridMultilevel"/>
    <w:tmpl w:val="63AC2E50"/>
    <w:lvl w:ilvl="0" w:tplc="201061E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F9627C"/>
    <w:multiLevelType w:val="multilevel"/>
    <w:tmpl w:val="0D664978"/>
    <w:lvl w:ilvl="0">
      <w:start w:val="6"/>
      <w:numFmt w:val="decimal"/>
      <w:lvlText w:val="%1"/>
      <w:lvlJc w:val="left"/>
      <w:pPr>
        <w:ind w:left="525" w:hanging="525"/>
      </w:pPr>
      <w:rPr>
        <w:rFonts w:hint="default"/>
        <w:b w:val="0"/>
      </w:rPr>
    </w:lvl>
    <w:lvl w:ilvl="1">
      <w:start w:val="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nsid w:val="6D8D0077"/>
    <w:multiLevelType w:val="multilevel"/>
    <w:tmpl w:val="ED02FBF0"/>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DD67A77"/>
    <w:multiLevelType w:val="hybridMultilevel"/>
    <w:tmpl w:val="B674EE12"/>
    <w:lvl w:ilvl="0" w:tplc="201061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B2CEF"/>
    <w:multiLevelType w:val="multilevel"/>
    <w:tmpl w:val="F93617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5FE67A1"/>
    <w:multiLevelType w:val="hybridMultilevel"/>
    <w:tmpl w:val="18EEE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8F6906"/>
    <w:multiLevelType w:val="hybridMultilevel"/>
    <w:tmpl w:val="10B2D4C2"/>
    <w:lvl w:ilvl="0" w:tplc="7AB2A5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8724C0"/>
    <w:multiLevelType w:val="multilevel"/>
    <w:tmpl w:val="2062B5F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14323A"/>
    <w:multiLevelType w:val="hybridMultilevel"/>
    <w:tmpl w:val="118C7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B511933"/>
    <w:multiLevelType w:val="multilevel"/>
    <w:tmpl w:val="F72CFBB8"/>
    <w:lvl w:ilvl="0">
      <w:start w:val="1"/>
      <w:numFmt w:val="decimal"/>
      <w:lvlText w:val="%1"/>
      <w:lvlJc w:val="left"/>
      <w:pPr>
        <w:tabs>
          <w:tab w:val="num" w:pos="720"/>
        </w:tabs>
        <w:ind w:left="720" w:hanging="720"/>
      </w:pPr>
      <w:rPr>
        <w:rFonts w:ascii="Arial" w:hAnsi="Arial" w:hint="default"/>
        <w:b/>
        <w:i w:val="0"/>
        <w:spacing w:val="-18"/>
        <w:sz w:val="24"/>
        <w:u w:val="none"/>
      </w:rPr>
    </w:lvl>
    <w:lvl w:ilvl="1">
      <w:start w:val="1"/>
      <w:numFmt w:val="decimal"/>
      <w:lvlText w:val="%2."/>
      <w:lvlJc w:val="left"/>
      <w:pPr>
        <w:tabs>
          <w:tab w:val="num" w:pos="720"/>
        </w:tabs>
        <w:ind w:left="720" w:hanging="720"/>
      </w:pPr>
      <w:rPr>
        <w:rFonts w:ascii="Arial" w:eastAsia="Times New Roman" w:hAnsi="Arial" w:cs="Times New Roman" w:hint="default"/>
        <w:b/>
        <w:i w:val="0"/>
        <w:spacing w:val="-18"/>
        <w:sz w:val="24"/>
      </w:rPr>
    </w:lvl>
    <w:lvl w:ilvl="2">
      <w:start w:val="1"/>
      <w:numFmt w:val="decimal"/>
      <w:lvlText w:val="%1.%2.%3"/>
      <w:lvlJc w:val="left"/>
      <w:pPr>
        <w:tabs>
          <w:tab w:val="num" w:pos="720"/>
        </w:tabs>
        <w:ind w:left="720" w:hanging="720"/>
      </w:pPr>
      <w:rPr>
        <w:rFonts w:ascii="Arial" w:hAnsi="Arial" w:hint="default"/>
        <w:b w:val="0"/>
        <w:i w:val="0"/>
        <w:spacing w:val="-18"/>
        <w:sz w:val="24"/>
      </w:rPr>
    </w:lvl>
    <w:lvl w:ilvl="3">
      <w:start w:val="1"/>
      <w:numFmt w:val="bullet"/>
      <w:lvlText w:val=""/>
      <w:lvlJc w:val="left"/>
      <w:pPr>
        <w:tabs>
          <w:tab w:val="num" w:pos="1440"/>
        </w:tabs>
        <w:ind w:left="1440" w:hanging="720"/>
      </w:pPr>
      <w:rPr>
        <w:rFonts w:ascii="Symbol" w:hAnsi="Symbol" w:hint="default"/>
        <w:b w:val="0"/>
        <w:i w:val="0"/>
        <w:sz w:val="24"/>
      </w:rPr>
    </w:lvl>
    <w:lvl w:ilvl="4">
      <w:start w:val="1"/>
      <w:numFmt w:val="decimal"/>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abstractNum w:abstractNumId="41">
    <w:nsid w:val="7F177B94"/>
    <w:multiLevelType w:val="hybridMultilevel"/>
    <w:tmpl w:val="5CD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372E3B"/>
    <w:multiLevelType w:val="multilevel"/>
    <w:tmpl w:val="CC824774"/>
    <w:lvl w:ilvl="0">
      <w:start w:val="1"/>
      <w:numFmt w:val="bullet"/>
      <w:lvlText w:val=""/>
      <w:lvlJc w:val="left"/>
      <w:pPr>
        <w:tabs>
          <w:tab w:val="num" w:pos="720"/>
        </w:tabs>
        <w:ind w:left="720" w:hanging="720"/>
      </w:pPr>
      <w:rPr>
        <w:rFonts w:ascii="Symbol" w:hAnsi="Symbol" w:hint="default"/>
        <w:b/>
        <w:i w:val="0"/>
        <w:spacing w:val="-18"/>
        <w:sz w:val="24"/>
        <w:u w:val="none"/>
      </w:rPr>
    </w:lvl>
    <w:lvl w:ilvl="1">
      <w:start w:val="1"/>
      <w:numFmt w:val="decimal"/>
      <w:lvlText w:val="%2."/>
      <w:lvlJc w:val="left"/>
      <w:pPr>
        <w:tabs>
          <w:tab w:val="num" w:pos="720"/>
        </w:tabs>
        <w:ind w:left="720" w:hanging="720"/>
      </w:pPr>
      <w:rPr>
        <w:rFonts w:ascii="Arial" w:eastAsia="Times New Roman" w:hAnsi="Arial" w:cs="Times New Roman" w:hint="default"/>
        <w:b/>
        <w:i w:val="0"/>
        <w:spacing w:val="-18"/>
        <w:sz w:val="24"/>
      </w:rPr>
    </w:lvl>
    <w:lvl w:ilvl="2">
      <w:start w:val="1"/>
      <w:numFmt w:val="bullet"/>
      <w:lvlText w:val=""/>
      <w:lvlJc w:val="left"/>
      <w:pPr>
        <w:tabs>
          <w:tab w:val="num" w:pos="720"/>
        </w:tabs>
        <w:ind w:left="720" w:hanging="720"/>
      </w:pPr>
      <w:rPr>
        <w:rFonts w:ascii="Symbol" w:hAnsi="Symbol" w:hint="default"/>
        <w:b w:val="0"/>
        <w:i w:val="0"/>
        <w:spacing w:val="-18"/>
        <w:sz w:val="24"/>
      </w:rPr>
    </w:lvl>
    <w:lvl w:ilvl="3">
      <w:start w:val="1"/>
      <w:numFmt w:val="bullet"/>
      <w:lvlText w:val=""/>
      <w:lvlJc w:val="left"/>
      <w:pPr>
        <w:tabs>
          <w:tab w:val="num" w:pos="1440"/>
        </w:tabs>
        <w:ind w:left="1440" w:hanging="720"/>
      </w:pPr>
      <w:rPr>
        <w:rFonts w:ascii="Symbol" w:hAnsi="Symbol" w:hint="default"/>
        <w:b w:val="0"/>
        <w:i w:val="0"/>
        <w:sz w:val="24"/>
      </w:rPr>
    </w:lvl>
    <w:lvl w:ilvl="4">
      <w:start w:val="1"/>
      <w:numFmt w:val="decimal"/>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abstractNum w:abstractNumId="43">
    <w:nsid w:val="7F9C5FEF"/>
    <w:multiLevelType w:val="hybridMultilevel"/>
    <w:tmpl w:val="396C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D03102"/>
    <w:multiLevelType w:val="multilevel"/>
    <w:tmpl w:val="39DE5EAA"/>
    <w:lvl w:ilvl="0">
      <w:start w:val="1"/>
      <w:numFmt w:val="decimal"/>
      <w:lvlText w:val="%1"/>
      <w:lvlJc w:val="left"/>
      <w:pPr>
        <w:tabs>
          <w:tab w:val="num" w:pos="720"/>
        </w:tabs>
        <w:ind w:left="720" w:hanging="720"/>
      </w:pPr>
      <w:rPr>
        <w:rFonts w:ascii="Arial" w:hAnsi="Arial" w:hint="default"/>
        <w:b/>
        <w:i w:val="0"/>
        <w:spacing w:val="-18"/>
        <w:sz w:val="24"/>
        <w:u w:val="none"/>
      </w:rPr>
    </w:lvl>
    <w:lvl w:ilvl="1">
      <w:start w:val="1"/>
      <w:numFmt w:val="decimal"/>
      <w:lvlText w:val="%2."/>
      <w:lvlJc w:val="left"/>
      <w:pPr>
        <w:tabs>
          <w:tab w:val="num" w:pos="720"/>
        </w:tabs>
        <w:ind w:left="720" w:hanging="720"/>
      </w:pPr>
      <w:rPr>
        <w:rFonts w:ascii="Arial" w:eastAsia="Times New Roman" w:hAnsi="Arial" w:cs="Times New Roman" w:hint="default"/>
        <w:b/>
        <w:i w:val="0"/>
        <w:spacing w:val="-18"/>
        <w:sz w:val="24"/>
      </w:rPr>
    </w:lvl>
    <w:lvl w:ilvl="2">
      <w:start w:val="1"/>
      <w:numFmt w:val="bullet"/>
      <w:lvlText w:val=""/>
      <w:lvlJc w:val="left"/>
      <w:pPr>
        <w:tabs>
          <w:tab w:val="num" w:pos="720"/>
        </w:tabs>
        <w:ind w:left="720" w:hanging="720"/>
      </w:pPr>
      <w:rPr>
        <w:rFonts w:ascii="Symbol" w:hAnsi="Symbol" w:hint="default"/>
        <w:b w:val="0"/>
        <w:i w:val="0"/>
        <w:spacing w:val="-18"/>
        <w:sz w:val="24"/>
      </w:rPr>
    </w:lvl>
    <w:lvl w:ilvl="3">
      <w:start w:val="1"/>
      <w:numFmt w:val="bullet"/>
      <w:lvlText w:val=""/>
      <w:lvlJc w:val="left"/>
      <w:pPr>
        <w:tabs>
          <w:tab w:val="num" w:pos="1440"/>
        </w:tabs>
        <w:ind w:left="1440" w:hanging="720"/>
      </w:pPr>
      <w:rPr>
        <w:rFonts w:ascii="Symbol" w:hAnsi="Symbol" w:hint="default"/>
        <w:b w:val="0"/>
        <w:i w:val="0"/>
        <w:sz w:val="24"/>
      </w:rPr>
    </w:lvl>
    <w:lvl w:ilvl="4">
      <w:start w:val="1"/>
      <w:numFmt w:val="decimal"/>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num w:numId="1">
    <w:abstractNumId w:val="14"/>
  </w:num>
  <w:num w:numId="2">
    <w:abstractNumId w:val="31"/>
  </w:num>
  <w:num w:numId="3">
    <w:abstractNumId w:val="12"/>
  </w:num>
  <w:num w:numId="4">
    <w:abstractNumId w:val="10"/>
  </w:num>
  <w:num w:numId="5">
    <w:abstractNumId w:val="39"/>
  </w:num>
  <w:num w:numId="6">
    <w:abstractNumId w:val="43"/>
  </w:num>
  <w:num w:numId="7">
    <w:abstractNumId w:val="40"/>
  </w:num>
  <w:num w:numId="8">
    <w:abstractNumId w:val="28"/>
  </w:num>
  <w:num w:numId="9">
    <w:abstractNumId w:val="34"/>
  </w:num>
  <w:num w:numId="10">
    <w:abstractNumId w:val="23"/>
  </w:num>
  <w:num w:numId="11">
    <w:abstractNumId w:val="9"/>
  </w:num>
  <w:num w:numId="12">
    <w:abstractNumId w:val="33"/>
  </w:num>
  <w:num w:numId="13">
    <w:abstractNumId w:val="35"/>
  </w:num>
  <w:num w:numId="14">
    <w:abstractNumId w:val="1"/>
  </w:num>
  <w:num w:numId="15">
    <w:abstractNumId w:val="25"/>
  </w:num>
  <w:num w:numId="16">
    <w:abstractNumId w:val="26"/>
  </w:num>
  <w:num w:numId="17">
    <w:abstractNumId w:val="41"/>
  </w:num>
  <w:num w:numId="18">
    <w:abstractNumId w:val="13"/>
  </w:num>
  <w:num w:numId="19">
    <w:abstractNumId w:val="6"/>
  </w:num>
  <w:num w:numId="20">
    <w:abstractNumId w:val="15"/>
  </w:num>
  <w:num w:numId="21">
    <w:abstractNumId w:val="5"/>
  </w:num>
  <w:num w:numId="22">
    <w:abstractNumId w:val="18"/>
  </w:num>
  <w:num w:numId="23">
    <w:abstractNumId w:val="11"/>
  </w:num>
  <w:num w:numId="24">
    <w:abstractNumId w:val="44"/>
  </w:num>
  <w:num w:numId="25">
    <w:abstractNumId w:val="20"/>
  </w:num>
  <w:num w:numId="26">
    <w:abstractNumId w:val="8"/>
  </w:num>
  <w:num w:numId="27">
    <w:abstractNumId w:val="32"/>
  </w:num>
  <w:num w:numId="28">
    <w:abstractNumId w:val="17"/>
  </w:num>
  <w:num w:numId="29">
    <w:abstractNumId w:val="37"/>
  </w:num>
  <w:num w:numId="30">
    <w:abstractNumId w:val="21"/>
  </w:num>
  <w:num w:numId="31">
    <w:abstractNumId w:val="30"/>
  </w:num>
  <w:num w:numId="32">
    <w:abstractNumId w:val="42"/>
  </w:num>
  <w:num w:numId="33">
    <w:abstractNumId w:val="0"/>
  </w:num>
  <w:num w:numId="34">
    <w:abstractNumId w:val="18"/>
    <w:lvlOverride w:ilvl="0">
      <w:startOverride w:val="4"/>
    </w:lvlOverride>
  </w:num>
  <w:num w:numId="35">
    <w:abstractNumId w:val="2"/>
  </w:num>
  <w:num w:numId="36">
    <w:abstractNumId w:val="24"/>
  </w:num>
  <w:num w:numId="37">
    <w:abstractNumId w:val="7"/>
  </w:num>
  <w:num w:numId="38">
    <w:abstractNumId w:val="19"/>
  </w:num>
  <w:num w:numId="39">
    <w:abstractNumId w:val="27"/>
  </w:num>
  <w:num w:numId="40">
    <w:abstractNumId w:val="4"/>
  </w:num>
  <w:num w:numId="41">
    <w:abstractNumId w:val="38"/>
  </w:num>
  <w:num w:numId="42">
    <w:abstractNumId w:val="29"/>
  </w:num>
  <w:num w:numId="43">
    <w:abstractNumId w:val="18"/>
    <w:lvlOverride w:ilvl="0">
      <w:startOverride w:val="7"/>
    </w:lvlOverride>
    <w:lvlOverride w:ilvl="1">
      <w:startOverride w:val="2"/>
    </w:lvlOverride>
    <w:lvlOverride w:ilvl="2">
      <w:startOverride w:val="1"/>
    </w:lvlOverride>
  </w:num>
  <w:num w:numId="44">
    <w:abstractNumId w:val="3"/>
  </w:num>
  <w:num w:numId="45">
    <w:abstractNumId w:val="16"/>
  </w:num>
  <w:num w:numId="46">
    <w:abstractNumId w:val="36"/>
  </w:num>
  <w:num w:numId="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41"/>
    <w:rsid w:val="00012604"/>
    <w:rsid w:val="00014405"/>
    <w:rsid w:val="00020369"/>
    <w:rsid w:val="00042436"/>
    <w:rsid w:val="00055296"/>
    <w:rsid w:val="000749E0"/>
    <w:rsid w:val="00086AB0"/>
    <w:rsid w:val="00093518"/>
    <w:rsid w:val="000A79CF"/>
    <w:rsid w:val="000F10BA"/>
    <w:rsid w:val="00115A55"/>
    <w:rsid w:val="001209CA"/>
    <w:rsid w:val="001212AB"/>
    <w:rsid w:val="0012326C"/>
    <w:rsid w:val="0012431A"/>
    <w:rsid w:val="001277F8"/>
    <w:rsid w:val="00130265"/>
    <w:rsid w:val="001327D1"/>
    <w:rsid w:val="00133401"/>
    <w:rsid w:val="00137C47"/>
    <w:rsid w:val="00137E25"/>
    <w:rsid w:val="00155ABF"/>
    <w:rsid w:val="00163A9A"/>
    <w:rsid w:val="001867FF"/>
    <w:rsid w:val="00197C97"/>
    <w:rsid w:val="001A0914"/>
    <w:rsid w:val="001A1A76"/>
    <w:rsid w:val="001A37F7"/>
    <w:rsid w:val="001A4463"/>
    <w:rsid w:val="001B140D"/>
    <w:rsid w:val="001D1221"/>
    <w:rsid w:val="001D4D9D"/>
    <w:rsid w:val="001E2A4D"/>
    <w:rsid w:val="001F3EC6"/>
    <w:rsid w:val="00206611"/>
    <w:rsid w:val="00211948"/>
    <w:rsid w:val="00221AB1"/>
    <w:rsid w:val="002257BE"/>
    <w:rsid w:val="00225834"/>
    <w:rsid w:val="00226625"/>
    <w:rsid w:val="00250025"/>
    <w:rsid w:val="00276E8C"/>
    <w:rsid w:val="002805A3"/>
    <w:rsid w:val="00285E0B"/>
    <w:rsid w:val="00291D4F"/>
    <w:rsid w:val="00293B42"/>
    <w:rsid w:val="00295974"/>
    <w:rsid w:val="002A1F9E"/>
    <w:rsid w:val="002B7946"/>
    <w:rsid w:val="002D318B"/>
    <w:rsid w:val="002D63EB"/>
    <w:rsid w:val="002D7806"/>
    <w:rsid w:val="002E743E"/>
    <w:rsid w:val="002F715C"/>
    <w:rsid w:val="00304EF2"/>
    <w:rsid w:val="00311545"/>
    <w:rsid w:val="00311C05"/>
    <w:rsid w:val="00342058"/>
    <w:rsid w:val="003576FF"/>
    <w:rsid w:val="00360BE0"/>
    <w:rsid w:val="003625A5"/>
    <w:rsid w:val="003635D0"/>
    <w:rsid w:val="0037507C"/>
    <w:rsid w:val="00375AB5"/>
    <w:rsid w:val="0039478A"/>
    <w:rsid w:val="003A3EB7"/>
    <w:rsid w:val="003A6446"/>
    <w:rsid w:val="003B0797"/>
    <w:rsid w:val="003C3872"/>
    <w:rsid w:val="003D65B2"/>
    <w:rsid w:val="003E6E73"/>
    <w:rsid w:val="00405AC1"/>
    <w:rsid w:val="0043490D"/>
    <w:rsid w:val="00434F6A"/>
    <w:rsid w:val="00443EF4"/>
    <w:rsid w:val="004541BE"/>
    <w:rsid w:val="00455E44"/>
    <w:rsid w:val="00462547"/>
    <w:rsid w:val="00463C41"/>
    <w:rsid w:val="00465F4D"/>
    <w:rsid w:val="00467EEE"/>
    <w:rsid w:val="004756E5"/>
    <w:rsid w:val="00477EA9"/>
    <w:rsid w:val="00481B82"/>
    <w:rsid w:val="00484397"/>
    <w:rsid w:val="00485318"/>
    <w:rsid w:val="004A12E2"/>
    <w:rsid w:val="004A794D"/>
    <w:rsid w:val="004A7D3D"/>
    <w:rsid w:val="004B098F"/>
    <w:rsid w:val="004C7B3F"/>
    <w:rsid w:val="004D4896"/>
    <w:rsid w:val="004F18B3"/>
    <w:rsid w:val="00502BB8"/>
    <w:rsid w:val="00512F9E"/>
    <w:rsid w:val="00565BD4"/>
    <w:rsid w:val="00584886"/>
    <w:rsid w:val="00594904"/>
    <w:rsid w:val="005A07E4"/>
    <w:rsid w:val="005A39A5"/>
    <w:rsid w:val="005A7F60"/>
    <w:rsid w:val="005B4525"/>
    <w:rsid w:val="005C50FA"/>
    <w:rsid w:val="005D7996"/>
    <w:rsid w:val="005E3A92"/>
    <w:rsid w:val="005F2687"/>
    <w:rsid w:val="005F3C0F"/>
    <w:rsid w:val="005F5F17"/>
    <w:rsid w:val="005F6A92"/>
    <w:rsid w:val="00603712"/>
    <w:rsid w:val="0060584E"/>
    <w:rsid w:val="006132AF"/>
    <w:rsid w:val="0062415B"/>
    <w:rsid w:val="00627AC2"/>
    <w:rsid w:val="00655B00"/>
    <w:rsid w:val="00662DA9"/>
    <w:rsid w:val="00665EF9"/>
    <w:rsid w:val="00674110"/>
    <w:rsid w:val="00687C90"/>
    <w:rsid w:val="0069360C"/>
    <w:rsid w:val="006A6D8F"/>
    <w:rsid w:val="006A73D2"/>
    <w:rsid w:val="006C0450"/>
    <w:rsid w:val="006D0553"/>
    <w:rsid w:val="006D3837"/>
    <w:rsid w:val="006D6460"/>
    <w:rsid w:val="006E603A"/>
    <w:rsid w:val="006F3A3E"/>
    <w:rsid w:val="00722076"/>
    <w:rsid w:val="00725952"/>
    <w:rsid w:val="0073640D"/>
    <w:rsid w:val="00751627"/>
    <w:rsid w:val="00756A11"/>
    <w:rsid w:val="00773F83"/>
    <w:rsid w:val="0077455B"/>
    <w:rsid w:val="00777575"/>
    <w:rsid w:val="007860DC"/>
    <w:rsid w:val="00795FE5"/>
    <w:rsid w:val="00797EB9"/>
    <w:rsid w:val="007C3EFC"/>
    <w:rsid w:val="007D417C"/>
    <w:rsid w:val="007E42FC"/>
    <w:rsid w:val="00810AAB"/>
    <w:rsid w:val="00811430"/>
    <w:rsid w:val="00814AD0"/>
    <w:rsid w:val="008219FF"/>
    <w:rsid w:val="0082343E"/>
    <w:rsid w:val="008239FE"/>
    <w:rsid w:val="00840463"/>
    <w:rsid w:val="008524EC"/>
    <w:rsid w:val="00860D5A"/>
    <w:rsid w:val="008648DC"/>
    <w:rsid w:val="008674CF"/>
    <w:rsid w:val="00871411"/>
    <w:rsid w:val="008A1ABD"/>
    <w:rsid w:val="008B2E14"/>
    <w:rsid w:val="008B7376"/>
    <w:rsid w:val="008C6E28"/>
    <w:rsid w:val="008D7F6C"/>
    <w:rsid w:val="008F2E32"/>
    <w:rsid w:val="009050E9"/>
    <w:rsid w:val="0090570F"/>
    <w:rsid w:val="0092105B"/>
    <w:rsid w:val="00926969"/>
    <w:rsid w:val="0093669F"/>
    <w:rsid w:val="009368C9"/>
    <w:rsid w:val="00936AF1"/>
    <w:rsid w:val="0094444E"/>
    <w:rsid w:val="00945A81"/>
    <w:rsid w:val="00945D8D"/>
    <w:rsid w:val="00952B6D"/>
    <w:rsid w:val="0096256F"/>
    <w:rsid w:val="00967D6C"/>
    <w:rsid w:val="009719CA"/>
    <w:rsid w:val="00981497"/>
    <w:rsid w:val="00985119"/>
    <w:rsid w:val="00994E70"/>
    <w:rsid w:val="009A7471"/>
    <w:rsid w:val="009B1AB8"/>
    <w:rsid w:val="009B2A0E"/>
    <w:rsid w:val="009C7CF5"/>
    <w:rsid w:val="009D5AAD"/>
    <w:rsid w:val="009E4CDD"/>
    <w:rsid w:val="009E7EA4"/>
    <w:rsid w:val="00A00D90"/>
    <w:rsid w:val="00A03ABE"/>
    <w:rsid w:val="00A0578E"/>
    <w:rsid w:val="00A25589"/>
    <w:rsid w:val="00A30A4C"/>
    <w:rsid w:val="00A33518"/>
    <w:rsid w:val="00A347CE"/>
    <w:rsid w:val="00A358BD"/>
    <w:rsid w:val="00A61A4E"/>
    <w:rsid w:val="00A764D5"/>
    <w:rsid w:val="00AA04EE"/>
    <w:rsid w:val="00AA0F20"/>
    <w:rsid w:val="00AB71AD"/>
    <w:rsid w:val="00AC1F67"/>
    <w:rsid w:val="00AC3086"/>
    <w:rsid w:val="00AC4B77"/>
    <w:rsid w:val="00AD60D3"/>
    <w:rsid w:val="00AF6570"/>
    <w:rsid w:val="00B1065F"/>
    <w:rsid w:val="00B10DEC"/>
    <w:rsid w:val="00B129C2"/>
    <w:rsid w:val="00B265BC"/>
    <w:rsid w:val="00B31227"/>
    <w:rsid w:val="00B468FF"/>
    <w:rsid w:val="00B47304"/>
    <w:rsid w:val="00B75D78"/>
    <w:rsid w:val="00B8072A"/>
    <w:rsid w:val="00B8233B"/>
    <w:rsid w:val="00B85C19"/>
    <w:rsid w:val="00B87BBA"/>
    <w:rsid w:val="00B957C3"/>
    <w:rsid w:val="00BA01ED"/>
    <w:rsid w:val="00BC0252"/>
    <w:rsid w:val="00BC29FE"/>
    <w:rsid w:val="00BD163A"/>
    <w:rsid w:val="00BD6FB6"/>
    <w:rsid w:val="00BE2A7F"/>
    <w:rsid w:val="00BF427A"/>
    <w:rsid w:val="00C002F6"/>
    <w:rsid w:val="00C00674"/>
    <w:rsid w:val="00C05528"/>
    <w:rsid w:val="00C10312"/>
    <w:rsid w:val="00C11635"/>
    <w:rsid w:val="00C1700B"/>
    <w:rsid w:val="00C36CA5"/>
    <w:rsid w:val="00C4681A"/>
    <w:rsid w:val="00C46B6F"/>
    <w:rsid w:val="00C60831"/>
    <w:rsid w:val="00C6438F"/>
    <w:rsid w:val="00C66BE3"/>
    <w:rsid w:val="00C71B0A"/>
    <w:rsid w:val="00C831CB"/>
    <w:rsid w:val="00CA20FC"/>
    <w:rsid w:val="00CB1025"/>
    <w:rsid w:val="00CC0479"/>
    <w:rsid w:val="00CC5CBC"/>
    <w:rsid w:val="00CD54AA"/>
    <w:rsid w:val="00CE0B52"/>
    <w:rsid w:val="00CF0B60"/>
    <w:rsid w:val="00CF2A48"/>
    <w:rsid w:val="00CF4E82"/>
    <w:rsid w:val="00CF4F02"/>
    <w:rsid w:val="00CF565D"/>
    <w:rsid w:val="00D07E5C"/>
    <w:rsid w:val="00D2134B"/>
    <w:rsid w:val="00D2504D"/>
    <w:rsid w:val="00D36C2C"/>
    <w:rsid w:val="00D410A8"/>
    <w:rsid w:val="00D427A7"/>
    <w:rsid w:val="00D67108"/>
    <w:rsid w:val="00D74982"/>
    <w:rsid w:val="00D7746D"/>
    <w:rsid w:val="00D820E3"/>
    <w:rsid w:val="00D93BC4"/>
    <w:rsid w:val="00DA252F"/>
    <w:rsid w:val="00DA4014"/>
    <w:rsid w:val="00DA5892"/>
    <w:rsid w:val="00DC3757"/>
    <w:rsid w:val="00DF2F7E"/>
    <w:rsid w:val="00E02E72"/>
    <w:rsid w:val="00E054AE"/>
    <w:rsid w:val="00E12EAE"/>
    <w:rsid w:val="00E2089C"/>
    <w:rsid w:val="00E255C4"/>
    <w:rsid w:val="00E32CAA"/>
    <w:rsid w:val="00E374BE"/>
    <w:rsid w:val="00E45C5E"/>
    <w:rsid w:val="00E45DDE"/>
    <w:rsid w:val="00E6365B"/>
    <w:rsid w:val="00E74A6A"/>
    <w:rsid w:val="00E74B8A"/>
    <w:rsid w:val="00E84217"/>
    <w:rsid w:val="00E85A5C"/>
    <w:rsid w:val="00E87D3C"/>
    <w:rsid w:val="00EA7C35"/>
    <w:rsid w:val="00EB5934"/>
    <w:rsid w:val="00EB5FE9"/>
    <w:rsid w:val="00ED3C3E"/>
    <w:rsid w:val="00F032B6"/>
    <w:rsid w:val="00F05884"/>
    <w:rsid w:val="00F05CA3"/>
    <w:rsid w:val="00F060B4"/>
    <w:rsid w:val="00F244AB"/>
    <w:rsid w:val="00F31FDC"/>
    <w:rsid w:val="00F36D0F"/>
    <w:rsid w:val="00F456FF"/>
    <w:rsid w:val="00F56B1F"/>
    <w:rsid w:val="00F67A7E"/>
    <w:rsid w:val="00F70572"/>
    <w:rsid w:val="00F73097"/>
    <w:rsid w:val="00F808AD"/>
    <w:rsid w:val="00F819ED"/>
    <w:rsid w:val="00F95466"/>
    <w:rsid w:val="00FA4511"/>
    <w:rsid w:val="00FD4F83"/>
    <w:rsid w:val="00FD77BD"/>
    <w:rsid w:val="00FE413A"/>
    <w:rsid w:val="00FF2B75"/>
    <w:rsid w:val="00FF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rFonts w:ascii="Arial" w:hAnsi="Arial"/>
      <w:sz w:val="24"/>
      <w:lang w:eastAsia="en-U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uiPriority w:val="9"/>
    <w:unhideWhenUsed/>
    <w:qFormat/>
    <w:rsid w:val="00E054A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Title">
    <w:name w:val="Committee Title"/>
    <w:basedOn w:val="Normal"/>
    <w:next w:val="CommitteeSubTitle"/>
    <w:pPr>
      <w:keepNext/>
      <w:spacing w:before="240" w:after="60"/>
      <w:jc w:val="center"/>
    </w:pPr>
    <w:rPr>
      <w:b/>
      <w:caps/>
      <w:kern w:val="28"/>
    </w:rPr>
  </w:style>
  <w:style w:type="paragraph" w:customStyle="1" w:styleId="backgroundpapers">
    <w:name w:val="background papers"/>
    <w:basedOn w:val="Normal"/>
  </w:style>
  <w:style w:type="paragraph" w:customStyle="1" w:styleId="ChiefOfficer">
    <w:name w:val="Chief Officer"/>
    <w:basedOn w:val="Normal"/>
  </w:style>
  <w:style w:type="paragraph" w:customStyle="1" w:styleId="CommitteeSubTitle">
    <w:name w:val="Committee SubTitle"/>
    <w:basedOn w:val="CommitteeTitle"/>
    <w:next w:val="Normal"/>
    <w:rPr>
      <w:caps w:val="0"/>
      <w:kern w:val="0"/>
    </w:rPr>
  </w:style>
  <w:style w:type="paragraph" w:customStyle="1" w:styleId="contact">
    <w:name w:val="contact"/>
    <w:basedOn w:val="Normal"/>
    <w:pPr>
      <w:jc w:val="right"/>
    </w:pPr>
  </w:style>
  <w:style w:type="paragraph" w:customStyle="1" w:styleId="ReportPart">
    <w:name w:val="Report Part"/>
    <w:basedOn w:val="CommitteeSubTitle"/>
    <w:next w:val="Decision"/>
    <w:pPr>
      <w:spacing w:before="60"/>
      <w:ind w:left="-425"/>
      <w:jc w:val="left"/>
    </w:pPr>
  </w:style>
  <w:style w:type="paragraph" w:customStyle="1" w:styleId="Decision">
    <w:name w:val="Decision"/>
    <w:basedOn w:val="ReportPart"/>
    <w:next w:val="Normal"/>
    <w:pPr>
      <w:spacing w:before="180" w:after="0"/>
    </w:pPr>
  </w:style>
  <w:style w:type="paragraph" w:customStyle="1" w:styleId="IndentedParagraph">
    <w:name w:val="Indented Paragraph"/>
    <w:basedOn w:val="Normal"/>
    <w:pPr>
      <w:spacing w:after="240"/>
      <w:ind w:left="720"/>
    </w:pPr>
  </w:style>
  <w:style w:type="paragraph" w:styleId="ListBullet">
    <w:name w:val="List Bullet"/>
    <w:basedOn w:val="Normal"/>
    <w:autoRedefine/>
    <w:rsid w:val="0073640D"/>
    <w:pPr>
      <w:spacing w:after="240" w:line="276" w:lineRule="auto"/>
      <w:ind w:left="44"/>
    </w:pPr>
    <w:rPr>
      <w:lang w:eastAsia="en-GB"/>
    </w:rPr>
  </w:style>
  <w:style w:type="paragraph" w:customStyle="1" w:styleId="ListNumbered">
    <w:name w:val="List Numbered"/>
    <w:basedOn w:val="Normal"/>
    <w:pPr>
      <w:numPr>
        <w:ilvl w:val="4"/>
        <w:numId w:val="22"/>
      </w:numPr>
      <w:spacing w:after="240"/>
    </w:pPr>
  </w:style>
  <w:style w:type="character" w:styleId="PageNumber">
    <w:name w:val="page number"/>
    <w:basedOn w:val="DefaultParagraphFont"/>
    <w:rPr>
      <w:rFonts w:ascii="Arial" w:hAnsi="Arial"/>
      <w:sz w:val="22"/>
    </w:rPr>
  </w:style>
  <w:style w:type="paragraph" w:customStyle="1" w:styleId="Reasons">
    <w:name w:val="Reasons"/>
    <w:basedOn w:val="IndentedParagraph"/>
    <w:pPr>
      <w:spacing w:after="0"/>
      <w:ind w:right="-166"/>
    </w:pPr>
  </w:style>
  <w:style w:type="paragraph" w:customStyle="1" w:styleId="ReportLevel1">
    <w:name w:val="Report Level 1"/>
    <w:basedOn w:val="Normal"/>
    <w:next w:val="SummaryHeading"/>
    <w:pPr>
      <w:numPr>
        <w:numId w:val="22"/>
      </w:numPr>
      <w:spacing w:before="60" w:after="240"/>
      <w:outlineLvl w:val="0"/>
    </w:pPr>
    <w:rPr>
      <w:b/>
      <w:caps/>
      <w:u w:val="single"/>
    </w:rPr>
  </w:style>
  <w:style w:type="paragraph" w:customStyle="1" w:styleId="ReportLevel2">
    <w:name w:val="Report Level 2"/>
    <w:basedOn w:val="Normal"/>
    <w:next w:val="ReportLevel3"/>
    <w:pPr>
      <w:numPr>
        <w:ilvl w:val="1"/>
        <w:numId w:val="22"/>
      </w:numPr>
      <w:tabs>
        <w:tab w:val="left" w:pos="2880"/>
      </w:tabs>
      <w:spacing w:after="240"/>
    </w:pPr>
    <w:rPr>
      <w:b/>
    </w:rPr>
  </w:style>
  <w:style w:type="paragraph" w:customStyle="1" w:styleId="ReportLevel3">
    <w:name w:val="Report Level 3"/>
    <w:basedOn w:val="ReportLevel2"/>
    <w:pPr>
      <w:numPr>
        <w:ilvl w:val="2"/>
      </w:numPr>
      <w:tabs>
        <w:tab w:val="clear" w:pos="2880"/>
      </w:tabs>
    </w:pPr>
    <w:rPr>
      <w:b w:val="0"/>
    </w:rPr>
  </w:style>
  <w:style w:type="paragraph" w:customStyle="1" w:styleId="ReportTitle">
    <w:name w:val="Report Title"/>
    <w:basedOn w:val="Normal"/>
    <w:next w:val="Normal"/>
    <w:pPr>
      <w:tabs>
        <w:tab w:val="left" w:pos="720"/>
      </w:tabs>
      <w:spacing w:before="60" w:after="240"/>
      <w:ind w:left="720" w:hanging="720"/>
    </w:pPr>
    <w:rPr>
      <w:b/>
      <w:caps/>
      <w:u w:val="single"/>
    </w:rPr>
  </w:style>
  <w:style w:type="paragraph" w:customStyle="1" w:styleId="SummaryHeading">
    <w:name w:val="Summary Heading"/>
    <w:basedOn w:val="Heading3"/>
    <w:next w:val="SummaryText"/>
    <w:pPr>
      <w:spacing w:before="0" w:after="0"/>
      <w:ind w:left="720"/>
    </w:pPr>
    <w:rPr>
      <w:b/>
    </w:rPr>
  </w:style>
  <w:style w:type="paragraph" w:customStyle="1" w:styleId="SummaryText">
    <w:name w:val="Summary Text"/>
    <w:basedOn w:val="Normal"/>
    <w:next w:val="ReportLevel2"/>
    <w:pPr>
      <w:shd w:val="clear" w:color="auto" w:fill="FFFFFF"/>
      <w:tabs>
        <w:tab w:val="left" w:pos="3402"/>
      </w:tabs>
      <w:spacing w:after="240"/>
      <w:ind w:left="720"/>
    </w:pPr>
    <w:rPr>
      <w:b/>
    </w:rPr>
  </w:style>
  <w:style w:type="paragraph" w:customStyle="1" w:styleId="TableText">
    <w:name w:val="Table Text"/>
    <w:basedOn w:val="Normal"/>
    <w:pPr>
      <w:spacing w:line="240" w:lineRule="auto"/>
    </w:pPr>
  </w:style>
  <w:style w:type="paragraph" w:styleId="Header">
    <w:name w:val="header"/>
    <w:basedOn w:val="Normal"/>
    <w:pPr>
      <w:tabs>
        <w:tab w:val="center" w:pos="4153"/>
        <w:tab w:val="right" w:pos="8306"/>
      </w:tabs>
    </w:pPr>
    <w:rPr>
      <w:sz w:val="22"/>
    </w:rPr>
  </w:style>
  <w:style w:type="paragraph" w:styleId="Footer">
    <w:name w:val="footer"/>
    <w:basedOn w:val="Normal"/>
    <w:pPr>
      <w:tabs>
        <w:tab w:val="right" w:pos="9356"/>
      </w:tabs>
    </w:pPr>
    <w:rPr>
      <w:sz w:val="22"/>
    </w:rPr>
  </w:style>
  <w:style w:type="paragraph" w:customStyle="1" w:styleId="PolicyConsiderations">
    <w:name w:val="Policy Considerations"/>
    <w:basedOn w:val="ReportLevel3"/>
    <w:rsid w:val="00D820E3"/>
  </w:style>
  <w:style w:type="paragraph" w:customStyle="1" w:styleId="Policyconsiderationssubheading">
    <w:name w:val="Policy considerations subheading"/>
    <w:basedOn w:val="ReportLevel2"/>
    <w:next w:val="PolicyConsiderations"/>
    <w:rsid w:val="00D820E3"/>
  </w:style>
  <w:style w:type="table" w:styleId="TableGrid">
    <w:name w:val="Table Grid"/>
    <w:basedOn w:val="TableNormal"/>
    <w:uiPriority w:val="59"/>
    <w:rsid w:val="00F032B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0674"/>
    <w:rPr>
      <w:color w:val="808080"/>
    </w:rPr>
  </w:style>
  <w:style w:type="paragraph" w:styleId="BalloonText">
    <w:name w:val="Balloon Text"/>
    <w:basedOn w:val="Normal"/>
    <w:link w:val="BalloonTextChar"/>
    <w:rsid w:val="00C006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0674"/>
    <w:rPr>
      <w:rFonts w:ascii="Tahoma" w:hAnsi="Tahoma" w:cs="Tahoma"/>
      <w:sz w:val="16"/>
      <w:szCs w:val="16"/>
      <w:lang w:eastAsia="en-US"/>
    </w:rPr>
  </w:style>
  <w:style w:type="character" w:customStyle="1" w:styleId="reportdate">
    <w:name w:val="report_date"/>
    <w:basedOn w:val="DefaultParagraphFont"/>
    <w:uiPriority w:val="1"/>
    <w:rsid w:val="002F715C"/>
  </w:style>
  <w:style w:type="character" w:styleId="Strong">
    <w:name w:val="Strong"/>
    <w:basedOn w:val="DefaultParagraphFont"/>
    <w:uiPriority w:val="22"/>
    <w:qFormat/>
    <w:rsid w:val="00463C41"/>
    <w:rPr>
      <w:b/>
      <w:bCs/>
    </w:rPr>
  </w:style>
  <w:style w:type="paragraph" w:styleId="EndnoteText">
    <w:name w:val="endnote text"/>
    <w:basedOn w:val="Normal"/>
    <w:link w:val="EndnoteTextChar"/>
    <w:uiPriority w:val="99"/>
    <w:unhideWhenUsed/>
    <w:rsid w:val="00E45DDE"/>
    <w:pPr>
      <w:spacing w:line="240" w:lineRule="auto"/>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E45DDE"/>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45DDE"/>
    <w:rPr>
      <w:vertAlign w:val="superscript"/>
    </w:rPr>
  </w:style>
  <w:style w:type="paragraph" w:styleId="ListParagraph">
    <w:name w:val="List Paragraph"/>
    <w:basedOn w:val="Normal"/>
    <w:uiPriority w:val="34"/>
    <w:qFormat/>
    <w:rsid w:val="00E45DDE"/>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E054AE"/>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B8072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1700B"/>
    <w:rPr>
      <w:color w:val="0000FF"/>
      <w:u w:val="single"/>
    </w:rPr>
  </w:style>
  <w:style w:type="character" w:styleId="FollowedHyperlink">
    <w:name w:val="FollowedHyperlink"/>
    <w:basedOn w:val="DefaultParagraphFont"/>
    <w:rsid w:val="00CF565D"/>
    <w:rPr>
      <w:color w:val="800080" w:themeColor="followedHyperlink"/>
      <w:u w:val="single"/>
    </w:rPr>
  </w:style>
  <w:style w:type="character" w:styleId="CommentReference">
    <w:name w:val="annotation reference"/>
    <w:basedOn w:val="DefaultParagraphFont"/>
    <w:rsid w:val="008524EC"/>
    <w:rPr>
      <w:sz w:val="16"/>
      <w:szCs w:val="16"/>
    </w:rPr>
  </w:style>
  <w:style w:type="paragraph" w:styleId="CommentText">
    <w:name w:val="annotation text"/>
    <w:basedOn w:val="Normal"/>
    <w:link w:val="CommentTextChar"/>
    <w:rsid w:val="008524EC"/>
    <w:pPr>
      <w:spacing w:line="240" w:lineRule="auto"/>
    </w:pPr>
    <w:rPr>
      <w:sz w:val="20"/>
    </w:rPr>
  </w:style>
  <w:style w:type="character" w:customStyle="1" w:styleId="CommentTextChar">
    <w:name w:val="Comment Text Char"/>
    <w:basedOn w:val="DefaultParagraphFont"/>
    <w:link w:val="CommentText"/>
    <w:rsid w:val="008524EC"/>
    <w:rPr>
      <w:rFonts w:ascii="Arial" w:hAnsi="Arial"/>
      <w:lang w:eastAsia="en-US"/>
    </w:rPr>
  </w:style>
  <w:style w:type="paragraph" w:styleId="CommentSubject">
    <w:name w:val="annotation subject"/>
    <w:basedOn w:val="CommentText"/>
    <w:next w:val="CommentText"/>
    <w:link w:val="CommentSubjectChar"/>
    <w:rsid w:val="008524EC"/>
    <w:rPr>
      <w:b/>
      <w:bCs/>
    </w:rPr>
  </w:style>
  <w:style w:type="character" w:customStyle="1" w:styleId="CommentSubjectChar">
    <w:name w:val="Comment Subject Char"/>
    <w:basedOn w:val="CommentTextChar"/>
    <w:link w:val="CommentSubject"/>
    <w:rsid w:val="008524E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rFonts w:ascii="Arial" w:hAnsi="Arial"/>
      <w:sz w:val="24"/>
      <w:lang w:eastAsia="en-U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uiPriority w:val="9"/>
    <w:unhideWhenUsed/>
    <w:qFormat/>
    <w:rsid w:val="00E054A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Title">
    <w:name w:val="Committee Title"/>
    <w:basedOn w:val="Normal"/>
    <w:next w:val="CommitteeSubTitle"/>
    <w:pPr>
      <w:keepNext/>
      <w:spacing w:before="240" w:after="60"/>
      <w:jc w:val="center"/>
    </w:pPr>
    <w:rPr>
      <w:b/>
      <w:caps/>
      <w:kern w:val="28"/>
    </w:rPr>
  </w:style>
  <w:style w:type="paragraph" w:customStyle="1" w:styleId="backgroundpapers">
    <w:name w:val="background papers"/>
    <w:basedOn w:val="Normal"/>
  </w:style>
  <w:style w:type="paragraph" w:customStyle="1" w:styleId="ChiefOfficer">
    <w:name w:val="Chief Officer"/>
    <w:basedOn w:val="Normal"/>
  </w:style>
  <w:style w:type="paragraph" w:customStyle="1" w:styleId="CommitteeSubTitle">
    <w:name w:val="Committee SubTitle"/>
    <w:basedOn w:val="CommitteeTitle"/>
    <w:next w:val="Normal"/>
    <w:rPr>
      <w:caps w:val="0"/>
      <w:kern w:val="0"/>
    </w:rPr>
  </w:style>
  <w:style w:type="paragraph" w:customStyle="1" w:styleId="contact">
    <w:name w:val="contact"/>
    <w:basedOn w:val="Normal"/>
    <w:pPr>
      <w:jc w:val="right"/>
    </w:pPr>
  </w:style>
  <w:style w:type="paragraph" w:customStyle="1" w:styleId="ReportPart">
    <w:name w:val="Report Part"/>
    <w:basedOn w:val="CommitteeSubTitle"/>
    <w:next w:val="Decision"/>
    <w:pPr>
      <w:spacing w:before="60"/>
      <w:ind w:left="-425"/>
      <w:jc w:val="left"/>
    </w:pPr>
  </w:style>
  <w:style w:type="paragraph" w:customStyle="1" w:styleId="Decision">
    <w:name w:val="Decision"/>
    <w:basedOn w:val="ReportPart"/>
    <w:next w:val="Normal"/>
    <w:pPr>
      <w:spacing w:before="180" w:after="0"/>
    </w:pPr>
  </w:style>
  <w:style w:type="paragraph" w:customStyle="1" w:styleId="IndentedParagraph">
    <w:name w:val="Indented Paragraph"/>
    <w:basedOn w:val="Normal"/>
    <w:pPr>
      <w:spacing w:after="240"/>
      <w:ind w:left="720"/>
    </w:pPr>
  </w:style>
  <w:style w:type="paragraph" w:styleId="ListBullet">
    <w:name w:val="List Bullet"/>
    <w:basedOn w:val="Normal"/>
    <w:autoRedefine/>
    <w:rsid w:val="0073640D"/>
    <w:pPr>
      <w:spacing w:after="240" w:line="276" w:lineRule="auto"/>
      <w:ind w:left="44"/>
    </w:pPr>
    <w:rPr>
      <w:lang w:eastAsia="en-GB"/>
    </w:rPr>
  </w:style>
  <w:style w:type="paragraph" w:customStyle="1" w:styleId="ListNumbered">
    <w:name w:val="List Numbered"/>
    <w:basedOn w:val="Normal"/>
    <w:pPr>
      <w:numPr>
        <w:ilvl w:val="4"/>
        <w:numId w:val="22"/>
      </w:numPr>
      <w:spacing w:after="240"/>
    </w:pPr>
  </w:style>
  <w:style w:type="character" w:styleId="PageNumber">
    <w:name w:val="page number"/>
    <w:basedOn w:val="DefaultParagraphFont"/>
    <w:rPr>
      <w:rFonts w:ascii="Arial" w:hAnsi="Arial"/>
      <w:sz w:val="22"/>
    </w:rPr>
  </w:style>
  <w:style w:type="paragraph" w:customStyle="1" w:styleId="Reasons">
    <w:name w:val="Reasons"/>
    <w:basedOn w:val="IndentedParagraph"/>
    <w:pPr>
      <w:spacing w:after="0"/>
      <w:ind w:right="-166"/>
    </w:pPr>
  </w:style>
  <w:style w:type="paragraph" w:customStyle="1" w:styleId="ReportLevel1">
    <w:name w:val="Report Level 1"/>
    <w:basedOn w:val="Normal"/>
    <w:next w:val="SummaryHeading"/>
    <w:pPr>
      <w:numPr>
        <w:numId w:val="22"/>
      </w:numPr>
      <w:spacing w:before="60" w:after="240"/>
      <w:outlineLvl w:val="0"/>
    </w:pPr>
    <w:rPr>
      <w:b/>
      <w:caps/>
      <w:u w:val="single"/>
    </w:rPr>
  </w:style>
  <w:style w:type="paragraph" w:customStyle="1" w:styleId="ReportLevel2">
    <w:name w:val="Report Level 2"/>
    <w:basedOn w:val="Normal"/>
    <w:next w:val="ReportLevel3"/>
    <w:pPr>
      <w:numPr>
        <w:ilvl w:val="1"/>
        <w:numId w:val="22"/>
      </w:numPr>
      <w:tabs>
        <w:tab w:val="left" w:pos="2880"/>
      </w:tabs>
      <w:spacing w:after="240"/>
    </w:pPr>
    <w:rPr>
      <w:b/>
    </w:rPr>
  </w:style>
  <w:style w:type="paragraph" w:customStyle="1" w:styleId="ReportLevel3">
    <w:name w:val="Report Level 3"/>
    <w:basedOn w:val="ReportLevel2"/>
    <w:pPr>
      <w:numPr>
        <w:ilvl w:val="2"/>
      </w:numPr>
      <w:tabs>
        <w:tab w:val="clear" w:pos="2880"/>
      </w:tabs>
    </w:pPr>
    <w:rPr>
      <w:b w:val="0"/>
    </w:rPr>
  </w:style>
  <w:style w:type="paragraph" w:customStyle="1" w:styleId="ReportTitle">
    <w:name w:val="Report Title"/>
    <w:basedOn w:val="Normal"/>
    <w:next w:val="Normal"/>
    <w:pPr>
      <w:tabs>
        <w:tab w:val="left" w:pos="720"/>
      </w:tabs>
      <w:spacing w:before="60" w:after="240"/>
      <w:ind w:left="720" w:hanging="720"/>
    </w:pPr>
    <w:rPr>
      <w:b/>
      <w:caps/>
      <w:u w:val="single"/>
    </w:rPr>
  </w:style>
  <w:style w:type="paragraph" w:customStyle="1" w:styleId="SummaryHeading">
    <w:name w:val="Summary Heading"/>
    <w:basedOn w:val="Heading3"/>
    <w:next w:val="SummaryText"/>
    <w:pPr>
      <w:spacing w:before="0" w:after="0"/>
      <w:ind w:left="720"/>
    </w:pPr>
    <w:rPr>
      <w:b/>
    </w:rPr>
  </w:style>
  <w:style w:type="paragraph" w:customStyle="1" w:styleId="SummaryText">
    <w:name w:val="Summary Text"/>
    <w:basedOn w:val="Normal"/>
    <w:next w:val="ReportLevel2"/>
    <w:pPr>
      <w:shd w:val="clear" w:color="auto" w:fill="FFFFFF"/>
      <w:tabs>
        <w:tab w:val="left" w:pos="3402"/>
      </w:tabs>
      <w:spacing w:after="240"/>
      <w:ind w:left="720"/>
    </w:pPr>
    <w:rPr>
      <w:b/>
    </w:rPr>
  </w:style>
  <w:style w:type="paragraph" w:customStyle="1" w:styleId="TableText">
    <w:name w:val="Table Text"/>
    <w:basedOn w:val="Normal"/>
    <w:pPr>
      <w:spacing w:line="240" w:lineRule="auto"/>
    </w:pPr>
  </w:style>
  <w:style w:type="paragraph" w:styleId="Header">
    <w:name w:val="header"/>
    <w:basedOn w:val="Normal"/>
    <w:pPr>
      <w:tabs>
        <w:tab w:val="center" w:pos="4153"/>
        <w:tab w:val="right" w:pos="8306"/>
      </w:tabs>
    </w:pPr>
    <w:rPr>
      <w:sz w:val="22"/>
    </w:rPr>
  </w:style>
  <w:style w:type="paragraph" w:styleId="Footer">
    <w:name w:val="footer"/>
    <w:basedOn w:val="Normal"/>
    <w:pPr>
      <w:tabs>
        <w:tab w:val="right" w:pos="9356"/>
      </w:tabs>
    </w:pPr>
    <w:rPr>
      <w:sz w:val="22"/>
    </w:rPr>
  </w:style>
  <w:style w:type="paragraph" w:customStyle="1" w:styleId="PolicyConsiderations">
    <w:name w:val="Policy Considerations"/>
    <w:basedOn w:val="ReportLevel3"/>
    <w:rsid w:val="00D820E3"/>
  </w:style>
  <w:style w:type="paragraph" w:customStyle="1" w:styleId="Policyconsiderationssubheading">
    <w:name w:val="Policy considerations subheading"/>
    <w:basedOn w:val="ReportLevel2"/>
    <w:next w:val="PolicyConsiderations"/>
    <w:rsid w:val="00D820E3"/>
  </w:style>
  <w:style w:type="table" w:styleId="TableGrid">
    <w:name w:val="Table Grid"/>
    <w:basedOn w:val="TableNormal"/>
    <w:uiPriority w:val="59"/>
    <w:rsid w:val="00F032B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0674"/>
    <w:rPr>
      <w:color w:val="808080"/>
    </w:rPr>
  </w:style>
  <w:style w:type="paragraph" w:styleId="BalloonText">
    <w:name w:val="Balloon Text"/>
    <w:basedOn w:val="Normal"/>
    <w:link w:val="BalloonTextChar"/>
    <w:rsid w:val="00C006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0674"/>
    <w:rPr>
      <w:rFonts w:ascii="Tahoma" w:hAnsi="Tahoma" w:cs="Tahoma"/>
      <w:sz w:val="16"/>
      <w:szCs w:val="16"/>
      <w:lang w:eastAsia="en-US"/>
    </w:rPr>
  </w:style>
  <w:style w:type="character" w:customStyle="1" w:styleId="reportdate">
    <w:name w:val="report_date"/>
    <w:basedOn w:val="DefaultParagraphFont"/>
    <w:uiPriority w:val="1"/>
    <w:rsid w:val="002F715C"/>
  </w:style>
  <w:style w:type="character" w:styleId="Strong">
    <w:name w:val="Strong"/>
    <w:basedOn w:val="DefaultParagraphFont"/>
    <w:uiPriority w:val="22"/>
    <w:qFormat/>
    <w:rsid w:val="00463C41"/>
    <w:rPr>
      <w:b/>
      <w:bCs/>
    </w:rPr>
  </w:style>
  <w:style w:type="paragraph" w:styleId="EndnoteText">
    <w:name w:val="endnote text"/>
    <w:basedOn w:val="Normal"/>
    <w:link w:val="EndnoteTextChar"/>
    <w:uiPriority w:val="99"/>
    <w:unhideWhenUsed/>
    <w:rsid w:val="00E45DDE"/>
    <w:pPr>
      <w:spacing w:line="240" w:lineRule="auto"/>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E45DDE"/>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45DDE"/>
    <w:rPr>
      <w:vertAlign w:val="superscript"/>
    </w:rPr>
  </w:style>
  <w:style w:type="paragraph" w:styleId="ListParagraph">
    <w:name w:val="List Paragraph"/>
    <w:basedOn w:val="Normal"/>
    <w:uiPriority w:val="34"/>
    <w:qFormat/>
    <w:rsid w:val="00E45DDE"/>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E054AE"/>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B8072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1700B"/>
    <w:rPr>
      <w:color w:val="0000FF"/>
      <w:u w:val="single"/>
    </w:rPr>
  </w:style>
  <w:style w:type="character" w:styleId="FollowedHyperlink">
    <w:name w:val="FollowedHyperlink"/>
    <w:basedOn w:val="DefaultParagraphFont"/>
    <w:rsid w:val="00CF565D"/>
    <w:rPr>
      <w:color w:val="800080" w:themeColor="followedHyperlink"/>
      <w:u w:val="single"/>
    </w:rPr>
  </w:style>
  <w:style w:type="character" w:styleId="CommentReference">
    <w:name w:val="annotation reference"/>
    <w:basedOn w:val="DefaultParagraphFont"/>
    <w:rsid w:val="008524EC"/>
    <w:rPr>
      <w:sz w:val="16"/>
      <w:szCs w:val="16"/>
    </w:rPr>
  </w:style>
  <w:style w:type="paragraph" w:styleId="CommentText">
    <w:name w:val="annotation text"/>
    <w:basedOn w:val="Normal"/>
    <w:link w:val="CommentTextChar"/>
    <w:rsid w:val="008524EC"/>
    <w:pPr>
      <w:spacing w:line="240" w:lineRule="auto"/>
    </w:pPr>
    <w:rPr>
      <w:sz w:val="20"/>
    </w:rPr>
  </w:style>
  <w:style w:type="character" w:customStyle="1" w:styleId="CommentTextChar">
    <w:name w:val="Comment Text Char"/>
    <w:basedOn w:val="DefaultParagraphFont"/>
    <w:link w:val="CommentText"/>
    <w:rsid w:val="008524EC"/>
    <w:rPr>
      <w:rFonts w:ascii="Arial" w:hAnsi="Arial"/>
      <w:lang w:eastAsia="en-US"/>
    </w:rPr>
  </w:style>
  <w:style w:type="paragraph" w:styleId="CommentSubject">
    <w:name w:val="annotation subject"/>
    <w:basedOn w:val="CommentText"/>
    <w:next w:val="CommentText"/>
    <w:link w:val="CommentSubjectChar"/>
    <w:rsid w:val="008524EC"/>
    <w:rPr>
      <w:b/>
      <w:bCs/>
    </w:rPr>
  </w:style>
  <w:style w:type="character" w:customStyle="1" w:styleId="CommentSubjectChar">
    <w:name w:val="Comment Subject Char"/>
    <w:basedOn w:val="CommentTextChar"/>
    <w:link w:val="CommentSubject"/>
    <w:rsid w:val="008524E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7388">
      <w:bodyDiv w:val="1"/>
      <w:marLeft w:val="0"/>
      <w:marRight w:val="0"/>
      <w:marTop w:val="0"/>
      <w:marBottom w:val="0"/>
      <w:divBdr>
        <w:top w:val="none" w:sz="0" w:space="0" w:color="auto"/>
        <w:left w:val="none" w:sz="0" w:space="0" w:color="auto"/>
        <w:bottom w:val="none" w:sz="0" w:space="0" w:color="auto"/>
        <w:right w:val="none" w:sz="0" w:space="0" w:color="auto"/>
      </w:divBdr>
    </w:div>
    <w:div w:id="856700777">
      <w:bodyDiv w:val="1"/>
      <w:marLeft w:val="0"/>
      <w:marRight w:val="0"/>
      <w:marTop w:val="0"/>
      <w:marBottom w:val="0"/>
      <w:divBdr>
        <w:top w:val="none" w:sz="0" w:space="0" w:color="auto"/>
        <w:left w:val="none" w:sz="0" w:space="0" w:color="auto"/>
        <w:bottom w:val="none" w:sz="0" w:space="0" w:color="auto"/>
        <w:right w:val="none" w:sz="0" w:space="0" w:color="auto"/>
      </w:divBdr>
    </w:div>
    <w:div w:id="1137063688">
      <w:bodyDiv w:val="1"/>
      <w:marLeft w:val="0"/>
      <w:marRight w:val="0"/>
      <w:marTop w:val="0"/>
      <w:marBottom w:val="0"/>
      <w:divBdr>
        <w:top w:val="none" w:sz="0" w:space="0" w:color="auto"/>
        <w:left w:val="none" w:sz="0" w:space="0" w:color="auto"/>
        <w:bottom w:val="none" w:sz="0" w:space="0" w:color="auto"/>
        <w:right w:val="none" w:sz="0" w:space="0" w:color="auto"/>
      </w:divBdr>
    </w:div>
    <w:div w:id="1343820656">
      <w:bodyDiv w:val="1"/>
      <w:marLeft w:val="0"/>
      <w:marRight w:val="0"/>
      <w:marTop w:val="0"/>
      <w:marBottom w:val="0"/>
      <w:divBdr>
        <w:top w:val="none" w:sz="0" w:space="0" w:color="auto"/>
        <w:left w:val="none" w:sz="0" w:space="0" w:color="auto"/>
        <w:bottom w:val="none" w:sz="0" w:space="0" w:color="auto"/>
        <w:right w:val="none" w:sz="0" w:space="0" w:color="auto"/>
      </w:divBdr>
    </w:div>
    <w:div w:id="1479880953">
      <w:bodyDiv w:val="1"/>
      <w:marLeft w:val="0"/>
      <w:marRight w:val="0"/>
      <w:marTop w:val="0"/>
      <w:marBottom w:val="0"/>
      <w:divBdr>
        <w:top w:val="none" w:sz="0" w:space="0" w:color="auto"/>
        <w:left w:val="none" w:sz="0" w:space="0" w:color="auto"/>
        <w:bottom w:val="none" w:sz="0" w:space="0" w:color="auto"/>
        <w:right w:val="none" w:sz="0" w:space="0" w:color="auto"/>
      </w:divBdr>
    </w:div>
    <w:div w:id="20313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kentccg.nhs.uk/about-us/mapping-the-future/" TargetMode="External"/><Relationship Id="rId18" Type="http://schemas.openxmlformats.org/officeDocument/2006/relationships/hyperlink" Target="http://www.ncbi.nlm.nih.gov/pubmed/18245795" TargetMode="External"/><Relationship Id="rId26" Type="http://schemas.openxmlformats.org/officeDocument/2006/relationships/hyperlink" Target="http://www.kingsfund.org.uk/publications/commissioned/district-council-contribution-public-health" TargetMode="External"/><Relationship Id="rId3" Type="http://schemas.openxmlformats.org/officeDocument/2006/relationships/styles" Target="styles.xml"/><Relationship Id="rId21" Type="http://schemas.openxmlformats.org/officeDocument/2006/relationships/hyperlink" Target="http://www.kenthousinggroup.org.uk/KHG_Protocols.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pag.org.uk/content/cpags-response-all-party-parliamentary-group-inquiry-child-poverty-and-health" TargetMode="External"/><Relationship Id="rId17" Type="http://schemas.openxmlformats.org/officeDocument/2006/relationships/hyperlink" Target="https://www.gov.uk/government/uploads/system/uploads/attachment_data/file/214544/rrep763.pdf" TargetMode="External"/><Relationship Id="rId25" Type="http://schemas.openxmlformats.org/officeDocument/2006/relationships/hyperlink" Target="http://www.cih.org/publication-free/display/vpathDCR/templatedata/cih/publication-free/data/Reduction_in_social_housing_rent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vocational-rehabilitation-scientific-evidence-review" TargetMode="External"/><Relationship Id="rId20" Type="http://schemas.openxmlformats.org/officeDocument/2006/relationships/hyperlink" Target="https://www.gov.uk/government/consultations/implementation-of-planning-%20%20changes-technical-consultation" TargetMode="External"/><Relationship Id="rId29" Type="http://schemas.openxmlformats.org/officeDocument/2006/relationships/hyperlink" Target="http://www.fo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ph.org.uk/uploads/APPG_on_Health_in_All_Policies_inquiry_into_child_poverty_and_health_2.pdf" TargetMode="External"/><Relationship Id="rId24" Type="http://schemas.openxmlformats.org/officeDocument/2006/relationships/hyperlink" Target="http://www.housing.org.uk/resource-library/browse/welfare-reform-and-work-bill-briefing-for-members-october-2015/"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entoogroup.com/news/gp-visits-reduced-after-patients-receive-energy-saving-measures-on-prescription-from-nhs/" TargetMode="External"/><Relationship Id="rId23" Type="http://schemas.openxmlformats.org/officeDocument/2006/relationships/hyperlink" Target="http://www.kenthousinggroup.org.uk/KHG_Protocols.aspx" TargetMode="External"/><Relationship Id="rId28" Type="http://schemas.openxmlformats.org/officeDocument/2006/relationships/hyperlink" Target="http://www.marmotreview.org" TargetMode="External"/><Relationship Id="rId10" Type="http://schemas.openxmlformats.org/officeDocument/2006/relationships/hyperlink" Target="http://www.kenthousinggroup.org.uk/KHG_Protocols.aspx" TargetMode="External"/><Relationship Id="rId19" Type="http://schemas.openxmlformats.org/officeDocument/2006/relationships/hyperlink" Target="https://www.gov.uk/government/publications/vocational-rehabilitation-scientific-evidence-review"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liament.uk/mps-lords-and-offices/offices/commons/commonslibrary%20/commons-library-news/welfare-reform-and-work-bill-2015/" TargetMode="External"/><Relationship Id="rId14" Type="http://schemas.openxmlformats.org/officeDocument/2006/relationships/hyperlink" Target="https://www.citizensadvice.org.uk/Global/CitizensAdvice/Public%20services%20publications/CitizensAdvice_AVeryGeneralPractice_May2015.pdf" TargetMode="External"/><Relationship Id="rId22" Type="http://schemas.openxmlformats.org/officeDocument/2006/relationships/hyperlink" Target="https://www.jrf.org.uk/report/housing-and-diabled-children" TargetMode="External"/><Relationship Id="rId27" Type="http://schemas.openxmlformats.org/officeDocument/2006/relationships/hyperlink" Target="http://www.ons.gov.uk/" TargetMode="External"/><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eh\AppData\Roaming\Microsoft\Templates\Cabinet%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{CAE3DBD9-2ADA-4388-9649-06599AA1D46F}</b:Guid>
    <b:RefOrder>1</b:RefOrder>
  </b:Source>
</b:Sources>
</file>

<file path=customXml/itemProps1.xml><?xml version="1.0" encoding="utf-8"?>
<ds:datastoreItem xmlns:ds="http://schemas.openxmlformats.org/officeDocument/2006/customXml" ds:itemID="{C90DC13C-7D86-43E2-86AD-411FA778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Template>
  <TotalTime>0</TotalTime>
  <Pages>4</Pages>
  <Words>8159</Words>
  <Characters>46508</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Tonbridge &amp; Malling Borough Council</vt:lpstr>
    </vt:vector>
  </TitlesOfParts>
  <Company>Tombridge &amp; Malling BC</Company>
  <LinksUpToDate>false</LinksUpToDate>
  <CharactersWithSpaces>54558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Tonbridge &amp; Malling Borough Council</dc:title>
  <dc:creator>Helen Racine</dc:creator>
  <cp:lastModifiedBy>Rebecca Smith [Sykes]</cp:lastModifiedBy>
  <cp:revision>2</cp:revision>
  <cp:lastPrinted>2016-04-14T15:01:00Z</cp:lastPrinted>
  <dcterms:created xsi:type="dcterms:W3CDTF">2016-07-12T14:27:00Z</dcterms:created>
  <dcterms:modified xsi:type="dcterms:W3CDTF">2016-07-12T14:27:00Z</dcterms:modified>
</cp:coreProperties>
</file>