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97" w:rsidRDefault="00680AFF">
      <w:pPr>
        <w:pStyle w:val="CommitteeTitle"/>
      </w:pPr>
      <w:bookmarkStart w:id="0" w:name="_GoBack"/>
      <w:bookmarkEnd w:id="0"/>
      <w:r>
        <w:t>briefing paper for chief executives/leaders</w:t>
      </w:r>
    </w:p>
    <w:p w:rsidR="00680AFF" w:rsidRPr="00680AFF" w:rsidRDefault="00FA5715" w:rsidP="00680AFF">
      <w:pPr>
        <w:pStyle w:val="CommitteeSubTitle"/>
      </w:pPr>
      <w:r>
        <w:t xml:space="preserve">FUTURE </w:t>
      </w:r>
      <w:r w:rsidR="00680AFF">
        <w:t>DELIVERY OF DISABLED FACILITIES GRANTS</w:t>
      </w:r>
    </w:p>
    <w:p w:rsidR="00484397" w:rsidRDefault="003515A2">
      <w:pPr>
        <w:pStyle w:val="Reasons"/>
      </w:pPr>
      <w:r>
        <w:fldChar w:fldCharType="begin"/>
      </w:r>
      <w:r w:rsidR="00484397">
        <w:instrText xml:space="preserve"> if type = 2 </w:instrText>
      </w:r>
      <w:r>
        <w:fldChar w:fldCharType="begin"/>
      </w:r>
      <w:r w:rsidR="00484397">
        <w:instrText xml:space="preserve"> AUTOTEXTLIST  \s Reasons</w:instrText>
      </w:r>
      <w:r w:rsidR="00153161">
        <w:instrText xml:space="preserve"> </w:instrText>
      </w:r>
      <w:r w:rsidR="00484397">
        <w:instrText xml:space="preserve"> \* MERGEFORMAT </w:instrText>
      </w:r>
      <w:r>
        <w:fldChar w:fldCharType="separate"/>
      </w:r>
      <w:r w:rsidR="00484397">
        <w:instrText>Reasons</w:instrText>
      </w:r>
      <w:r>
        <w:fldChar w:fldCharType="end"/>
      </w:r>
      <w:r w:rsidR="00484397">
        <w:instrText xml:space="preserve">  "" </w:instrText>
      </w:r>
      <w:r>
        <w:fldChar w:fldCharType="end"/>
      </w:r>
    </w:p>
    <w:p w:rsidR="000913E2" w:rsidRPr="00621DC9" w:rsidRDefault="000913E2" w:rsidP="00680AFF">
      <w:pPr>
        <w:pStyle w:val="ReportLevel1"/>
      </w:pPr>
      <w:r w:rsidRPr="00621DC9">
        <w:t>Background</w:t>
      </w:r>
    </w:p>
    <w:p w:rsidR="000913E2" w:rsidRPr="00412118" w:rsidRDefault="000913E2" w:rsidP="000913E2">
      <w:pPr>
        <w:pStyle w:val="ReportLevel3"/>
      </w:pPr>
      <w:r w:rsidRPr="00412118">
        <w:t xml:space="preserve">At a meeting of </w:t>
      </w:r>
      <w:r>
        <w:t xml:space="preserve">the </w:t>
      </w:r>
      <w:r w:rsidRPr="00412118">
        <w:t>C</w:t>
      </w:r>
      <w:r>
        <w:t>hief Executives and L</w:t>
      </w:r>
      <w:r w:rsidRPr="00412118">
        <w:t>eaders in November 2015 the issue of Disabled Facilities Grants</w:t>
      </w:r>
      <w:r>
        <w:t xml:space="preserve"> (DFGs)</w:t>
      </w:r>
      <w:r w:rsidRPr="00412118">
        <w:t xml:space="preserve"> was discussed and it was agreed that a paper would be tabled at a future meeting detailing proposals for </w:t>
      </w:r>
      <w:r>
        <w:t xml:space="preserve">the </w:t>
      </w:r>
      <w:r w:rsidRPr="00412118">
        <w:t>future delivery of the programme across Kent.</w:t>
      </w:r>
    </w:p>
    <w:p w:rsidR="000913E2" w:rsidRPr="00412118" w:rsidRDefault="000913E2" w:rsidP="000913E2">
      <w:pPr>
        <w:pStyle w:val="ReportLevel3"/>
      </w:pPr>
      <w:r w:rsidRPr="00412118">
        <w:t xml:space="preserve">It </w:t>
      </w:r>
      <w:r>
        <w:t xml:space="preserve">is </w:t>
      </w:r>
      <w:r w:rsidRPr="00412118">
        <w:t>timely to review the</w:t>
      </w:r>
      <w:r>
        <w:t xml:space="preserve"> delivery of DFGs given the onset of </w:t>
      </w:r>
      <w:r w:rsidRPr="00412118">
        <w:t>Devolution and</w:t>
      </w:r>
      <w:r>
        <w:t xml:space="preserve"> </w:t>
      </w:r>
      <w:r w:rsidRPr="00412118">
        <w:t>the recent changes in funding arrangements</w:t>
      </w:r>
      <w:r>
        <w:t xml:space="preserve"> via the Better Care Fund.  This </w:t>
      </w:r>
      <w:r w:rsidR="00621DC9">
        <w:t xml:space="preserve">is </w:t>
      </w:r>
      <w:r>
        <w:t xml:space="preserve">an ideal opportunity to achieve greater integration between Housing, Health and Social Care.  </w:t>
      </w:r>
    </w:p>
    <w:p w:rsidR="000913E2" w:rsidRDefault="000913E2" w:rsidP="000913E2">
      <w:pPr>
        <w:pStyle w:val="ReportLevel3"/>
      </w:pPr>
      <w:r>
        <w:t>The provision of DFGs is a key component in delivering the Government's objective of providing increased levels of care and support to both disabled and vulnerable people to help them live independently in their own homes.  DFGs</w:t>
      </w:r>
      <w:r w:rsidRPr="00630B83">
        <w:t xml:space="preserve"> are a mandatory grant administered by </w:t>
      </w:r>
      <w:r>
        <w:t>District H</w:t>
      </w:r>
      <w:r w:rsidRPr="00630B83">
        <w:t xml:space="preserve">ousing </w:t>
      </w:r>
      <w:r>
        <w:t>A</w:t>
      </w:r>
      <w:r w:rsidRPr="00630B83">
        <w:t>uthorities to enable people to remain</w:t>
      </w:r>
      <w:r>
        <w:t xml:space="preserve"> living</w:t>
      </w:r>
      <w:r w:rsidRPr="00630B83">
        <w:t xml:space="preserve"> </w:t>
      </w:r>
      <w:r>
        <w:t xml:space="preserve">independently in their own homes. </w:t>
      </w:r>
      <w:r w:rsidRPr="008F51B1">
        <w:t>When delivered early</w:t>
      </w:r>
      <w:r>
        <w:t xml:space="preserve"> </w:t>
      </w:r>
      <w:r w:rsidRPr="008F51B1">
        <w:t xml:space="preserve">alongside other preventative measures, </w:t>
      </w:r>
      <w:r>
        <w:t xml:space="preserve">they can </w:t>
      </w:r>
      <w:r w:rsidRPr="008F51B1">
        <w:t xml:space="preserve">contribute to preventing admissions to </w:t>
      </w:r>
      <w:r>
        <w:t>H</w:t>
      </w:r>
      <w:r w:rsidRPr="008F51B1">
        <w:t xml:space="preserve">ospital and </w:t>
      </w:r>
      <w:r>
        <w:t>R</w:t>
      </w:r>
      <w:r w:rsidRPr="008F51B1">
        <w:t xml:space="preserve">esidential </w:t>
      </w:r>
      <w:r>
        <w:t>C</w:t>
      </w:r>
      <w:r w:rsidRPr="008F51B1">
        <w:t>are.</w:t>
      </w:r>
      <w:r>
        <w:t xml:space="preserve">  </w:t>
      </w:r>
    </w:p>
    <w:p w:rsidR="000913E2" w:rsidRDefault="000913E2" w:rsidP="000913E2">
      <w:pPr>
        <w:pStyle w:val="ReportLevel3"/>
      </w:pPr>
      <w:r>
        <w:t xml:space="preserve">Typical works that undertaken through DFGs include provision of level-access showers, stair lifts, level access living and extensions.  The grants are means tested except in the case of children and have a maximum limit of £30,000. </w:t>
      </w:r>
    </w:p>
    <w:p w:rsidR="000913E2" w:rsidRPr="000913E2" w:rsidRDefault="000913E2" w:rsidP="000913E2">
      <w:pPr>
        <w:pStyle w:val="ReportLevel3"/>
        <w:jc w:val="both"/>
        <w:rPr>
          <w:rFonts w:cs="Arial"/>
          <w:szCs w:val="24"/>
        </w:rPr>
      </w:pPr>
      <w:r>
        <w:rPr>
          <w:lang w:eastAsia="en-GB"/>
        </w:rPr>
        <w:t xml:space="preserve">Up until 2015/16 </w:t>
      </w:r>
      <w:r w:rsidRPr="00E34AB8">
        <w:rPr>
          <w:lang w:eastAsia="en-GB"/>
        </w:rPr>
        <w:t>the Department of Communities and Local Government provide</w:t>
      </w:r>
      <w:r>
        <w:rPr>
          <w:lang w:eastAsia="en-GB"/>
        </w:rPr>
        <w:t xml:space="preserve">d </w:t>
      </w:r>
      <w:r w:rsidRPr="000913E2">
        <w:rPr>
          <w:szCs w:val="24"/>
          <w:lang w:eastAsia="en-GB"/>
        </w:rPr>
        <w:t xml:space="preserve">funding to local housing authorities to assist them in carrying out their statutory duty to provide </w:t>
      </w:r>
      <w:r w:rsidR="000F0606">
        <w:rPr>
          <w:szCs w:val="24"/>
          <w:lang w:eastAsia="en-GB"/>
        </w:rPr>
        <w:t>DFGs</w:t>
      </w:r>
      <w:r w:rsidRPr="000913E2">
        <w:rPr>
          <w:szCs w:val="24"/>
          <w:lang w:eastAsia="en-GB"/>
        </w:rPr>
        <w:t>.  Each District can also contribute their own funding towards their DFG programme</w:t>
      </w:r>
      <w:r w:rsidR="000F0606">
        <w:rPr>
          <w:szCs w:val="24"/>
          <w:lang w:eastAsia="en-GB"/>
        </w:rPr>
        <w:t xml:space="preserve">. </w:t>
      </w:r>
      <w:r w:rsidRPr="000913E2">
        <w:rPr>
          <w:szCs w:val="24"/>
          <w:lang w:eastAsia="en-GB"/>
        </w:rPr>
        <w:t xml:space="preserve"> This currently differs across the County </w:t>
      </w:r>
      <w:r w:rsidRPr="000F0606">
        <w:rPr>
          <w:b/>
          <w:szCs w:val="24"/>
          <w:lang w:eastAsia="en-GB"/>
        </w:rPr>
        <w:t>(</w:t>
      </w:r>
      <w:r w:rsidR="000F0606" w:rsidRPr="000F0606">
        <w:rPr>
          <w:b/>
          <w:szCs w:val="24"/>
          <w:lang w:eastAsia="en-GB"/>
        </w:rPr>
        <w:t>Appendix 1)</w:t>
      </w:r>
      <w:r w:rsidR="000F0606">
        <w:rPr>
          <w:szCs w:val="24"/>
          <w:lang w:eastAsia="en-GB"/>
        </w:rPr>
        <w:t>.</w:t>
      </w:r>
      <w:r w:rsidRPr="000913E2">
        <w:rPr>
          <w:szCs w:val="24"/>
          <w:lang w:eastAsia="en-GB"/>
        </w:rPr>
        <w:t xml:space="preserve">  </w:t>
      </w:r>
      <w:r w:rsidRPr="000913E2">
        <w:rPr>
          <w:rFonts w:cs="Arial"/>
          <w:szCs w:val="24"/>
        </w:rPr>
        <w:t xml:space="preserve">From April 2015 the DFG funding from Government was transferred to the Department of Health and </w:t>
      </w:r>
      <w:r w:rsidR="000F0606">
        <w:rPr>
          <w:rFonts w:cs="Arial"/>
          <w:szCs w:val="24"/>
        </w:rPr>
        <w:t xml:space="preserve">was </w:t>
      </w:r>
      <w:r w:rsidRPr="000913E2">
        <w:rPr>
          <w:rFonts w:cs="Arial"/>
          <w:szCs w:val="24"/>
        </w:rPr>
        <w:t>included as part of the Better Care Fund.  It is now paid to upper tier authorities with a requirement to pass it onto District Authorities to enable them to deliver their statutory duty to provide</w:t>
      </w:r>
      <w:r w:rsidR="00B0298F">
        <w:rPr>
          <w:rFonts w:cs="Arial"/>
          <w:szCs w:val="24"/>
        </w:rPr>
        <w:t xml:space="preserve"> </w:t>
      </w:r>
      <w:r w:rsidRPr="000913E2">
        <w:rPr>
          <w:rFonts w:cs="Arial"/>
          <w:szCs w:val="24"/>
        </w:rPr>
        <w:t xml:space="preserve">DFGs. </w:t>
      </w:r>
    </w:p>
    <w:p w:rsidR="000913E2" w:rsidRDefault="000913E2" w:rsidP="000913E2">
      <w:pPr>
        <w:pStyle w:val="ReportLevel3"/>
      </w:pPr>
      <w:r w:rsidRPr="008F51B1">
        <w:t>Whilst the statutory dut</w:t>
      </w:r>
      <w:r>
        <w:t>y to provide DFGs remains with D</w:t>
      </w:r>
      <w:r w:rsidRPr="008F51B1">
        <w:t xml:space="preserve">istrict </w:t>
      </w:r>
      <w:r>
        <w:t>C</w:t>
      </w:r>
      <w:r w:rsidRPr="008F51B1">
        <w:t>ouncils, the Better Care fund is the responsibility of upper tier authorities which in our case is K</w:t>
      </w:r>
      <w:r>
        <w:t xml:space="preserve">ent County </w:t>
      </w:r>
      <w:r w:rsidRPr="008F51B1">
        <w:t>C</w:t>
      </w:r>
      <w:r>
        <w:t>ouncil (KCC)</w:t>
      </w:r>
      <w:r w:rsidRPr="008F51B1">
        <w:t xml:space="preserve">.  Although, the money has been ring fenced and transferred from the pooled budget to District and Boroughs and KCC are not proposing to currently change the funding arrangements for DFGs, dialogue has commenced </w:t>
      </w:r>
      <w:r>
        <w:t xml:space="preserve">between </w:t>
      </w:r>
      <w:r w:rsidRPr="008F51B1">
        <w:t xml:space="preserve">senior officers at </w:t>
      </w:r>
      <w:r>
        <w:t>D</w:t>
      </w:r>
      <w:r w:rsidRPr="008F51B1">
        <w:t>istrict</w:t>
      </w:r>
      <w:r>
        <w:t xml:space="preserve"> level </w:t>
      </w:r>
      <w:r w:rsidRPr="008F51B1">
        <w:t>and KCC Adult Health and Social Care with a view to exploring a holistic approach to improving the process from OT assessment through to DFG delivery</w:t>
      </w:r>
      <w:r>
        <w:t>.</w:t>
      </w:r>
    </w:p>
    <w:p w:rsidR="00843CF3" w:rsidRDefault="00843CF3" w:rsidP="00843CF3">
      <w:pPr>
        <w:pStyle w:val="ReportLevel3"/>
        <w:numPr>
          <w:ilvl w:val="0"/>
          <w:numId w:val="0"/>
        </w:numPr>
      </w:pPr>
    </w:p>
    <w:p w:rsidR="000913E2" w:rsidRPr="00621DC9" w:rsidRDefault="000913E2" w:rsidP="00680AFF">
      <w:pPr>
        <w:pStyle w:val="ReportLevel1"/>
        <w:rPr>
          <w:lang w:eastAsia="en-GB"/>
        </w:rPr>
      </w:pPr>
      <w:r w:rsidRPr="00621DC9">
        <w:rPr>
          <w:lang w:eastAsia="en-GB"/>
        </w:rPr>
        <w:lastRenderedPageBreak/>
        <w:t>Current Delivery</w:t>
      </w:r>
    </w:p>
    <w:p w:rsidR="000913E2" w:rsidRDefault="000913E2" w:rsidP="000913E2">
      <w:pPr>
        <w:pStyle w:val="ReportLevel3"/>
      </w:pPr>
      <w:r>
        <w:t xml:space="preserve">Although there are areas of good practice across the County, generally the </w:t>
      </w:r>
      <w:r w:rsidRPr="00412118">
        <w:t>delivery mechanism is fragmented and clunky and i</w:t>
      </w:r>
      <w:r>
        <w:t xml:space="preserve">s process driven rather than based on the individual needs of the customer.  The number of agencies involved in delivery make the pathway complicated and </w:t>
      </w:r>
      <w:r w:rsidR="00843CF3">
        <w:t>confusing</w:t>
      </w:r>
      <w:r>
        <w:t>, resulting in duplication and a number of avoidable contacts.</w:t>
      </w:r>
    </w:p>
    <w:p w:rsidR="000913E2" w:rsidRDefault="000913E2" w:rsidP="000913E2">
      <w:pPr>
        <w:pStyle w:val="ReportLevel3"/>
      </w:pPr>
      <w:r>
        <w:t>The agencies involved include:</w:t>
      </w:r>
    </w:p>
    <w:p w:rsidR="000913E2" w:rsidRDefault="000913E2" w:rsidP="00F33096">
      <w:pPr>
        <w:pStyle w:val="ListBullet"/>
      </w:pPr>
      <w:r>
        <w:t>Service Users</w:t>
      </w:r>
    </w:p>
    <w:p w:rsidR="000913E2" w:rsidRPr="004A777A" w:rsidRDefault="000913E2" w:rsidP="00F33096">
      <w:pPr>
        <w:pStyle w:val="ListBullet"/>
      </w:pPr>
      <w:r w:rsidRPr="004A777A">
        <w:t xml:space="preserve">Registered Providers, </w:t>
      </w:r>
      <w:r>
        <w:t>P</w:t>
      </w:r>
      <w:r w:rsidRPr="004A777A">
        <w:t xml:space="preserve">rivate </w:t>
      </w:r>
      <w:r>
        <w:t>L</w:t>
      </w:r>
      <w:r w:rsidRPr="004A777A">
        <w:t>andlord</w:t>
      </w:r>
      <w:r>
        <w:t>s, Council Landlord Services</w:t>
      </w:r>
    </w:p>
    <w:p w:rsidR="000913E2" w:rsidRPr="000913E2" w:rsidRDefault="000913E2" w:rsidP="00F33096">
      <w:pPr>
        <w:pStyle w:val="ListBullet"/>
        <w:rPr>
          <w:rFonts w:cs="Arial"/>
          <w:szCs w:val="24"/>
        </w:rPr>
      </w:pPr>
      <w:r w:rsidRPr="00E7387E">
        <w:t>Count</w:t>
      </w:r>
      <w:r>
        <w:t>y</w:t>
      </w:r>
      <w:r w:rsidRPr="00E7387E">
        <w:t xml:space="preserve"> Council Occupational Therapist</w:t>
      </w:r>
      <w:r>
        <w:t xml:space="preserve"> (OT)</w:t>
      </w:r>
      <w:r w:rsidRPr="00E7387E">
        <w:t xml:space="preserve"> - Occupational Therapist Service advises on </w:t>
      </w:r>
      <w:r w:rsidR="00843CF3">
        <w:t xml:space="preserve">the </w:t>
      </w:r>
      <w:r w:rsidRPr="00E7387E">
        <w:t>adaptation</w:t>
      </w:r>
      <w:r w:rsidR="00843CF3">
        <w:t xml:space="preserve">s required by service users </w:t>
      </w:r>
      <w:r w:rsidRPr="00E7387E">
        <w:t xml:space="preserve">seeking </w:t>
      </w:r>
      <w:r w:rsidR="00843CF3">
        <w:t xml:space="preserve">assistance </w:t>
      </w:r>
      <w:r w:rsidRPr="00E7387E">
        <w:t xml:space="preserve">through </w:t>
      </w:r>
      <w:r w:rsidR="00843CF3">
        <w:t>DFGs.</w:t>
      </w:r>
    </w:p>
    <w:p w:rsidR="000913E2" w:rsidRPr="004A777A" w:rsidRDefault="000913E2" w:rsidP="00F33096">
      <w:pPr>
        <w:pStyle w:val="ListBullet"/>
      </w:pPr>
      <w:r w:rsidRPr="004A777A">
        <w:t xml:space="preserve">Districts Housing Teams </w:t>
      </w:r>
      <w:r>
        <w:t>–</w:t>
      </w:r>
      <w:r w:rsidRPr="004A777A">
        <w:t xml:space="preserve"> </w:t>
      </w:r>
      <w:r>
        <w:t xml:space="preserve">Typically Private Sector Housing Teams </w:t>
      </w:r>
      <w:r w:rsidRPr="004A777A">
        <w:t xml:space="preserve">assess the completed application forms and determine whether the adaptation is </w:t>
      </w:r>
      <w:r>
        <w:t xml:space="preserve">necessary and appropriate and reasonable and practicable </w:t>
      </w:r>
      <w:r w:rsidRPr="004A777A">
        <w:t>taking into account the report from the Occupational Therapist</w:t>
      </w:r>
    </w:p>
    <w:p w:rsidR="000913E2" w:rsidRPr="00E7387E" w:rsidRDefault="000913E2" w:rsidP="00F33096">
      <w:pPr>
        <w:pStyle w:val="ListBullet"/>
      </w:pPr>
      <w:r w:rsidRPr="00E7387E">
        <w:t>Home Improvement Agencies</w:t>
      </w:r>
      <w:r w:rsidR="00843CF3">
        <w:t xml:space="preserve"> (HIAs)</w:t>
      </w:r>
      <w:r w:rsidRPr="00E7387E">
        <w:t xml:space="preserve"> (Family Mosaic and </w:t>
      </w:r>
      <w:r>
        <w:t xml:space="preserve">Staying Put </w:t>
      </w:r>
      <w:r w:rsidRPr="00E7387E">
        <w:t xml:space="preserve">Swale)  - </w:t>
      </w:r>
      <w:r w:rsidR="00843CF3">
        <w:t xml:space="preserve">HIAs </w:t>
      </w:r>
      <w:r w:rsidRPr="00E7387E">
        <w:t>act on behalf of the client to complete the application form, draw up plans for tender, employ the builder and oversee works.</w:t>
      </w:r>
    </w:p>
    <w:p w:rsidR="000913E2" w:rsidRPr="00E34AB8" w:rsidRDefault="000913E2" w:rsidP="00F33096">
      <w:pPr>
        <w:pStyle w:val="ListBullet"/>
      </w:pPr>
      <w:r>
        <w:t>Architect/C</w:t>
      </w:r>
      <w:r w:rsidRPr="00E34AB8">
        <w:t>ontractor/builder - tender for works and if successful undertake works to the required specification.</w:t>
      </w:r>
    </w:p>
    <w:p w:rsidR="000913E2" w:rsidRPr="002853C2" w:rsidRDefault="000913E2" w:rsidP="000913E2">
      <w:pPr>
        <w:pStyle w:val="ReportLevel3"/>
      </w:pPr>
      <w:r>
        <w:t xml:space="preserve">In the absence of a single clear integrated pathway it is often difficult for customers to navigate their way around the system.  This can result in service users not being informed until weeks into the process that they are not eligible for assistance.  Further difficulties and delays are encountered when </w:t>
      </w:r>
      <w:r w:rsidRPr="002853C2">
        <w:t xml:space="preserve">the OT Service has a backlog of cases requiring an assessment.  Additional temporary resources are often employed to clear backlogs which result in bulk referrals to Districts.  This in turn impacts on the Districts’ ability to determine and deliver adaptations in a timely manner and within </w:t>
      </w:r>
      <w:r w:rsidR="00FA5715">
        <w:t>in-</w:t>
      </w:r>
      <w:r w:rsidRPr="002853C2">
        <w:t xml:space="preserve"> year budgets.</w:t>
      </w:r>
    </w:p>
    <w:p w:rsidR="000913E2" w:rsidRPr="00D64F5F" w:rsidRDefault="000913E2" w:rsidP="000913E2">
      <w:pPr>
        <w:pStyle w:val="ReportLevel3"/>
        <w:rPr>
          <w:i/>
        </w:rPr>
      </w:pPr>
      <w:r>
        <w:t xml:space="preserve">The District Council’s Network commissioned a research report into the delivery of DFGs which was published in April 2013.  The research found that </w:t>
      </w:r>
      <w:r w:rsidRPr="00D64F5F">
        <w:rPr>
          <w:i/>
        </w:rPr>
        <w:t>“A small number of exemplary Local Authorities have formed well-managed partnerships between County and District Authorities, bringing together the housing and social care aspects of delivery, and in so doing have reduced duplication, improved services and deployed resources more effectively. This model of service delivery has so many benefits, that we recommend it is rolled out nationally, with a requirement for all two-tier authorities to form local partnerships, and agree a clear local Adaptations Strategy.”</w:t>
      </w:r>
    </w:p>
    <w:p w:rsidR="000913E2" w:rsidRPr="00621DC9" w:rsidRDefault="000913E2" w:rsidP="00680AFF">
      <w:pPr>
        <w:pStyle w:val="ReportLevel1"/>
      </w:pPr>
      <w:r w:rsidRPr="00621DC9">
        <w:lastRenderedPageBreak/>
        <w:t>Drivers for Change</w:t>
      </w:r>
    </w:p>
    <w:p w:rsidR="000913E2" w:rsidRPr="00B1097D" w:rsidRDefault="000913E2" w:rsidP="000913E2">
      <w:pPr>
        <w:pStyle w:val="ReportLevel3"/>
      </w:pPr>
      <w:r w:rsidRPr="00B1097D">
        <w:t xml:space="preserve">There are a number of factors that lend themselves to </w:t>
      </w:r>
      <w:r>
        <w:t>change:</w:t>
      </w:r>
    </w:p>
    <w:p w:rsidR="000913E2" w:rsidRPr="000913E2" w:rsidRDefault="000913E2" w:rsidP="000913E2">
      <w:pPr>
        <w:pStyle w:val="ReportLevel3"/>
        <w:rPr>
          <w:b/>
        </w:rPr>
      </w:pPr>
      <w:r w:rsidRPr="000913E2">
        <w:rPr>
          <w:b/>
        </w:rPr>
        <w:t>Better Care Fund</w:t>
      </w:r>
    </w:p>
    <w:p w:rsidR="000913E2" w:rsidRDefault="000913E2" w:rsidP="000913E2">
      <w:pPr>
        <w:autoSpaceDE w:val="0"/>
        <w:autoSpaceDN w:val="0"/>
        <w:adjustRightInd w:val="0"/>
        <w:ind w:left="720"/>
        <w:rPr>
          <w:rFonts w:ascii="Helvetica" w:hAnsi="Helvetica" w:cs="Helvetica"/>
          <w:szCs w:val="24"/>
        </w:rPr>
      </w:pPr>
      <w:r>
        <w:rPr>
          <w:rFonts w:ascii="Helvetica" w:hAnsi="Helvetica" w:cs="Helvetica"/>
          <w:szCs w:val="24"/>
        </w:rPr>
        <w:t>The Better Care Fund (BCF) provides a framework for partnerships working to review local systems and to improve the lives of older and disabled people. Given that the NHS budget is now providing the majority of funding for DFGs it might be</w:t>
      </w:r>
      <w:r w:rsidR="00621DC9">
        <w:rPr>
          <w:rFonts w:ascii="Helvetica" w:hAnsi="Helvetica" w:cs="Helvetica"/>
          <w:szCs w:val="24"/>
        </w:rPr>
        <w:t xml:space="preserve"> </w:t>
      </w:r>
      <w:r>
        <w:rPr>
          <w:rFonts w:ascii="Helvetica" w:hAnsi="Helvetica" w:cs="Helvetica"/>
          <w:szCs w:val="24"/>
        </w:rPr>
        <w:t>expected that there will be greater scrutiny of the delivery and more conversations taking place with the Clinical Commissioning Groups about how the system can be improved as part of a wider view of the needs of residents. More recently, the establishment of Local Authority based Health and Wellbeing Boards and changes to the funding of Adult Social Care have created the environment for more joined-up responses to the needs in particular of older and disabled people.</w:t>
      </w:r>
    </w:p>
    <w:p w:rsidR="008674E2" w:rsidRDefault="008674E2" w:rsidP="000913E2">
      <w:pPr>
        <w:autoSpaceDE w:val="0"/>
        <w:autoSpaceDN w:val="0"/>
        <w:adjustRightInd w:val="0"/>
        <w:ind w:left="720"/>
        <w:rPr>
          <w:rFonts w:ascii="Helvetica" w:hAnsi="Helvetica" w:cs="Helvetica"/>
          <w:szCs w:val="24"/>
        </w:rPr>
      </w:pPr>
    </w:p>
    <w:p w:rsidR="008674E2" w:rsidRPr="00F33096" w:rsidRDefault="008674E2" w:rsidP="000913E2">
      <w:pPr>
        <w:autoSpaceDE w:val="0"/>
        <w:autoSpaceDN w:val="0"/>
        <w:adjustRightInd w:val="0"/>
        <w:ind w:left="720"/>
        <w:rPr>
          <w:rFonts w:cs="Arial"/>
          <w:color w:val="000000" w:themeColor="text1"/>
          <w:szCs w:val="24"/>
        </w:rPr>
      </w:pPr>
      <w:r>
        <w:rPr>
          <w:rFonts w:ascii="Helvetica" w:hAnsi="Helvetica" w:cs="Helvetica"/>
          <w:szCs w:val="24"/>
        </w:rPr>
        <w:t>The allocated funding for DFGs for the period 2016/17 has been almost doubled</w:t>
      </w:r>
      <w:r w:rsidR="00D64F5F">
        <w:rPr>
          <w:rFonts w:ascii="Helvetica" w:hAnsi="Helvetica" w:cs="Helvetica"/>
          <w:szCs w:val="24"/>
        </w:rPr>
        <w:t xml:space="preserve">.  Following the approach taken in 2015-16 the DFG will again be allocated through the BCF and be passed on to Local Housing Authorities.  This is to encourage areas to think strategically about the use of home adaptations, use of technologies to support people in their own homes and to take a joined up approach to improving outcomes across Housing, Health and Social Care.  For 2016/17 the housing element of the BCF has been strengthened through the National Conditions, which require Local Housing Authority Representatives to be involved in developing and agreeing BCF plans.  </w:t>
      </w:r>
      <w:r w:rsidRPr="00F33096">
        <w:rPr>
          <w:rFonts w:cs="Arial"/>
          <w:color w:val="000000" w:themeColor="text1"/>
          <w:szCs w:val="24"/>
        </w:rPr>
        <w:t xml:space="preserve">To avoid </w:t>
      </w:r>
      <w:r w:rsidR="00D26DAD" w:rsidRPr="00F33096">
        <w:rPr>
          <w:rFonts w:cs="Arial"/>
          <w:color w:val="000000" w:themeColor="text1"/>
          <w:szCs w:val="24"/>
        </w:rPr>
        <w:t xml:space="preserve">uncertainty </w:t>
      </w:r>
      <w:r w:rsidR="00AA0AF3">
        <w:rPr>
          <w:rFonts w:cs="Arial"/>
          <w:color w:val="000000" w:themeColor="text1"/>
          <w:szCs w:val="24"/>
        </w:rPr>
        <w:t>and</w:t>
      </w:r>
      <w:r w:rsidR="00D26DAD" w:rsidRPr="00F33096">
        <w:rPr>
          <w:rFonts w:cs="Arial"/>
          <w:color w:val="000000" w:themeColor="text1"/>
          <w:szCs w:val="24"/>
        </w:rPr>
        <w:t xml:space="preserve"> risks to Districts </w:t>
      </w:r>
      <w:r w:rsidR="00F33096" w:rsidRPr="00F33096">
        <w:rPr>
          <w:rFonts w:cs="Arial"/>
          <w:color w:val="000000" w:themeColor="text1"/>
          <w:szCs w:val="24"/>
        </w:rPr>
        <w:t xml:space="preserve">in terms of funding not being passed on in future years </w:t>
      </w:r>
      <w:r w:rsidR="00AA0AF3">
        <w:rPr>
          <w:rFonts w:cs="Arial"/>
          <w:color w:val="000000" w:themeColor="text1"/>
          <w:szCs w:val="24"/>
        </w:rPr>
        <w:t xml:space="preserve">work should begin now </w:t>
      </w:r>
      <w:r w:rsidR="009C2BA2">
        <w:rPr>
          <w:rFonts w:cs="Arial"/>
          <w:color w:val="000000" w:themeColor="text1"/>
          <w:szCs w:val="24"/>
        </w:rPr>
        <w:t>to establish more joined up approaches to service provision.</w:t>
      </w:r>
    </w:p>
    <w:p w:rsidR="000913E2" w:rsidRDefault="000913E2" w:rsidP="000913E2">
      <w:pPr>
        <w:pStyle w:val="Default"/>
        <w:rPr>
          <w:sz w:val="23"/>
          <w:szCs w:val="23"/>
        </w:rPr>
      </w:pPr>
    </w:p>
    <w:p w:rsidR="000913E2" w:rsidRPr="000913E2" w:rsidRDefault="000913E2" w:rsidP="000913E2">
      <w:pPr>
        <w:pStyle w:val="ReportLevel3"/>
        <w:rPr>
          <w:b/>
        </w:rPr>
      </w:pPr>
      <w:r w:rsidRPr="000913E2">
        <w:rPr>
          <w:b/>
        </w:rPr>
        <w:t>Care Act 2014</w:t>
      </w:r>
    </w:p>
    <w:p w:rsidR="000913E2" w:rsidRDefault="000913E2" w:rsidP="000913E2">
      <w:pPr>
        <w:autoSpaceDE w:val="0"/>
        <w:autoSpaceDN w:val="0"/>
        <w:adjustRightInd w:val="0"/>
        <w:ind w:left="720"/>
        <w:rPr>
          <w:rFonts w:ascii="Helvetica" w:hAnsi="Helvetica" w:cs="Helvetica"/>
          <w:szCs w:val="24"/>
        </w:rPr>
      </w:pPr>
      <w:r>
        <w:rPr>
          <w:rFonts w:ascii="Helvetica" w:hAnsi="Helvetica" w:cs="Helvetica"/>
          <w:szCs w:val="24"/>
        </w:rPr>
        <w:t xml:space="preserve">The Care Act 2014 places responsibility on Local Authorities for providing information and advice so that people can make informed choices and for providing services or steps that prevent, delay or reduce the need for care and support. The Act also requires local authorities to co-operate with other local organisations and work to integrate services to promote well-being and improve quality and outcomes. </w:t>
      </w:r>
    </w:p>
    <w:p w:rsidR="000913E2" w:rsidRDefault="000913E2" w:rsidP="000913E2">
      <w:pPr>
        <w:autoSpaceDE w:val="0"/>
        <w:autoSpaceDN w:val="0"/>
        <w:adjustRightInd w:val="0"/>
        <w:rPr>
          <w:rFonts w:cs="Arial"/>
          <w:szCs w:val="24"/>
        </w:rPr>
      </w:pPr>
    </w:p>
    <w:p w:rsidR="000913E2" w:rsidRPr="000913E2" w:rsidRDefault="000913E2" w:rsidP="000913E2">
      <w:pPr>
        <w:pStyle w:val="ReportLevel3"/>
        <w:rPr>
          <w:b/>
        </w:rPr>
      </w:pPr>
      <w:r w:rsidRPr="000913E2">
        <w:rPr>
          <w:b/>
        </w:rPr>
        <w:t>Devolution</w:t>
      </w:r>
    </w:p>
    <w:p w:rsidR="000913E2" w:rsidRPr="0046443E" w:rsidRDefault="000913E2" w:rsidP="000913E2">
      <w:pPr>
        <w:autoSpaceDE w:val="0"/>
        <w:autoSpaceDN w:val="0"/>
        <w:adjustRightInd w:val="0"/>
        <w:ind w:left="720"/>
        <w:rPr>
          <w:rFonts w:cs="Arial"/>
          <w:szCs w:val="24"/>
        </w:rPr>
      </w:pPr>
      <w:r w:rsidRPr="0046443E">
        <w:rPr>
          <w:rFonts w:cs="Arial"/>
          <w:szCs w:val="24"/>
        </w:rPr>
        <w:t>The onset of devolution represents opportunities for delegation, integration and co-commissioning that would enable greater responsiveness to local priorities, and a seamless customer journey</w:t>
      </w:r>
      <w:r w:rsidR="009C2BA2">
        <w:rPr>
          <w:rFonts w:cs="Arial"/>
          <w:szCs w:val="24"/>
        </w:rPr>
        <w:t>,</w:t>
      </w:r>
      <w:r w:rsidRPr="0046443E">
        <w:rPr>
          <w:rFonts w:cs="Arial"/>
          <w:szCs w:val="24"/>
        </w:rPr>
        <w:t xml:space="preserve"> </w:t>
      </w:r>
      <w:r w:rsidR="00FA5715">
        <w:rPr>
          <w:rFonts w:cs="Arial"/>
          <w:szCs w:val="24"/>
        </w:rPr>
        <w:t xml:space="preserve">as </w:t>
      </w:r>
      <w:r w:rsidRPr="0046443E">
        <w:rPr>
          <w:rFonts w:cs="Arial"/>
          <w:szCs w:val="24"/>
        </w:rPr>
        <w:t>synergies with other services provided by the different tiers of Authorities</w:t>
      </w:r>
      <w:r w:rsidR="00FA5715">
        <w:rPr>
          <w:rFonts w:cs="Arial"/>
          <w:szCs w:val="24"/>
        </w:rPr>
        <w:t xml:space="preserve"> are exploited</w:t>
      </w:r>
      <w:r w:rsidRPr="0046443E">
        <w:rPr>
          <w:rFonts w:cs="Arial"/>
          <w:szCs w:val="24"/>
        </w:rPr>
        <w:t xml:space="preserve">.  </w:t>
      </w:r>
    </w:p>
    <w:p w:rsidR="000913E2" w:rsidRPr="00620BF9" w:rsidRDefault="000913E2" w:rsidP="000913E2">
      <w:pPr>
        <w:autoSpaceDE w:val="0"/>
        <w:autoSpaceDN w:val="0"/>
        <w:adjustRightInd w:val="0"/>
        <w:rPr>
          <w:rFonts w:cs="Arial"/>
          <w:b/>
          <w:szCs w:val="24"/>
        </w:rPr>
      </w:pPr>
    </w:p>
    <w:p w:rsidR="000913E2" w:rsidRPr="000913E2" w:rsidRDefault="000913E2" w:rsidP="000913E2">
      <w:pPr>
        <w:pStyle w:val="ReportLevel3"/>
        <w:rPr>
          <w:b/>
        </w:rPr>
      </w:pPr>
      <w:r w:rsidRPr="000913E2">
        <w:rPr>
          <w:b/>
        </w:rPr>
        <w:t>Kent Joint Health and Wellbeing Strategy (2014-2017)</w:t>
      </w:r>
    </w:p>
    <w:p w:rsidR="000913E2" w:rsidRPr="00620BF9" w:rsidRDefault="000913E2" w:rsidP="000913E2">
      <w:pPr>
        <w:autoSpaceDE w:val="0"/>
        <w:autoSpaceDN w:val="0"/>
        <w:adjustRightInd w:val="0"/>
        <w:ind w:left="720"/>
        <w:rPr>
          <w:rFonts w:cs="Arial"/>
          <w:i/>
          <w:color w:val="000000"/>
          <w:szCs w:val="24"/>
        </w:rPr>
      </w:pPr>
      <w:r w:rsidRPr="00620BF9">
        <w:rPr>
          <w:rFonts w:cs="Arial"/>
          <w:szCs w:val="24"/>
        </w:rPr>
        <w:t>The strategy states:</w:t>
      </w:r>
      <w:r>
        <w:rPr>
          <w:rFonts w:cs="Arial"/>
          <w:i/>
          <w:szCs w:val="24"/>
        </w:rPr>
        <w:t xml:space="preserve"> “</w:t>
      </w:r>
      <w:r w:rsidRPr="00620BF9">
        <w:rPr>
          <w:rFonts w:cs="Arial"/>
          <w:i/>
          <w:color w:val="000000"/>
          <w:szCs w:val="24"/>
        </w:rPr>
        <w:t xml:space="preserve">Within Kent County Council, the Adult Social Care Transformation programme is putting a stronger emphasis on prevention, early </w:t>
      </w:r>
      <w:r w:rsidRPr="00620BF9">
        <w:rPr>
          <w:rFonts w:cs="Arial"/>
          <w:i/>
          <w:color w:val="000000"/>
          <w:szCs w:val="24"/>
        </w:rPr>
        <w:lastRenderedPageBreak/>
        <w:t>intervention and integrated service delivery and commissioning as a way to realise the vision of a sustainable model of integrated health and social care by 2018. This will improve outcomes for people across Kent by maximising people’s independence and promoting personalisation. It will involve KCC working with partner organisations across public health, health, housing and social care.”</w:t>
      </w:r>
    </w:p>
    <w:p w:rsidR="000913E2" w:rsidRDefault="000913E2" w:rsidP="000913E2">
      <w:pPr>
        <w:autoSpaceDE w:val="0"/>
        <w:autoSpaceDN w:val="0"/>
        <w:adjustRightInd w:val="0"/>
        <w:rPr>
          <w:rFonts w:cs="Arial"/>
          <w:color w:val="000000"/>
          <w:szCs w:val="24"/>
        </w:rPr>
      </w:pPr>
    </w:p>
    <w:p w:rsidR="000913E2" w:rsidRDefault="000913E2" w:rsidP="000913E2">
      <w:pPr>
        <w:pStyle w:val="ReportLevel3"/>
      </w:pPr>
      <w:r>
        <w:t>Focusing on prevention and early intervention is important as the demographics below reinforce:</w:t>
      </w:r>
    </w:p>
    <w:p w:rsidR="000913E2" w:rsidRPr="00A12D31" w:rsidRDefault="000913E2" w:rsidP="00F33096">
      <w:pPr>
        <w:pStyle w:val="ListBullet"/>
      </w:pPr>
      <w:r w:rsidRPr="00A12D31">
        <w:t>Nearly a fifth of Kent’s population is of retirement age (65+)</w:t>
      </w:r>
    </w:p>
    <w:p w:rsidR="000913E2" w:rsidRPr="00265BCD" w:rsidRDefault="000913E2" w:rsidP="00F33096">
      <w:pPr>
        <w:pStyle w:val="ListBullet"/>
        <w:rPr>
          <w:color w:val="000000"/>
        </w:rPr>
      </w:pPr>
      <w:r w:rsidRPr="00A12D31">
        <w:t>Population forecasts between 2010 and 2026 highlight that the number of 65+ year olds is to increase by 43.4% yet the population aged below 65 is only forecast to increase by 3.8%</w:t>
      </w:r>
    </w:p>
    <w:p w:rsidR="000913E2" w:rsidRDefault="000913E2" w:rsidP="000913E2">
      <w:pPr>
        <w:pStyle w:val="ReportLevel3"/>
        <w:rPr>
          <w:i/>
        </w:rPr>
      </w:pPr>
      <w:r w:rsidRPr="00265BCD">
        <w:t>Outcome 3</w:t>
      </w:r>
      <w:r>
        <w:t xml:space="preserve"> specifically states </w:t>
      </w:r>
      <w:r w:rsidRPr="00620BF9">
        <w:t>“</w:t>
      </w:r>
      <w:r w:rsidRPr="00564B78">
        <w:rPr>
          <w:i/>
        </w:rPr>
        <w:t>The quality of life for people with long term conditions is enhanced and they have access to good quality care and support.”</w:t>
      </w:r>
      <w:r w:rsidRPr="00620BF9">
        <w:t xml:space="preserve"> A priority is to </w:t>
      </w:r>
      <w:r w:rsidRPr="00564B78">
        <w:rPr>
          <w:i/>
        </w:rPr>
        <w:t>“support older people to live safe, independent and fulfilled lives and support disabled people to live independently at home.”</w:t>
      </w:r>
    </w:p>
    <w:p w:rsidR="00F2555E" w:rsidRPr="00C25F88" w:rsidRDefault="00F2555E" w:rsidP="000913E2">
      <w:pPr>
        <w:pStyle w:val="ReportLevel3"/>
        <w:rPr>
          <w:b/>
          <w:i/>
        </w:rPr>
      </w:pPr>
      <w:r w:rsidRPr="00F2555E">
        <w:rPr>
          <w:b/>
        </w:rPr>
        <w:t>Kent Accommodation</w:t>
      </w:r>
      <w:r w:rsidR="00E31978">
        <w:rPr>
          <w:b/>
        </w:rPr>
        <w:t xml:space="preserve"> </w:t>
      </w:r>
      <w:r w:rsidRPr="00F2555E">
        <w:rPr>
          <w:b/>
        </w:rPr>
        <w:t>Strategy</w:t>
      </w:r>
    </w:p>
    <w:p w:rsidR="00E31978" w:rsidRPr="00E31978" w:rsidRDefault="00E31978" w:rsidP="00E31978">
      <w:pPr>
        <w:autoSpaceDE w:val="0"/>
        <w:autoSpaceDN w:val="0"/>
        <w:adjustRightInd w:val="0"/>
        <w:ind w:left="720"/>
        <w:rPr>
          <w:rFonts w:cs="Arial"/>
          <w:color w:val="000000"/>
          <w:szCs w:val="24"/>
          <w:lang w:eastAsia="en-GB"/>
        </w:rPr>
      </w:pPr>
      <w:r w:rsidRPr="00E31978">
        <w:rPr>
          <w:szCs w:val="24"/>
        </w:rPr>
        <w:t>One of the main objectives of the strategy is to support independence by securing improved accommodation solutions for residents in their existing homes</w:t>
      </w:r>
      <w:r>
        <w:rPr>
          <w:szCs w:val="24"/>
        </w:rPr>
        <w:t xml:space="preserve">.  </w:t>
      </w:r>
      <w:r w:rsidR="00052342">
        <w:rPr>
          <w:szCs w:val="24"/>
        </w:rPr>
        <w:t>H</w:t>
      </w:r>
      <w:r w:rsidRPr="00E31978">
        <w:rPr>
          <w:rFonts w:cs="Arial"/>
          <w:color w:val="000000"/>
          <w:szCs w:val="24"/>
          <w:lang w:eastAsia="en-GB"/>
        </w:rPr>
        <w:t xml:space="preserve">istorically housing provision for those with disabilities has been met through the use of residential care settings. Although for some this is the appropriate accommodation and care solution in other cases such placements are likely to have been due to the lack of available suitable accommodation and not the choice of client. </w:t>
      </w:r>
    </w:p>
    <w:p w:rsidR="00E31978" w:rsidRDefault="00E31978" w:rsidP="00E31978">
      <w:pPr>
        <w:autoSpaceDE w:val="0"/>
        <w:autoSpaceDN w:val="0"/>
        <w:adjustRightInd w:val="0"/>
        <w:spacing w:line="240" w:lineRule="auto"/>
        <w:rPr>
          <w:rFonts w:cs="Arial"/>
          <w:color w:val="000000"/>
          <w:sz w:val="23"/>
          <w:szCs w:val="23"/>
          <w:lang w:eastAsia="en-GB"/>
        </w:rPr>
      </w:pPr>
    </w:p>
    <w:p w:rsidR="00E31978" w:rsidRPr="00E31978" w:rsidRDefault="00E31978" w:rsidP="00E31978">
      <w:pPr>
        <w:pStyle w:val="ReportLevel3"/>
      </w:pPr>
      <w:r w:rsidRPr="00E31978">
        <w:t>It is recognised that the provision and use of adaptations and assistive technology is paramount to the vision of supporting independence. People with disabilities are less likely to require alternative accommodation if their current accommodation can be adapted to meet their needs. Signposting to relevant agencies, including the voluntary sector and adaptation and assistive technology may also prevent unnecessary admissions to hospital and/or placement into a residential care home setting.</w:t>
      </w:r>
    </w:p>
    <w:p w:rsidR="00F2555E" w:rsidRDefault="00F2555E" w:rsidP="000913E2">
      <w:pPr>
        <w:pStyle w:val="ReportLevel3"/>
        <w:rPr>
          <w:b/>
        </w:rPr>
      </w:pPr>
      <w:r w:rsidRPr="00F2555E">
        <w:rPr>
          <w:b/>
        </w:rPr>
        <w:t>Kent &amp; Medway Housing Strategy</w:t>
      </w:r>
    </w:p>
    <w:p w:rsidR="00F2555E" w:rsidRDefault="00F2555E" w:rsidP="00F2555E">
      <w:pPr>
        <w:ind w:left="720"/>
        <w:rPr>
          <w:bCs/>
          <w:lang w:val="en-US"/>
        </w:rPr>
      </w:pPr>
      <w:r w:rsidRPr="00F2555E">
        <w:t>A key action set out in the strategy is to review t</w:t>
      </w:r>
      <w:r w:rsidRPr="00F2555E">
        <w:rPr>
          <w:bCs/>
          <w:lang w:val="en-US"/>
        </w:rPr>
        <w:t>he existing processes and agreements for administering disabled adaptations set out in the joint approach document, with a view to improving timescales for delivering adaptations across all tenures.</w:t>
      </w:r>
    </w:p>
    <w:p w:rsidR="00E31978" w:rsidRDefault="00E31978" w:rsidP="00F2555E">
      <w:pPr>
        <w:ind w:left="720"/>
        <w:rPr>
          <w:bCs/>
          <w:lang w:val="en-US"/>
        </w:rPr>
      </w:pPr>
    </w:p>
    <w:p w:rsidR="00E31978" w:rsidRDefault="00E31978" w:rsidP="00F2555E">
      <w:pPr>
        <w:ind w:left="720"/>
        <w:rPr>
          <w:bCs/>
          <w:lang w:val="en-US"/>
        </w:rPr>
      </w:pPr>
    </w:p>
    <w:p w:rsidR="00E31978" w:rsidRPr="00F2555E" w:rsidRDefault="00E31978" w:rsidP="00F2555E">
      <w:pPr>
        <w:ind w:left="720"/>
        <w:rPr>
          <w:bCs/>
          <w:lang w:val="en-US"/>
        </w:rPr>
      </w:pPr>
    </w:p>
    <w:p w:rsidR="00F2555E" w:rsidRDefault="00F2555E" w:rsidP="00F2555E">
      <w:pPr>
        <w:pStyle w:val="ReportLevel3"/>
        <w:numPr>
          <w:ilvl w:val="0"/>
          <w:numId w:val="0"/>
        </w:numPr>
        <w:rPr>
          <w:b/>
        </w:rPr>
      </w:pPr>
    </w:p>
    <w:p w:rsidR="000913E2" w:rsidRPr="00621DC9" w:rsidRDefault="000913E2" w:rsidP="00680AFF">
      <w:pPr>
        <w:pStyle w:val="ReportLevel1"/>
      </w:pPr>
      <w:r w:rsidRPr="00621DC9">
        <w:lastRenderedPageBreak/>
        <w:t>Proposal for Change</w:t>
      </w:r>
    </w:p>
    <w:p w:rsidR="000913E2" w:rsidRDefault="000913E2" w:rsidP="000913E2">
      <w:pPr>
        <w:pStyle w:val="ReportLevel3"/>
        <w:rPr>
          <w:rFonts w:cs="Arial"/>
        </w:rPr>
      </w:pPr>
      <w:r>
        <w:rPr>
          <w:rFonts w:cs="Arial"/>
        </w:rPr>
        <w:t xml:space="preserve">It is proposed that a </w:t>
      </w:r>
      <w:r w:rsidR="00D26DAD">
        <w:rPr>
          <w:rFonts w:cs="Arial"/>
        </w:rPr>
        <w:t>T</w:t>
      </w:r>
      <w:r>
        <w:rPr>
          <w:rFonts w:cs="Arial"/>
        </w:rPr>
        <w:t xml:space="preserve">ransformational </w:t>
      </w:r>
      <w:r w:rsidR="00D26DAD">
        <w:rPr>
          <w:rFonts w:cs="Arial"/>
        </w:rPr>
        <w:t>R</w:t>
      </w:r>
      <w:r>
        <w:rPr>
          <w:rFonts w:cs="Arial"/>
        </w:rPr>
        <w:t xml:space="preserve">eview across the County be undertaken over a 12 month period to </w:t>
      </w:r>
      <w:r>
        <w:t xml:space="preserve">critically review existing interventions, identify options for </w:t>
      </w:r>
      <w:r w:rsidR="009C2BA2">
        <w:t xml:space="preserve">business </w:t>
      </w:r>
      <w:r>
        <w:t xml:space="preserve">re-engineering </w:t>
      </w:r>
      <w:r w:rsidR="009C2BA2">
        <w:t xml:space="preserve">of </w:t>
      </w:r>
      <w:r>
        <w:t>process</w:t>
      </w:r>
      <w:r w:rsidR="009C2BA2">
        <w:t xml:space="preserve">es and </w:t>
      </w:r>
      <w:r>
        <w:t>pool</w:t>
      </w:r>
      <w:r w:rsidR="009C2BA2">
        <w:t>ed</w:t>
      </w:r>
      <w:r>
        <w:t xml:space="preserve"> </w:t>
      </w:r>
      <w:r w:rsidR="00D26DAD">
        <w:t>budgets</w:t>
      </w:r>
      <w:r>
        <w:t xml:space="preserve"> and to learn from national good practice.  The ambition is to </w:t>
      </w:r>
      <w:r w:rsidRPr="006E152F">
        <w:t xml:space="preserve">develop a sustainable accessible </w:t>
      </w:r>
      <w:r>
        <w:t>delivery model t</w:t>
      </w:r>
      <w:r w:rsidRPr="006E152F">
        <w:t>hat integrates Housing, Health and Social C</w:t>
      </w:r>
      <w:r>
        <w:t xml:space="preserve">are (Children and Adults) which </w:t>
      </w:r>
      <w:r w:rsidRPr="006E152F">
        <w:t xml:space="preserve">is able to respond to the challenges of an increasing number of disabled young people as well as </w:t>
      </w:r>
      <w:r w:rsidR="00D26DAD">
        <w:t>o</w:t>
      </w:r>
      <w:r w:rsidRPr="006E152F">
        <w:t>lder people living with long term conditions.  This will i</w:t>
      </w:r>
      <w:r w:rsidRPr="006E152F">
        <w:rPr>
          <w:rFonts w:cs="Arial"/>
        </w:rPr>
        <w:t>mprove the quality of life of elderly and disabled people by enabling them to live independently for longer in their own homes.</w:t>
      </w:r>
    </w:p>
    <w:p w:rsidR="000913E2" w:rsidRDefault="000913E2" w:rsidP="000913E2">
      <w:pPr>
        <w:pStyle w:val="ReportLevel3"/>
      </w:pPr>
      <w:r>
        <w:t xml:space="preserve">The Transformation Review presents a timely opportunity to consider all potential options for adaptations moving forward, including the mechanism by which interventions are delivered. As a joint review between the funding authority and the Districts as the statutory agency and wider partners; CCGs, Public Health, Health and Wellbeing Boards and the Voluntary Sector, due consideration </w:t>
      </w:r>
      <w:r w:rsidR="00D64F5F">
        <w:t xml:space="preserve">will be </w:t>
      </w:r>
      <w:r>
        <w:t xml:space="preserve">given to the obligations of all partners to find a mutually agreeable solutions based on the most effective means of </w:t>
      </w:r>
      <w:r w:rsidR="00D26DAD">
        <w:t xml:space="preserve">service </w:t>
      </w:r>
      <w:r>
        <w:t>deliver</w:t>
      </w:r>
      <w:r w:rsidR="00D26DAD">
        <w:t xml:space="preserve">y.  </w:t>
      </w:r>
      <w:r>
        <w:t xml:space="preserve">  </w:t>
      </w:r>
    </w:p>
    <w:p w:rsidR="000913E2" w:rsidRDefault="000913E2" w:rsidP="00B0298F">
      <w:pPr>
        <w:pStyle w:val="ReportLevel3"/>
        <w:rPr>
          <w:rFonts w:cs="Arial"/>
        </w:rPr>
      </w:pPr>
      <w:r w:rsidRPr="00B0298F">
        <w:rPr>
          <w:rFonts w:cs="Arial"/>
        </w:rPr>
        <w:t xml:space="preserve">It is anticipated that the review </w:t>
      </w:r>
      <w:r>
        <w:t>will take place in the context of the wider health and social care objectives relating to personal care, independent living and</w:t>
      </w:r>
      <w:r w:rsidR="00B0298F">
        <w:t xml:space="preserve"> </w:t>
      </w:r>
      <w:r>
        <w:t xml:space="preserve">hospital admission/discharge targets.  </w:t>
      </w:r>
      <w:r w:rsidRPr="00B0298F">
        <w:rPr>
          <w:rFonts w:cs="Arial"/>
        </w:rPr>
        <w:t>This piece of work has the potential to yield significant efficiency savings</w:t>
      </w:r>
      <w:r w:rsidR="009C2BA2">
        <w:rPr>
          <w:rFonts w:cs="Arial"/>
        </w:rPr>
        <w:t xml:space="preserve">.  </w:t>
      </w:r>
      <w:r w:rsidRPr="00B0298F">
        <w:rPr>
          <w:rFonts w:cs="Arial"/>
        </w:rPr>
        <w:t>An estimate of likely projected savings will be made 6 months into the project.</w:t>
      </w:r>
    </w:p>
    <w:p w:rsidR="000913E2" w:rsidRPr="00D4341D" w:rsidRDefault="000913E2" w:rsidP="00B0298F">
      <w:pPr>
        <w:pStyle w:val="ReportLevel3"/>
      </w:pPr>
      <w:r w:rsidRPr="00D4341D">
        <w:t xml:space="preserve">Overarching aims </w:t>
      </w:r>
      <w:r>
        <w:t>wil</w:t>
      </w:r>
      <w:r w:rsidRPr="00D4341D">
        <w:t>l be to:</w:t>
      </w:r>
    </w:p>
    <w:p w:rsidR="000913E2" w:rsidRDefault="000913E2" w:rsidP="00F33096">
      <w:pPr>
        <w:pStyle w:val="ListBullet"/>
      </w:pPr>
      <w:r>
        <w:t>M</w:t>
      </w:r>
      <w:r w:rsidRPr="009A028E">
        <w:t xml:space="preserve">ove from a process driven pathway to a delivery mechanism that </w:t>
      </w:r>
      <w:r w:rsidR="00D26DAD">
        <w:t xml:space="preserve">incorporates fully </w:t>
      </w:r>
      <w:r>
        <w:t>integrated</w:t>
      </w:r>
      <w:r w:rsidR="00D26DAD">
        <w:t xml:space="preserve"> multi skilled</w:t>
      </w:r>
      <w:r w:rsidR="00564B78">
        <w:t xml:space="preserve"> teams</w:t>
      </w:r>
      <w:r>
        <w:t xml:space="preserve"> and </w:t>
      </w:r>
      <w:r w:rsidRPr="009A028E">
        <w:t>has an improved customer/care pathway that is standard across the county</w:t>
      </w:r>
      <w:r w:rsidR="00B0298F">
        <w:t>.</w:t>
      </w:r>
      <w:r w:rsidR="00F33096">
        <w:t xml:space="preserve">  This will include breaking down the organisational and professional barriers that hinder shared working.</w:t>
      </w:r>
    </w:p>
    <w:p w:rsidR="000913E2" w:rsidRDefault="000913E2" w:rsidP="00F33096">
      <w:pPr>
        <w:pStyle w:val="ListBullet"/>
      </w:pPr>
      <w:r>
        <w:t>Develop new County-wide priorities, service standards and performance metrics focusing on customer needs and achieving consistency of customer outcomes</w:t>
      </w:r>
      <w:r w:rsidR="00B0298F">
        <w:t>.</w:t>
      </w:r>
    </w:p>
    <w:p w:rsidR="000913E2" w:rsidRDefault="000913E2" w:rsidP="00F33096">
      <w:pPr>
        <w:pStyle w:val="ListBullet"/>
      </w:pPr>
      <w:r w:rsidRPr="005F0E96">
        <w:t>Where possible</w:t>
      </w:r>
      <w:r w:rsidR="00B0298F">
        <w:t>,</w:t>
      </w:r>
      <w:r w:rsidRPr="005F0E96">
        <w:t xml:space="preserve"> develop shared procurement of services, equipment and contracts.</w:t>
      </w:r>
    </w:p>
    <w:p w:rsidR="000913E2" w:rsidRDefault="00564B78" w:rsidP="00F33096">
      <w:pPr>
        <w:pStyle w:val="ListBullet"/>
      </w:pPr>
      <w:r>
        <w:t>Consider</w:t>
      </w:r>
      <w:r w:rsidR="00F33096">
        <w:t xml:space="preserve"> and explore</w:t>
      </w:r>
      <w:r>
        <w:t xml:space="preserve"> o</w:t>
      </w:r>
      <w:r w:rsidR="000913E2">
        <w:t>ptions for pool</w:t>
      </w:r>
      <w:r w:rsidR="009C2BA2">
        <w:t>ed</w:t>
      </w:r>
      <w:r w:rsidR="000913E2">
        <w:t xml:space="preserve"> budgets</w:t>
      </w:r>
      <w:r w:rsidR="00B0298F">
        <w:t>.</w:t>
      </w:r>
    </w:p>
    <w:p w:rsidR="000913E2" w:rsidRDefault="000913E2" w:rsidP="00F33096">
      <w:pPr>
        <w:pStyle w:val="ListBullet"/>
      </w:pPr>
      <w:r>
        <w:t>Develop an i</w:t>
      </w:r>
      <w:r w:rsidRPr="00FD28FA">
        <w:t xml:space="preserve">ntegrated approach </w:t>
      </w:r>
      <w:r>
        <w:t xml:space="preserve">at the first point of contact that </w:t>
      </w:r>
      <w:r w:rsidRPr="00FD28FA">
        <w:t>offers the best opportunity for customers to be given choices at the start of the process, inclu</w:t>
      </w:r>
      <w:r>
        <w:t xml:space="preserve">ding </w:t>
      </w:r>
      <w:r w:rsidRPr="00FD28FA">
        <w:t xml:space="preserve">advice on self-funded alternatives, waiting times and access to housing options advice.  </w:t>
      </w:r>
    </w:p>
    <w:p w:rsidR="00F33096" w:rsidRPr="00D4341D" w:rsidRDefault="00F33096" w:rsidP="00F33096">
      <w:pPr>
        <w:pStyle w:val="ListBullet"/>
      </w:pPr>
      <w:r>
        <w:lastRenderedPageBreak/>
        <w:t>Evidence the c</w:t>
      </w:r>
      <w:r w:rsidRPr="00FD28FA">
        <w:t xml:space="preserve">orrelation between adaptations works and health benefits to </w:t>
      </w:r>
      <w:r>
        <w:t xml:space="preserve">service users </w:t>
      </w:r>
      <w:r w:rsidRPr="00FD28FA">
        <w:t xml:space="preserve">and the savings achieved in reducing the need for people to be admitted </w:t>
      </w:r>
      <w:r>
        <w:t>to residential care or hospital and the reductions in delays in hospital discharge</w:t>
      </w:r>
      <w:r w:rsidRPr="00F33096">
        <w:t xml:space="preserve"> </w:t>
      </w:r>
      <w:r w:rsidRPr="00D4341D">
        <w:t>by adopting a flexible, risk based approach and increasing choice to meet need.</w:t>
      </w:r>
    </w:p>
    <w:p w:rsidR="000913E2" w:rsidRPr="00B0298F" w:rsidRDefault="000913E2" w:rsidP="00F33096">
      <w:pPr>
        <w:pStyle w:val="ListBullet"/>
        <w:rPr>
          <w:b/>
        </w:rPr>
      </w:pPr>
      <w:r w:rsidRPr="00822B48">
        <w:t>An ancillary aim is to consider and if practical develop a more generic</w:t>
      </w:r>
      <w:r w:rsidR="00B0298F">
        <w:t xml:space="preserve"> </w:t>
      </w:r>
      <w:r>
        <w:t>approach to needs assessment which will link DFGs more closely to other</w:t>
      </w:r>
      <w:r w:rsidR="00B0298F">
        <w:t xml:space="preserve"> </w:t>
      </w:r>
      <w:r>
        <w:t>needs experienced by service users (e.g. benefits, affordable warmth, tackling fuel poverty, etc) all designed to support greater independence and quality of life.</w:t>
      </w:r>
    </w:p>
    <w:p w:rsidR="000913E2" w:rsidRPr="00E13129" w:rsidRDefault="000913E2" w:rsidP="00B0298F">
      <w:pPr>
        <w:pStyle w:val="ReportLevel3"/>
      </w:pPr>
      <w:r w:rsidRPr="00E13129">
        <w:t xml:space="preserve">Given the scale of the </w:t>
      </w:r>
      <w:r w:rsidR="009C2BA2">
        <w:t xml:space="preserve">task </w:t>
      </w:r>
      <w:r w:rsidRPr="00E13129">
        <w:t>it is proposed that a full time Project Manager</w:t>
      </w:r>
      <w:r>
        <w:rPr>
          <w:b/>
        </w:rPr>
        <w:t xml:space="preserve"> </w:t>
      </w:r>
      <w:r w:rsidRPr="00E13129">
        <w:t>be employed</w:t>
      </w:r>
      <w:r>
        <w:t xml:space="preserve"> </w:t>
      </w:r>
      <w:r w:rsidR="00F33096">
        <w:t xml:space="preserve">to </w:t>
      </w:r>
      <w:r w:rsidRPr="00E13129">
        <w:t>deliver</w:t>
      </w:r>
      <w:r w:rsidR="00F33096">
        <w:t xml:space="preserve"> </w:t>
      </w:r>
      <w:r w:rsidRPr="00E13129">
        <w:t xml:space="preserve">the </w:t>
      </w:r>
      <w:r>
        <w:t>project</w:t>
      </w:r>
      <w:r w:rsidRPr="00E13129">
        <w:t>.</w:t>
      </w:r>
    </w:p>
    <w:p w:rsidR="000913E2" w:rsidRDefault="000913E2" w:rsidP="00B0298F">
      <w:pPr>
        <w:pStyle w:val="ReportLevel3"/>
      </w:pPr>
      <w:r>
        <w:t xml:space="preserve">In order to fund the post it is proposed that Districts and Kent County Council contribute £4,000 each.  This £52,000 will allow for the appointment of a full time Project Officer.  The host authority for the Project Officer will </w:t>
      </w:r>
      <w:r w:rsidR="00BA7B36">
        <w:t xml:space="preserve">be Tonbridge &amp; Malling </w:t>
      </w:r>
      <w:r>
        <w:t xml:space="preserve">provide day to day operational line management support, with strategic decisions agreed via the Project Board.    </w:t>
      </w:r>
    </w:p>
    <w:p w:rsidR="000913E2" w:rsidRPr="00B0298F" w:rsidRDefault="000913E2" w:rsidP="00B0298F">
      <w:pPr>
        <w:pStyle w:val="ReportLevel3"/>
        <w:rPr>
          <w:b/>
        </w:rPr>
      </w:pPr>
      <w:r w:rsidRPr="00B0298F">
        <w:rPr>
          <w:b/>
        </w:rPr>
        <w:t xml:space="preserve">Governance </w:t>
      </w:r>
    </w:p>
    <w:p w:rsidR="000913E2" w:rsidRDefault="000913E2" w:rsidP="000E3ACF">
      <w:pPr>
        <w:spacing w:after="120"/>
        <w:ind w:left="720"/>
        <w:rPr>
          <w:rFonts w:cs="Arial"/>
          <w:szCs w:val="24"/>
        </w:rPr>
      </w:pPr>
      <w:r w:rsidRPr="00F33096">
        <w:rPr>
          <w:rFonts w:cs="Arial"/>
          <w:b/>
          <w:szCs w:val="24"/>
        </w:rPr>
        <w:t>Project Sponsors</w:t>
      </w:r>
      <w:r>
        <w:rPr>
          <w:rFonts w:cs="Arial"/>
          <w:szCs w:val="24"/>
        </w:rPr>
        <w:t>:</w:t>
      </w:r>
    </w:p>
    <w:p w:rsidR="00C25F88" w:rsidRDefault="00C25F88" w:rsidP="00F33096">
      <w:pPr>
        <w:pStyle w:val="ListBullet"/>
      </w:pPr>
      <w:r>
        <w:t xml:space="preserve">Pav Ramewal, Chief Executive Sevenoaks </w:t>
      </w:r>
      <w:r w:rsidR="0047032B">
        <w:t xml:space="preserve">District </w:t>
      </w:r>
      <w:r>
        <w:t>Council</w:t>
      </w:r>
    </w:p>
    <w:p w:rsidR="000913E2" w:rsidRDefault="000913E2" w:rsidP="00F33096">
      <w:pPr>
        <w:pStyle w:val="ListBullet"/>
      </w:pPr>
      <w:r w:rsidRPr="00B1097D">
        <w:t>Tracey Kerly Chief Executive Ashford Borough Council</w:t>
      </w:r>
    </w:p>
    <w:p w:rsidR="000913E2" w:rsidRDefault="000913E2" w:rsidP="00F33096">
      <w:pPr>
        <w:pStyle w:val="ListBullet"/>
      </w:pPr>
      <w:r>
        <w:t>Anne Tidmarsh, KCC Director Older People and Physical Disability</w:t>
      </w:r>
    </w:p>
    <w:p w:rsidR="000913E2" w:rsidRDefault="00181C51" w:rsidP="000E3ACF">
      <w:pPr>
        <w:spacing w:after="120"/>
        <w:ind w:left="720"/>
        <w:rPr>
          <w:rFonts w:cs="Arial"/>
          <w:szCs w:val="24"/>
        </w:rPr>
      </w:pPr>
      <w:r>
        <w:rPr>
          <w:rFonts w:cs="Arial"/>
          <w:b/>
          <w:szCs w:val="24"/>
        </w:rPr>
        <w:t xml:space="preserve">A </w:t>
      </w:r>
      <w:r w:rsidR="000913E2" w:rsidRPr="00F33096">
        <w:rPr>
          <w:rFonts w:cs="Arial"/>
          <w:b/>
          <w:szCs w:val="24"/>
        </w:rPr>
        <w:t>Project Board</w:t>
      </w:r>
      <w:r w:rsidR="000913E2">
        <w:rPr>
          <w:rFonts w:cs="Arial"/>
          <w:szCs w:val="24"/>
        </w:rPr>
        <w:t xml:space="preserve"> </w:t>
      </w:r>
      <w:r>
        <w:rPr>
          <w:rFonts w:cs="Arial"/>
          <w:szCs w:val="24"/>
        </w:rPr>
        <w:t>will be</w:t>
      </w:r>
      <w:r w:rsidR="000913E2">
        <w:rPr>
          <w:rFonts w:cs="Arial"/>
          <w:szCs w:val="24"/>
        </w:rPr>
        <w:t xml:space="preserve"> established</w:t>
      </w:r>
      <w:r>
        <w:rPr>
          <w:rFonts w:cs="Arial"/>
          <w:szCs w:val="24"/>
        </w:rPr>
        <w:t xml:space="preserve"> to provide strategic leadership, direction and assurance on behalf of all partners and stakeholders.  </w:t>
      </w:r>
      <w:r w:rsidR="000913E2">
        <w:rPr>
          <w:rFonts w:cs="Arial"/>
          <w:szCs w:val="24"/>
        </w:rPr>
        <w:t xml:space="preserve"> </w:t>
      </w:r>
      <w:r>
        <w:rPr>
          <w:rFonts w:cs="Arial"/>
          <w:szCs w:val="24"/>
        </w:rPr>
        <w:t>The Board will be responsible for appointing a Project Team</w:t>
      </w:r>
      <w:r w:rsidR="009C2BA2">
        <w:rPr>
          <w:rFonts w:cs="Arial"/>
          <w:szCs w:val="24"/>
        </w:rPr>
        <w:t xml:space="preserve"> and m</w:t>
      </w:r>
      <w:r>
        <w:rPr>
          <w:rFonts w:cs="Arial"/>
          <w:szCs w:val="24"/>
        </w:rPr>
        <w:t>embership of the Board will comprise of t</w:t>
      </w:r>
      <w:r w:rsidR="000913E2">
        <w:rPr>
          <w:rFonts w:cs="Arial"/>
          <w:szCs w:val="24"/>
        </w:rPr>
        <w:t>he following</w:t>
      </w:r>
      <w:r>
        <w:rPr>
          <w:rFonts w:cs="Arial"/>
          <w:szCs w:val="24"/>
        </w:rPr>
        <w:t>:</w:t>
      </w:r>
    </w:p>
    <w:p w:rsidR="000913E2" w:rsidRDefault="000913E2" w:rsidP="00F33096">
      <w:pPr>
        <w:pStyle w:val="ListBullet"/>
      </w:pPr>
      <w:r>
        <w:t>Project Sponsor</w:t>
      </w:r>
      <w:r w:rsidR="00F33096">
        <w:t>s</w:t>
      </w:r>
    </w:p>
    <w:p w:rsidR="000913E2" w:rsidRDefault="000913E2" w:rsidP="00F33096">
      <w:pPr>
        <w:pStyle w:val="ListBullet"/>
      </w:pPr>
      <w:r>
        <w:t>KCC –Public Health, Occupational Therapy Service</w:t>
      </w:r>
      <w:r w:rsidR="00564B78">
        <w:t>, Housing Related Support</w:t>
      </w:r>
    </w:p>
    <w:p w:rsidR="000913E2" w:rsidRDefault="000913E2" w:rsidP="00F33096">
      <w:pPr>
        <w:pStyle w:val="ListBullet"/>
      </w:pPr>
      <w:r>
        <w:t>Kent Health &amp; Wellbeing Board representative</w:t>
      </w:r>
    </w:p>
    <w:p w:rsidR="000913E2" w:rsidRDefault="000913E2" w:rsidP="00F33096">
      <w:pPr>
        <w:pStyle w:val="ListBullet"/>
      </w:pPr>
      <w:r>
        <w:t>CCGs representative</w:t>
      </w:r>
    </w:p>
    <w:p w:rsidR="000913E2" w:rsidRDefault="000913E2" w:rsidP="00F33096">
      <w:pPr>
        <w:pStyle w:val="ListBullet"/>
      </w:pPr>
      <w:r>
        <w:t xml:space="preserve">Kent Housing Group </w:t>
      </w:r>
    </w:p>
    <w:p w:rsidR="000913E2" w:rsidRDefault="000913E2" w:rsidP="00F33096">
      <w:pPr>
        <w:pStyle w:val="ListBullet"/>
      </w:pPr>
      <w:r>
        <w:t xml:space="preserve">Joint Planning Policy Board </w:t>
      </w:r>
      <w:r w:rsidRPr="00634684">
        <w:t xml:space="preserve"> </w:t>
      </w:r>
    </w:p>
    <w:p w:rsidR="000913E2" w:rsidRPr="00634684" w:rsidRDefault="0047032B" w:rsidP="00F33096">
      <w:pPr>
        <w:pStyle w:val="ListBullet"/>
        <w:rPr>
          <w:b/>
        </w:rPr>
      </w:pPr>
      <w:r>
        <w:lastRenderedPageBreak/>
        <w:t xml:space="preserve">Authority </w:t>
      </w:r>
      <w:r w:rsidR="000913E2" w:rsidRPr="00634684">
        <w:t xml:space="preserve">host to the </w:t>
      </w:r>
      <w:r w:rsidR="000913E2">
        <w:t>P</w:t>
      </w:r>
      <w:r w:rsidR="000913E2" w:rsidRPr="00634684">
        <w:t xml:space="preserve">roject </w:t>
      </w:r>
      <w:r w:rsidR="000913E2">
        <w:t>Manager</w:t>
      </w:r>
      <w:r w:rsidR="00BA7B36">
        <w:t xml:space="preserve"> (Tonbridge &amp; Malling Borough Council)</w:t>
      </w:r>
    </w:p>
    <w:p w:rsidR="000913E2" w:rsidRDefault="00CE6079" w:rsidP="00B0298F">
      <w:pPr>
        <w:jc w:val="center"/>
        <w:rPr>
          <w:rFonts w:cs="Arial"/>
          <w:b/>
          <w:szCs w:val="24"/>
        </w:rPr>
      </w:pPr>
      <w:r>
        <w:rPr>
          <w:rFonts w:cs="Arial"/>
          <w:b/>
          <w:szCs w:val="24"/>
        </w:rPr>
        <w:t xml:space="preserve">Outline </w:t>
      </w:r>
      <w:r w:rsidR="000913E2" w:rsidRPr="000E3ACF">
        <w:rPr>
          <w:rFonts w:cs="Arial"/>
          <w:b/>
          <w:szCs w:val="24"/>
        </w:rPr>
        <w:t>Project Timetable/Milestones</w:t>
      </w:r>
    </w:p>
    <w:p w:rsidR="00680AFF" w:rsidRPr="000E3ACF" w:rsidRDefault="00680AFF" w:rsidP="00B0298F">
      <w:pPr>
        <w:jc w:val="center"/>
        <w:rPr>
          <w:rFonts w:cs="Arial"/>
          <w:b/>
          <w:szCs w:val="24"/>
        </w:rPr>
      </w:pPr>
    </w:p>
    <w:tbl>
      <w:tblPr>
        <w:tblStyle w:val="TableGrid"/>
        <w:tblW w:w="0" w:type="auto"/>
        <w:tblInd w:w="1526" w:type="dxa"/>
        <w:tblLook w:val="04A0" w:firstRow="1" w:lastRow="0" w:firstColumn="1" w:lastColumn="0" w:noHBand="0" w:noVBand="1"/>
      </w:tblPr>
      <w:tblGrid>
        <w:gridCol w:w="2994"/>
        <w:gridCol w:w="3385"/>
      </w:tblGrid>
      <w:tr w:rsidR="00680AFF" w:rsidTr="00680AFF">
        <w:tc>
          <w:tcPr>
            <w:tcW w:w="2994" w:type="dxa"/>
            <w:shd w:val="clear" w:color="auto" w:fill="FFFF00"/>
          </w:tcPr>
          <w:p w:rsidR="00680AFF" w:rsidRDefault="00680AFF" w:rsidP="00B0298F">
            <w:pPr>
              <w:pStyle w:val="TableText"/>
              <w:rPr>
                <w:b/>
                <w:highlight w:val="yellow"/>
              </w:rPr>
            </w:pPr>
            <w:r w:rsidRPr="00680AFF">
              <w:rPr>
                <w:b/>
                <w:highlight w:val="yellow"/>
              </w:rPr>
              <w:t>DATE</w:t>
            </w:r>
          </w:p>
          <w:p w:rsidR="00F33096" w:rsidRPr="00680AFF" w:rsidRDefault="00F33096" w:rsidP="00B0298F">
            <w:pPr>
              <w:pStyle w:val="TableText"/>
              <w:rPr>
                <w:b/>
                <w:highlight w:val="yellow"/>
              </w:rPr>
            </w:pPr>
          </w:p>
        </w:tc>
        <w:tc>
          <w:tcPr>
            <w:tcW w:w="3385" w:type="dxa"/>
            <w:shd w:val="clear" w:color="auto" w:fill="FFFF00"/>
          </w:tcPr>
          <w:p w:rsidR="00680AFF" w:rsidRPr="00680AFF" w:rsidRDefault="00680AFF" w:rsidP="000E3ACF">
            <w:pPr>
              <w:pStyle w:val="TableText"/>
              <w:spacing w:after="100" w:afterAutospacing="1"/>
              <w:rPr>
                <w:b/>
                <w:highlight w:val="yellow"/>
              </w:rPr>
            </w:pPr>
            <w:r w:rsidRPr="00680AFF">
              <w:rPr>
                <w:b/>
                <w:highlight w:val="yellow"/>
              </w:rPr>
              <w:t>TASK</w:t>
            </w:r>
          </w:p>
        </w:tc>
      </w:tr>
      <w:tr w:rsidR="000913E2" w:rsidTr="00B0298F">
        <w:tc>
          <w:tcPr>
            <w:tcW w:w="2994" w:type="dxa"/>
          </w:tcPr>
          <w:p w:rsidR="000913E2" w:rsidRDefault="000913E2" w:rsidP="00B0298F">
            <w:pPr>
              <w:pStyle w:val="TableText"/>
            </w:pPr>
            <w:r>
              <w:t>April 2016</w:t>
            </w:r>
          </w:p>
          <w:p w:rsidR="00F33096" w:rsidRDefault="00F33096" w:rsidP="00B0298F">
            <w:pPr>
              <w:pStyle w:val="TableText"/>
            </w:pPr>
          </w:p>
        </w:tc>
        <w:tc>
          <w:tcPr>
            <w:tcW w:w="3385" w:type="dxa"/>
          </w:tcPr>
          <w:p w:rsidR="000913E2" w:rsidRDefault="000913E2" w:rsidP="000E3ACF">
            <w:pPr>
              <w:pStyle w:val="TableText"/>
              <w:spacing w:after="100" w:afterAutospacing="1"/>
            </w:pPr>
            <w:r>
              <w:t>Establish Project Board</w:t>
            </w:r>
          </w:p>
        </w:tc>
      </w:tr>
      <w:tr w:rsidR="000913E2" w:rsidTr="00B0298F">
        <w:tc>
          <w:tcPr>
            <w:tcW w:w="2994" w:type="dxa"/>
          </w:tcPr>
          <w:p w:rsidR="000913E2" w:rsidRDefault="000913E2" w:rsidP="00B0298F">
            <w:pPr>
              <w:pStyle w:val="TableText"/>
            </w:pPr>
            <w:r>
              <w:t>May 2016</w:t>
            </w:r>
          </w:p>
        </w:tc>
        <w:tc>
          <w:tcPr>
            <w:tcW w:w="3385" w:type="dxa"/>
          </w:tcPr>
          <w:p w:rsidR="000913E2" w:rsidRDefault="000913E2" w:rsidP="00B0298F">
            <w:pPr>
              <w:pStyle w:val="TableText"/>
            </w:pPr>
            <w:r>
              <w:t>Appoint Project Manager &amp; establish Project Team</w:t>
            </w:r>
          </w:p>
        </w:tc>
      </w:tr>
      <w:tr w:rsidR="000913E2" w:rsidTr="00B0298F">
        <w:tc>
          <w:tcPr>
            <w:tcW w:w="2994" w:type="dxa"/>
          </w:tcPr>
          <w:p w:rsidR="000913E2" w:rsidRDefault="000913E2" w:rsidP="00B0298F">
            <w:pPr>
              <w:pStyle w:val="TableText"/>
            </w:pPr>
            <w:r>
              <w:t>December 2016</w:t>
            </w:r>
          </w:p>
        </w:tc>
        <w:tc>
          <w:tcPr>
            <w:tcW w:w="3385" w:type="dxa"/>
          </w:tcPr>
          <w:p w:rsidR="00B0298F" w:rsidRDefault="000913E2" w:rsidP="00B0298F">
            <w:pPr>
              <w:pStyle w:val="TableText"/>
            </w:pPr>
            <w:r>
              <w:t>Review of existing structures completed and proposals for new delivery models developed and costed</w:t>
            </w:r>
          </w:p>
        </w:tc>
      </w:tr>
      <w:tr w:rsidR="000913E2" w:rsidTr="00B0298F">
        <w:tc>
          <w:tcPr>
            <w:tcW w:w="2994" w:type="dxa"/>
          </w:tcPr>
          <w:p w:rsidR="000913E2" w:rsidRDefault="000913E2" w:rsidP="00B0298F">
            <w:pPr>
              <w:pStyle w:val="TableText"/>
            </w:pPr>
            <w:r>
              <w:t>Jan – February 2017</w:t>
            </w:r>
          </w:p>
        </w:tc>
        <w:tc>
          <w:tcPr>
            <w:tcW w:w="3385" w:type="dxa"/>
          </w:tcPr>
          <w:p w:rsidR="00B0298F" w:rsidRDefault="000913E2" w:rsidP="00B0298F">
            <w:pPr>
              <w:pStyle w:val="TableText"/>
            </w:pPr>
            <w:r>
              <w:t>Consultation on new delivery models including estimates of efficiency gains</w:t>
            </w:r>
          </w:p>
        </w:tc>
      </w:tr>
      <w:tr w:rsidR="000913E2" w:rsidTr="00B0298F">
        <w:tc>
          <w:tcPr>
            <w:tcW w:w="2994" w:type="dxa"/>
          </w:tcPr>
          <w:p w:rsidR="000913E2" w:rsidRDefault="000913E2" w:rsidP="00B0298F">
            <w:pPr>
              <w:pStyle w:val="TableText"/>
            </w:pPr>
            <w:r>
              <w:t>March – April 2017</w:t>
            </w:r>
          </w:p>
        </w:tc>
        <w:tc>
          <w:tcPr>
            <w:tcW w:w="3385" w:type="dxa"/>
          </w:tcPr>
          <w:p w:rsidR="00B0298F" w:rsidRDefault="000913E2" w:rsidP="00B0298F">
            <w:pPr>
              <w:pStyle w:val="TableText"/>
            </w:pPr>
            <w:r>
              <w:t>Finalisation of new delivery model</w:t>
            </w:r>
          </w:p>
        </w:tc>
      </w:tr>
      <w:tr w:rsidR="000913E2" w:rsidTr="00B0298F">
        <w:tc>
          <w:tcPr>
            <w:tcW w:w="2994" w:type="dxa"/>
          </w:tcPr>
          <w:p w:rsidR="000913E2" w:rsidRDefault="000913E2" w:rsidP="00B0298F">
            <w:pPr>
              <w:pStyle w:val="TableText"/>
            </w:pPr>
            <w:r>
              <w:t>May 2017</w:t>
            </w:r>
          </w:p>
        </w:tc>
        <w:tc>
          <w:tcPr>
            <w:tcW w:w="3385" w:type="dxa"/>
          </w:tcPr>
          <w:p w:rsidR="00B0298F" w:rsidRDefault="000913E2" w:rsidP="00B0298F">
            <w:pPr>
              <w:pStyle w:val="TableText"/>
            </w:pPr>
            <w:r>
              <w:t>Phased implementation of new delivery model commences</w:t>
            </w:r>
          </w:p>
        </w:tc>
      </w:tr>
    </w:tbl>
    <w:p w:rsidR="000913E2" w:rsidRDefault="000913E2" w:rsidP="000913E2">
      <w:pPr>
        <w:rPr>
          <w:rFonts w:cs="Arial"/>
          <w:szCs w:val="24"/>
        </w:rPr>
      </w:pPr>
    </w:p>
    <w:p w:rsidR="00FA5715" w:rsidRDefault="00FA5715" w:rsidP="000913E2">
      <w:pPr>
        <w:rPr>
          <w:rFonts w:cs="Arial"/>
          <w:szCs w:val="24"/>
        </w:rPr>
      </w:pPr>
    </w:p>
    <w:p w:rsidR="000913E2" w:rsidRDefault="000913E2" w:rsidP="00680AFF">
      <w:pPr>
        <w:pStyle w:val="ReportLevel1"/>
      </w:pPr>
      <w:r w:rsidRPr="00621DC9">
        <w:t>Recommendations</w:t>
      </w:r>
    </w:p>
    <w:p w:rsidR="00FA5715" w:rsidRPr="00FA5715" w:rsidRDefault="00FA5715" w:rsidP="00FA5715">
      <w:pPr>
        <w:pStyle w:val="SummaryHeading"/>
        <w:rPr>
          <w:b w:val="0"/>
        </w:rPr>
      </w:pPr>
      <w:r w:rsidRPr="00FA5715">
        <w:rPr>
          <w:b w:val="0"/>
        </w:rPr>
        <w:t>Chief Executives and Leaders are recommended to</w:t>
      </w:r>
    </w:p>
    <w:p w:rsidR="00FA5715" w:rsidRPr="00FA5715" w:rsidRDefault="00FA5715" w:rsidP="00FA5715">
      <w:pPr>
        <w:pStyle w:val="SummaryHeading"/>
        <w:ind w:left="0"/>
      </w:pPr>
    </w:p>
    <w:p w:rsidR="000913E2" w:rsidRDefault="000913E2" w:rsidP="00B0298F">
      <w:pPr>
        <w:pStyle w:val="ListNumbered"/>
      </w:pPr>
      <w:r w:rsidRPr="00FA5715">
        <w:rPr>
          <w:b/>
        </w:rPr>
        <w:t>A</w:t>
      </w:r>
      <w:r w:rsidR="00FA5715" w:rsidRPr="00FA5715">
        <w:rPr>
          <w:b/>
        </w:rPr>
        <w:t>GREE</w:t>
      </w:r>
      <w:r w:rsidR="00FA5715">
        <w:t xml:space="preserve"> the</w:t>
      </w:r>
      <w:r>
        <w:t xml:space="preserve"> implementation of a </w:t>
      </w:r>
      <w:r w:rsidR="00C25F88">
        <w:t>twelve m</w:t>
      </w:r>
      <w:r>
        <w:t>onth</w:t>
      </w:r>
      <w:r w:rsidR="00FA5715">
        <w:t xml:space="preserve"> County wide</w:t>
      </w:r>
      <w:r>
        <w:t xml:space="preserve"> transformational project </w:t>
      </w:r>
      <w:r w:rsidR="00FA5715">
        <w:t xml:space="preserve">to establish a fully </w:t>
      </w:r>
      <w:r>
        <w:t>integrate</w:t>
      </w:r>
      <w:r w:rsidR="00FA5715">
        <w:t xml:space="preserve">d joined up service between Housing, Health and Social Care for the </w:t>
      </w:r>
      <w:r>
        <w:t xml:space="preserve">delivery of </w:t>
      </w:r>
      <w:r w:rsidR="00F33096">
        <w:t xml:space="preserve">DFGs </w:t>
      </w:r>
    </w:p>
    <w:p w:rsidR="00F2555E" w:rsidRPr="00D34BB0" w:rsidRDefault="00F2555E" w:rsidP="00F2555E">
      <w:pPr>
        <w:pStyle w:val="ListNumbered"/>
      </w:pPr>
      <w:r w:rsidRPr="00FA5715">
        <w:rPr>
          <w:b/>
        </w:rPr>
        <w:t xml:space="preserve">AGREE </w:t>
      </w:r>
      <w:r>
        <w:t xml:space="preserve">the </w:t>
      </w:r>
      <w:r w:rsidR="00C25F88">
        <w:t>financial commitment of £</w:t>
      </w:r>
      <w:r w:rsidR="00CE6079">
        <w:t>4</w:t>
      </w:r>
      <w:r w:rsidR="00C25F88">
        <w:t xml:space="preserve">k from each District &amp; Borough and KCC </w:t>
      </w:r>
    </w:p>
    <w:p w:rsidR="000913E2" w:rsidRPr="00D34BB0" w:rsidRDefault="00FA5715" w:rsidP="00B0298F">
      <w:pPr>
        <w:pStyle w:val="ListNumbered"/>
      </w:pPr>
      <w:r w:rsidRPr="00FA5715">
        <w:rPr>
          <w:b/>
        </w:rPr>
        <w:t xml:space="preserve">AGREE </w:t>
      </w:r>
      <w:r>
        <w:t>the g</w:t>
      </w:r>
      <w:r w:rsidR="000913E2">
        <w:t>overnance arrangements as set out in</w:t>
      </w:r>
      <w:r w:rsidR="00B0298F">
        <w:t xml:space="preserve"> </w:t>
      </w:r>
      <w:r w:rsidR="00181C51">
        <w:t>4.17 above</w:t>
      </w:r>
    </w:p>
    <w:p w:rsidR="00181C51" w:rsidRDefault="00181C51" w:rsidP="00F33096">
      <w:pPr>
        <w:rPr>
          <w:rFonts w:cs="Arial"/>
          <w:szCs w:val="24"/>
        </w:rPr>
      </w:pPr>
    </w:p>
    <w:p w:rsidR="00181C51" w:rsidRDefault="00181C51" w:rsidP="00F33096">
      <w:pPr>
        <w:rPr>
          <w:rFonts w:cs="Arial"/>
          <w:szCs w:val="24"/>
        </w:rPr>
      </w:pPr>
    </w:p>
    <w:p w:rsidR="00711D24" w:rsidRDefault="00711D24" w:rsidP="00F33096">
      <w:pPr>
        <w:rPr>
          <w:rFonts w:cs="Arial"/>
          <w:szCs w:val="24"/>
        </w:rPr>
      </w:pPr>
    </w:p>
    <w:p w:rsidR="00711D24" w:rsidRDefault="00711D24" w:rsidP="00F33096">
      <w:pPr>
        <w:rPr>
          <w:rFonts w:cs="Arial"/>
          <w:szCs w:val="24"/>
        </w:rPr>
      </w:pPr>
    </w:p>
    <w:p w:rsidR="00711D24" w:rsidRDefault="00711D24" w:rsidP="00F33096">
      <w:pPr>
        <w:rPr>
          <w:rFonts w:cs="Arial"/>
          <w:szCs w:val="24"/>
        </w:rPr>
      </w:pPr>
    </w:p>
    <w:p w:rsidR="00711D24" w:rsidRDefault="00711D24" w:rsidP="00F33096">
      <w:pPr>
        <w:rPr>
          <w:rFonts w:cs="Arial"/>
          <w:szCs w:val="24"/>
        </w:rPr>
      </w:pPr>
    </w:p>
    <w:p w:rsidR="00711D24" w:rsidRDefault="00711D24" w:rsidP="00F33096">
      <w:pPr>
        <w:rPr>
          <w:rFonts w:cs="Arial"/>
          <w:szCs w:val="24"/>
        </w:rPr>
      </w:pPr>
    </w:p>
    <w:p w:rsidR="00711D24" w:rsidRDefault="00711D24" w:rsidP="00F33096">
      <w:pPr>
        <w:rPr>
          <w:rFonts w:cs="Arial"/>
          <w:szCs w:val="24"/>
        </w:rPr>
      </w:pPr>
    </w:p>
    <w:p w:rsidR="00711D24" w:rsidRDefault="00711D24" w:rsidP="00F33096">
      <w:pPr>
        <w:rPr>
          <w:rFonts w:cs="Arial"/>
          <w:szCs w:val="24"/>
        </w:rPr>
      </w:pPr>
    </w:p>
    <w:p w:rsidR="00711D24" w:rsidRDefault="00711D24" w:rsidP="00F33096">
      <w:pPr>
        <w:rPr>
          <w:rFonts w:cs="Arial"/>
          <w:szCs w:val="24"/>
        </w:rPr>
      </w:pPr>
    </w:p>
    <w:p w:rsidR="00AA2E54" w:rsidRDefault="00AA2E54" w:rsidP="00F33096">
      <w:pPr>
        <w:rPr>
          <w:rFonts w:cs="Arial"/>
          <w:szCs w:val="24"/>
        </w:rPr>
      </w:pPr>
    </w:p>
    <w:p w:rsidR="00711D24" w:rsidRDefault="00711D24" w:rsidP="00F33096">
      <w:pPr>
        <w:rPr>
          <w:rFonts w:cs="Arial"/>
          <w:szCs w:val="24"/>
        </w:rPr>
      </w:pPr>
    </w:p>
    <w:p w:rsidR="00711D24" w:rsidRPr="00711D24" w:rsidRDefault="00711D24" w:rsidP="00F33096">
      <w:pPr>
        <w:rPr>
          <w:rFonts w:cs="Arial"/>
          <w:b/>
          <w:szCs w:val="24"/>
        </w:rPr>
      </w:pPr>
      <w:r w:rsidRPr="00711D24">
        <w:rPr>
          <w:rFonts w:cs="Arial"/>
          <w:b/>
          <w:szCs w:val="24"/>
        </w:rPr>
        <w:t>Appendix 1</w:t>
      </w:r>
    </w:p>
    <w:p w:rsidR="00711D24" w:rsidRDefault="00711D24" w:rsidP="00F33096">
      <w:pPr>
        <w:rPr>
          <w:rFonts w:cs="Arial"/>
          <w:szCs w:val="24"/>
        </w:rPr>
      </w:pPr>
    </w:p>
    <w:p w:rsidR="00711D24" w:rsidRPr="00711D24" w:rsidRDefault="00711D24" w:rsidP="00711D24">
      <w:pPr>
        <w:spacing w:after="200" w:line="276" w:lineRule="auto"/>
        <w:rPr>
          <w:rFonts w:eastAsiaTheme="minorHAnsi" w:cs="Arial"/>
          <w:szCs w:val="24"/>
        </w:rPr>
      </w:pPr>
      <w:r w:rsidRPr="00711D24">
        <w:rPr>
          <w:rFonts w:eastAsiaTheme="minorHAnsi" w:cs="Arial"/>
          <w:szCs w:val="24"/>
        </w:rPr>
        <w:t>The table below</w:t>
      </w:r>
      <w:r>
        <w:rPr>
          <w:rFonts w:eastAsiaTheme="minorHAnsi" w:cs="Arial"/>
          <w:szCs w:val="24"/>
        </w:rPr>
        <w:t xml:space="preserve"> </w:t>
      </w:r>
      <w:r w:rsidR="00AA2E54">
        <w:rPr>
          <w:rFonts w:eastAsiaTheme="minorHAnsi" w:cs="Arial"/>
          <w:szCs w:val="24"/>
        </w:rPr>
        <w:t xml:space="preserve">reflects </w:t>
      </w:r>
      <w:r w:rsidRPr="00711D24">
        <w:rPr>
          <w:rFonts w:eastAsiaTheme="minorHAnsi" w:cs="Arial"/>
          <w:szCs w:val="24"/>
        </w:rPr>
        <w:t xml:space="preserve">the amount of central funding and </w:t>
      </w:r>
      <w:r w:rsidR="00AA2E54">
        <w:rPr>
          <w:rFonts w:eastAsiaTheme="minorHAnsi" w:cs="Arial"/>
          <w:szCs w:val="24"/>
        </w:rPr>
        <w:t>individual d</w:t>
      </w:r>
      <w:r w:rsidRPr="00711D24">
        <w:rPr>
          <w:rFonts w:eastAsiaTheme="minorHAnsi" w:cs="Arial"/>
          <w:szCs w:val="24"/>
        </w:rPr>
        <w:t>istrict</w:t>
      </w:r>
      <w:r w:rsidR="00AA2E54">
        <w:rPr>
          <w:rFonts w:eastAsiaTheme="minorHAnsi" w:cs="Arial"/>
          <w:szCs w:val="24"/>
        </w:rPr>
        <w:t xml:space="preserve"> contributions </w:t>
      </w:r>
      <w:r w:rsidR="00AA2E54" w:rsidRPr="00711D24">
        <w:rPr>
          <w:rFonts w:eastAsiaTheme="minorHAnsi" w:cs="Arial"/>
          <w:szCs w:val="24"/>
        </w:rPr>
        <w:t>across</w:t>
      </w:r>
      <w:r w:rsidRPr="00711D24">
        <w:rPr>
          <w:rFonts w:eastAsiaTheme="minorHAnsi" w:cs="Arial"/>
          <w:szCs w:val="24"/>
        </w:rPr>
        <w:t xml:space="preserve"> Kent for</w:t>
      </w:r>
      <w:r w:rsidR="00AA2E54">
        <w:rPr>
          <w:rFonts w:eastAsiaTheme="minorHAnsi" w:cs="Arial"/>
          <w:szCs w:val="24"/>
        </w:rPr>
        <w:t xml:space="preserve"> delivery of DFGs </w:t>
      </w:r>
      <w:r w:rsidRPr="00711D24">
        <w:rPr>
          <w:rFonts w:eastAsiaTheme="minorHAnsi" w:cs="Arial"/>
          <w:szCs w:val="24"/>
        </w:rPr>
        <w:t>2015/16</w:t>
      </w:r>
    </w:p>
    <w:tbl>
      <w:tblPr>
        <w:tblStyle w:val="TableGrid1"/>
        <w:tblW w:w="0" w:type="auto"/>
        <w:tblLook w:val="04A0" w:firstRow="1" w:lastRow="0" w:firstColumn="1" w:lastColumn="0" w:noHBand="0" w:noVBand="1"/>
      </w:tblPr>
      <w:tblGrid>
        <w:gridCol w:w="3080"/>
        <w:gridCol w:w="3081"/>
        <w:gridCol w:w="3081"/>
      </w:tblGrid>
      <w:tr w:rsidR="00711D24" w:rsidRPr="00711D24" w:rsidTr="00AA2E54">
        <w:trPr>
          <w:trHeight w:val="828"/>
        </w:trPr>
        <w:tc>
          <w:tcPr>
            <w:tcW w:w="3080" w:type="dxa"/>
          </w:tcPr>
          <w:p w:rsidR="00711D24" w:rsidRPr="00711D24" w:rsidRDefault="00711D24" w:rsidP="00711D24">
            <w:pPr>
              <w:spacing w:line="240" w:lineRule="auto"/>
              <w:rPr>
                <w:rFonts w:cs="Arial"/>
                <w:b/>
                <w:szCs w:val="24"/>
              </w:rPr>
            </w:pPr>
            <w:r w:rsidRPr="00711D24">
              <w:rPr>
                <w:rFonts w:cs="Arial"/>
                <w:b/>
                <w:szCs w:val="24"/>
              </w:rPr>
              <w:t>District</w:t>
            </w:r>
          </w:p>
        </w:tc>
        <w:tc>
          <w:tcPr>
            <w:tcW w:w="3081" w:type="dxa"/>
          </w:tcPr>
          <w:p w:rsidR="00711D24" w:rsidRPr="00711D24" w:rsidRDefault="00711D24" w:rsidP="00711D24">
            <w:pPr>
              <w:spacing w:line="240" w:lineRule="auto"/>
              <w:rPr>
                <w:rFonts w:cs="Arial"/>
                <w:b/>
                <w:szCs w:val="24"/>
              </w:rPr>
            </w:pPr>
            <w:r w:rsidRPr="00711D24">
              <w:rPr>
                <w:rFonts w:cs="Arial"/>
                <w:b/>
                <w:szCs w:val="24"/>
              </w:rPr>
              <w:t>Amount of central funding via Better Care Fund (£000)</w:t>
            </w:r>
          </w:p>
        </w:tc>
        <w:tc>
          <w:tcPr>
            <w:tcW w:w="3081" w:type="dxa"/>
          </w:tcPr>
          <w:p w:rsidR="00711D24" w:rsidRPr="00711D24" w:rsidRDefault="00AA2E54" w:rsidP="00AA2E54">
            <w:pPr>
              <w:spacing w:line="240" w:lineRule="auto"/>
              <w:rPr>
                <w:rFonts w:cs="Arial"/>
                <w:b/>
                <w:szCs w:val="24"/>
              </w:rPr>
            </w:pPr>
            <w:r>
              <w:rPr>
                <w:rFonts w:cs="Arial"/>
                <w:b/>
                <w:szCs w:val="24"/>
              </w:rPr>
              <w:t>L</w:t>
            </w:r>
            <w:r w:rsidR="00711D24" w:rsidRPr="00711D24">
              <w:rPr>
                <w:rFonts w:cs="Arial"/>
                <w:b/>
                <w:szCs w:val="24"/>
              </w:rPr>
              <w:t xml:space="preserve">ocal authority </w:t>
            </w:r>
            <w:r>
              <w:rPr>
                <w:rFonts w:cs="Arial"/>
                <w:b/>
                <w:szCs w:val="24"/>
              </w:rPr>
              <w:t>contribution (£000)</w:t>
            </w:r>
          </w:p>
        </w:tc>
      </w:tr>
      <w:tr w:rsidR="00711D24" w:rsidRPr="00711D24" w:rsidTr="00AA2E54">
        <w:trPr>
          <w:trHeight w:val="828"/>
        </w:trPr>
        <w:tc>
          <w:tcPr>
            <w:tcW w:w="3080" w:type="dxa"/>
          </w:tcPr>
          <w:p w:rsidR="00711D24" w:rsidRPr="00711D24" w:rsidRDefault="00711D24" w:rsidP="00711D24">
            <w:pPr>
              <w:spacing w:line="240" w:lineRule="auto"/>
              <w:rPr>
                <w:rFonts w:cs="Arial"/>
                <w:szCs w:val="24"/>
              </w:rPr>
            </w:pPr>
            <w:r w:rsidRPr="00711D24">
              <w:rPr>
                <w:rFonts w:cs="Arial"/>
                <w:szCs w:val="24"/>
              </w:rPr>
              <w:t xml:space="preserve">Ashford </w:t>
            </w:r>
          </w:p>
        </w:tc>
        <w:tc>
          <w:tcPr>
            <w:tcW w:w="3081" w:type="dxa"/>
          </w:tcPr>
          <w:p w:rsidR="00711D24" w:rsidRPr="00711D24" w:rsidRDefault="00711D24" w:rsidP="00711D24">
            <w:pPr>
              <w:spacing w:line="240" w:lineRule="auto"/>
              <w:rPr>
                <w:rFonts w:cs="Arial"/>
                <w:szCs w:val="24"/>
              </w:rPr>
            </w:pPr>
            <w:r w:rsidRPr="00711D24">
              <w:rPr>
                <w:rFonts w:cs="Arial"/>
                <w:szCs w:val="24"/>
              </w:rPr>
              <w:t>389</w:t>
            </w:r>
          </w:p>
        </w:tc>
        <w:tc>
          <w:tcPr>
            <w:tcW w:w="3081" w:type="dxa"/>
          </w:tcPr>
          <w:p w:rsidR="00711D24" w:rsidRPr="00711D24" w:rsidRDefault="00711D24" w:rsidP="00711D24">
            <w:pPr>
              <w:spacing w:line="240" w:lineRule="auto"/>
              <w:rPr>
                <w:rFonts w:cs="Arial"/>
                <w:szCs w:val="24"/>
              </w:rPr>
            </w:pPr>
            <w:r w:rsidRPr="00711D24">
              <w:rPr>
                <w:rFonts w:cs="Arial"/>
                <w:szCs w:val="24"/>
              </w:rPr>
              <w:t>174</w:t>
            </w:r>
          </w:p>
        </w:tc>
      </w:tr>
      <w:tr w:rsidR="00711D24" w:rsidRPr="00711D24" w:rsidTr="00AA2E54">
        <w:trPr>
          <w:trHeight w:val="828"/>
        </w:trPr>
        <w:tc>
          <w:tcPr>
            <w:tcW w:w="3080" w:type="dxa"/>
          </w:tcPr>
          <w:p w:rsidR="00711D24" w:rsidRPr="00711D24" w:rsidRDefault="00711D24" w:rsidP="00711D24">
            <w:pPr>
              <w:spacing w:line="240" w:lineRule="auto"/>
              <w:rPr>
                <w:rFonts w:cs="Arial"/>
                <w:szCs w:val="24"/>
              </w:rPr>
            </w:pPr>
            <w:r w:rsidRPr="00711D24">
              <w:rPr>
                <w:rFonts w:cs="Arial"/>
                <w:szCs w:val="24"/>
              </w:rPr>
              <w:t>Canterbury</w:t>
            </w:r>
          </w:p>
        </w:tc>
        <w:tc>
          <w:tcPr>
            <w:tcW w:w="3081" w:type="dxa"/>
          </w:tcPr>
          <w:p w:rsidR="00711D24" w:rsidRPr="00711D24" w:rsidRDefault="00711D24" w:rsidP="00711D24">
            <w:pPr>
              <w:spacing w:line="240" w:lineRule="auto"/>
              <w:rPr>
                <w:rFonts w:cs="Arial"/>
                <w:szCs w:val="24"/>
              </w:rPr>
            </w:pPr>
            <w:r w:rsidRPr="00711D24">
              <w:rPr>
                <w:rFonts w:cs="Arial"/>
                <w:szCs w:val="24"/>
              </w:rPr>
              <w:t>541</w:t>
            </w:r>
          </w:p>
        </w:tc>
        <w:tc>
          <w:tcPr>
            <w:tcW w:w="3081" w:type="dxa"/>
          </w:tcPr>
          <w:p w:rsidR="00711D24" w:rsidRPr="00711D24" w:rsidRDefault="00711D24" w:rsidP="00711D24">
            <w:pPr>
              <w:spacing w:line="240" w:lineRule="auto"/>
              <w:rPr>
                <w:rFonts w:cs="Arial"/>
                <w:szCs w:val="24"/>
              </w:rPr>
            </w:pPr>
          </w:p>
        </w:tc>
      </w:tr>
      <w:tr w:rsidR="00711D24" w:rsidRPr="00711D24" w:rsidTr="00AA2E54">
        <w:trPr>
          <w:trHeight w:val="828"/>
        </w:trPr>
        <w:tc>
          <w:tcPr>
            <w:tcW w:w="3080" w:type="dxa"/>
          </w:tcPr>
          <w:p w:rsidR="00711D24" w:rsidRPr="00711D24" w:rsidRDefault="00711D24" w:rsidP="00711D24">
            <w:pPr>
              <w:spacing w:line="240" w:lineRule="auto"/>
              <w:rPr>
                <w:rFonts w:cs="Arial"/>
                <w:szCs w:val="24"/>
              </w:rPr>
            </w:pPr>
            <w:r w:rsidRPr="00711D24">
              <w:rPr>
                <w:rFonts w:cs="Arial"/>
                <w:szCs w:val="24"/>
              </w:rPr>
              <w:t>Dartford</w:t>
            </w:r>
          </w:p>
        </w:tc>
        <w:tc>
          <w:tcPr>
            <w:tcW w:w="3081" w:type="dxa"/>
          </w:tcPr>
          <w:p w:rsidR="00711D24" w:rsidRPr="00711D24" w:rsidRDefault="00711D24" w:rsidP="00711D24">
            <w:pPr>
              <w:spacing w:line="240" w:lineRule="auto"/>
              <w:rPr>
                <w:rFonts w:cs="Arial"/>
                <w:szCs w:val="24"/>
              </w:rPr>
            </w:pPr>
            <w:r w:rsidRPr="00711D24">
              <w:rPr>
                <w:rFonts w:cs="Arial"/>
                <w:szCs w:val="24"/>
              </w:rPr>
              <w:t>259</w:t>
            </w:r>
          </w:p>
        </w:tc>
        <w:tc>
          <w:tcPr>
            <w:tcW w:w="3081" w:type="dxa"/>
          </w:tcPr>
          <w:p w:rsidR="00711D24" w:rsidRPr="00711D24" w:rsidRDefault="00711D24" w:rsidP="00711D24">
            <w:pPr>
              <w:spacing w:line="240" w:lineRule="auto"/>
              <w:rPr>
                <w:rFonts w:cs="Arial"/>
                <w:szCs w:val="24"/>
              </w:rPr>
            </w:pPr>
            <w:r w:rsidRPr="00711D24">
              <w:rPr>
                <w:rFonts w:cs="Arial"/>
                <w:szCs w:val="24"/>
              </w:rPr>
              <w:t>468</w:t>
            </w:r>
          </w:p>
        </w:tc>
      </w:tr>
      <w:tr w:rsidR="00711D24" w:rsidRPr="00711D24" w:rsidTr="00AA2E54">
        <w:trPr>
          <w:trHeight w:val="828"/>
        </w:trPr>
        <w:tc>
          <w:tcPr>
            <w:tcW w:w="3080" w:type="dxa"/>
          </w:tcPr>
          <w:p w:rsidR="00711D24" w:rsidRPr="00711D24" w:rsidRDefault="00711D24" w:rsidP="00711D24">
            <w:pPr>
              <w:spacing w:line="240" w:lineRule="auto"/>
              <w:rPr>
                <w:rFonts w:cs="Arial"/>
                <w:szCs w:val="24"/>
              </w:rPr>
            </w:pPr>
            <w:r w:rsidRPr="00711D24">
              <w:rPr>
                <w:rFonts w:cs="Arial"/>
                <w:szCs w:val="24"/>
              </w:rPr>
              <w:t>Dover</w:t>
            </w:r>
          </w:p>
        </w:tc>
        <w:tc>
          <w:tcPr>
            <w:tcW w:w="3081" w:type="dxa"/>
          </w:tcPr>
          <w:p w:rsidR="00711D24" w:rsidRPr="00711D24" w:rsidRDefault="00711D24" w:rsidP="00711D24">
            <w:pPr>
              <w:spacing w:line="240" w:lineRule="auto"/>
              <w:rPr>
                <w:rFonts w:cs="Arial"/>
                <w:szCs w:val="24"/>
              </w:rPr>
            </w:pPr>
            <w:r w:rsidRPr="00711D24">
              <w:rPr>
                <w:rFonts w:cs="Arial"/>
                <w:szCs w:val="24"/>
              </w:rPr>
              <w:t>599</w:t>
            </w:r>
          </w:p>
        </w:tc>
        <w:tc>
          <w:tcPr>
            <w:tcW w:w="3081" w:type="dxa"/>
          </w:tcPr>
          <w:p w:rsidR="00711D24" w:rsidRPr="00711D24" w:rsidRDefault="00711D24" w:rsidP="00711D24">
            <w:pPr>
              <w:spacing w:line="240" w:lineRule="auto"/>
              <w:rPr>
                <w:rFonts w:cs="Arial"/>
                <w:szCs w:val="24"/>
              </w:rPr>
            </w:pPr>
            <w:r w:rsidRPr="00711D24">
              <w:rPr>
                <w:rFonts w:cs="Arial"/>
                <w:szCs w:val="24"/>
              </w:rPr>
              <w:t>240</w:t>
            </w:r>
          </w:p>
        </w:tc>
      </w:tr>
      <w:tr w:rsidR="00711D24" w:rsidRPr="00711D24" w:rsidTr="00AA2E54">
        <w:trPr>
          <w:trHeight w:val="828"/>
        </w:trPr>
        <w:tc>
          <w:tcPr>
            <w:tcW w:w="3080" w:type="dxa"/>
          </w:tcPr>
          <w:p w:rsidR="00711D24" w:rsidRPr="00711D24" w:rsidRDefault="00711D24" w:rsidP="00711D24">
            <w:pPr>
              <w:spacing w:line="240" w:lineRule="auto"/>
              <w:rPr>
                <w:rFonts w:cs="Arial"/>
                <w:szCs w:val="24"/>
              </w:rPr>
            </w:pPr>
            <w:r w:rsidRPr="00711D24">
              <w:rPr>
                <w:rFonts w:cs="Arial"/>
                <w:szCs w:val="24"/>
              </w:rPr>
              <w:t>Gravesham</w:t>
            </w:r>
          </w:p>
        </w:tc>
        <w:tc>
          <w:tcPr>
            <w:tcW w:w="3081" w:type="dxa"/>
          </w:tcPr>
          <w:p w:rsidR="00711D24" w:rsidRPr="00711D24" w:rsidRDefault="00711D24" w:rsidP="00711D24">
            <w:pPr>
              <w:spacing w:line="240" w:lineRule="auto"/>
              <w:rPr>
                <w:rFonts w:cs="Arial"/>
                <w:szCs w:val="24"/>
              </w:rPr>
            </w:pPr>
            <w:r w:rsidRPr="00711D24">
              <w:rPr>
                <w:rFonts w:cs="Arial"/>
                <w:szCs w:val="24"/>
              </w:rPr>
              <w:t>431</w:t>
            </w:r>
          </w:p>
        </w:tc>
        <w:tc>
          <w:tcPr>
            <w:tcW w:w="3081" w:type="dxa"/>
          </w:tcPr>
          <w:p w:rsidR="00711D24" w:rsidRPr="00711D24" w:rsidRDefault="00711D24" w:rsidP="00711D24">
            <w:pPr>
              <w:spacing w:line="240" w:lineRule="auto"/>
              <w:rPr>
                <w:rFonts w:cs="Arial"/>
                <w:szCs w:val="24"/>
              </w:rPr>
            </w:pPr>
            <w:r w:rsidRPr="00711D24">
              <w:rPr>
                <w:rFonts w:cs="Arial"/>
                <w:szCs w:val="24"/>
              </w:rPr>
              <w:t>388</w:t>
            </w:r>
          </w:p>
        </w:tc>
      </w:tr>
      <w:tr w:rsidR="00711D24" w:rsidRPr="00711D24" w:rsidTr="00AA2E54">
        <w:trPr>
          <w:trHeight w:val="828"/>
        </w:trPr>
        <w:tc>
          <w:tcPr>
            <w:tcW w:w="3080" w:type="dxa"/>
          </w:tcPr>
          <w:p w:rsidR="00711D24" w:rsidRPr="00711D24" w:rsidRDefault="00711D24" w:rsidP="00711D24">
            <w:pPr>
              <w:spacing w:line="240" w:lineRule="auto"/>
              <w:rPr>
                <w:rFonts w:cs="Arial"/>
                <w:szCs w:val="24"/>
              </w:rPr>
            </w:pPr>
            <w:r w:rsidRPr="00711D24">
              <w:rPr>
                <w:rFonts w:cs="Arial"/>
                <w:szCs w:val="24"/>
              </w:rPr>
              <w:t>Maidstone</w:t>
            </w:r>
          </w:p>
        </w:tc>
        <w:tc>
          <w:tcPr>
            <w:tcW w:w="3081" w:type="dxa"/>
          </w:tcPr>
          <w:p w:rsidR="00711D24" w:rsidRPr="00711D24" w:rsidRDefault="00711D24" w:rsidP="00711D24">
            <w:pPr>
              <w:spacing w:line="240" w:lineRule="auto"/>
              <w:rPr>
                <w:rFonts w:cs="Arial"/>
                <w:szCs w:val="24"/>
              </w:rPr>
            </w:pPr>
            <w:r w:rsidRPr="00711D24">
              <w:rPr>
                <w:rFonts w:cs="Arial"/>
                <w:szCs w:val="24"/>
              </w:rPr>
              <w:t>564</w:t>
            </w:r>
          </w:p>
        </w:tc>
        <w:tc>
          <w:tcPr>
            <w:tcW w:w="3081" w:type="dxa"/>
          </w:tcPr>
          <w:p w:rsidR="00711D24" w:rsidRPr="00711D24" w:rsidRDefault="00711D24" w:rsidP="00711D24">
            <w:pPr>
              <w:spacing w:line="240" w:lineRule="auto"/>
              <w:rPr>
                <w:rFonts w:cs="Arial"/>
                <w:szCs w:val="24"/>
              </w:rPr>
            </w:pPr>
          </w:p>
        </w:tc>
      </w:tr>
      <w:tr w:rsidR="00711D24" w:rsidRPr="00711D24" w:rsidTr="00AA2E54">
        <w:trPr>
          <w:trHeight w:val="828"/>
        </w:trPr>
        <w:tc>
          <w:tcPr>
            <w:tcW w:w="3080" w:type="dxa"/>
          </w:tcPr>
          <w:p w:rsidR="00711D24" w:rsidRPr="00711D24" w:rsidRDefault="00711D24" w:rsidP="00711D24">
            <w:pPr>
              <w:spacing w:line="240" w:lineRule="auto"/>
              <w:rPr>
                <w:rFonts w:cs="Arial"/>
                <w:szCs w:val="24"/>
              </w:rPr>
            </w:pPr>
            <w:r w:rsidRPr="00711D24">
              <w:rPr>
                <w:rFonts w:cs="Arial"/>
                <w:szCs w:val="24"/>
              </w:rPr>
              <w:t>Sevenoaks</w:t>
            </w:r>
          </w:p>
        </w:tc>
        <w:tc>
          <w:tcPr>
            <w:tcW w:w="3081" w:type="dxa"/>
          </w:tcPr>
          <w:p w:rsidR="00711D24" w:rsidRPr="00711D24" w:rsidRDefault="00711D24" w:rsidP="00711D24">
            <w:pPr>
              <w:spacing w:line="240" w:lineRule="auto"/>
              <w:rPr>
                <w:rFonts w:cs="Arial"/>
                <w:szCs w:val="24"/>
              </w:rPr>
            </w:pPr>
            <w:r w:rsidRPr="00711D24">
              <w:rPr>
                <w:rFonts w:cs="Arial"/>
                <w:szCs w:val="24"/>
              </w:rPr>
              <w:t>477</w:t>
            </w:r>
          </w:p>
        </w:tc>
        <w:tc>
          <w:tcPr>
            <w:tcW w:w="3081" w:type="dxa"/>
          </w:tcPr>
          <w:p w:rsidR="00711D24" w:rsidRPr="00711D24" w:rsidRDefault="00711D24" w:rsidP="00711D24">
            <w:pPr>
              <w:spacing w:line="240" w:lineRule="auto"/>
              <w:rPr>
                <w:rFonts w:cs="Arial"/>
                <w:szCs w:val="24"/>
              </w:rPr>
            </w:pPr>
            <w:r w:rsidRPr="00711D24">
              <w:rPr>
                <w:rFonts w:cs="Arial"/>
                <w:szCs w:val="24"/>
              </w:rPr>
              <w:t>57</w:t>
            </w:r>
          </w:p>
        </w:tc>
      </w:tr>
      <w:tr w:rsidR="00711D24" w:rsidRPr="00711D24" w:rsidTr="00AA2E54">
        <w:trPr>
          <w:trHeight w:val="828"/>
        </w:trPr>
        <w:tc>
          <w:tcPr>
            <w:tcW w:w="3080" w:type="dxa"/>
          </w:tcPr>
          <w:p w:rsidR="00711D24" w:rsidRPr="00711D24" w:rsidRDefault="00711D24" w:rsidP="00711D24">
            <w:pPr>
              <w:spacing w:line="240" w:lineRule="auto"/>
              <w:rPr>
                <w:rFonts w:cs="Arial"/>
                <w:szCs w:val="24"/>
              </w:rPr>
            </w:pPr>
            <w:r w:rsidRPr="00711D24">
              <w:rPr>
                <w:rFonts w:cs="Arial"/>
                <w:szCs w:val="24"/>
              </w:rPr>
              <w:t>Shepway</w:t>
            </w:r>
          </w:p>
        </w:tc>
        <w:tc>
          <w:tcPr>
            <w:tcW w:w="3081" w:type="dxa"/>
          </w:tcPr>
          <w:p w:rsidR="00711D24" w:rsidRPr="00711D24" w:rsidRDefault="00711D24" w:rsidP="00711D24">
            <w:pPr>
              <w:spacing w:line="240" w:lineRule="auto"/>
              <w:rPr>
                <w:rFonts w:cs="Arial"/>
                <w:szCs w:val="24"/>
              </w:rPr>
            </w:pPr>
            <w:r w:rsidRPr="00711D24">
              <w:rPr>
                <w:rFonts w:cs="Arial"/>
                <w:szCs w:val="24"/>
              </w:rPr>
              <w:t>622</w:t>
            </w:r>
          </w:p>
        </w:tc>
        <w:tc>
          <w:tcPr>
            <w:tcW w:w="3081" w:type="dxa"/>
          </w:tcPr>
          <w:p w:rsidR="00711D24" w:rsidRPr="00711D24" w:rsidRDefault="00711D24" w:rsidP="00711D24">
            <w:pPr>
              <w:spacing w:line="240" w:lineRule="auto"/>
              <w:rPr>
                <w:rFonts w:cs="Arial"/>
                <w:szCs w:val="24"/>
              </w:rPr>
            </w:pPr>
            <w:r w:rsidRPr="00711D24">
              <w:rPr>
                <w:rFonts w:cs="Arial"/>
                <w:szCs w:val="24"/>
              </w:rPr>
              <w:t>0</w:t>
            </w:r>
          </w:p>
        </w:tc>
      </w:tr>
      <w:tr w:rsidR="00711D24" w:rsidRPr="00711D24" w:rsidTr="00AA2E54">
        <w:trPr>
          <w:trHeight w:val="828"/>
        </w:trPr>
        <w:tc>
          <w:tcPr>
            <w:tcW w:w="3080" w:type="dxa"/>
          </w:tcPr>
          <w:p w:rsidR="00711D24" w:rsidRPr="00711D24" w:rsidRDefault="00711D24" w:rsidP="00711D24">
            <w:pPr>
              <w:spacing w:line="240" w:lineRule="auto"/>
              <w:rPr>
                <w:rFonts w:cs="Arial"/>
                <w:szCs w:val="24"/>
              </w:rPr>
            </w:pPr>
            <w:r w:rsidRPr="00711D24">
              <w:rPr>
                <w:rFonts w:cs="Arial"/>
                <w:szCs w:val="24"/>
              </w:rPr>
              <w:t>Swale</w:t>
            </w:r>
          </w:p>
        </w:tc>
        <w:tc>
          <w:tcPr>
            <w:tcW w:w="3081" w:type="dxa"/>
          </w:tcPr>
          <w:p w:rsidR="00711D24" w:rsidRPr="00711D24" w:rsidRDefault="00711D24" w:rsidP="00711D24">
            <w:pPr>
              <w:spacing w:line="240" w:lineRule="auto"/>
              <w:rPr>
                <w:rFonts w:cs="Arial"/>
                <w:szCs w:val="24"/>
              </w:rPr>
            </w:pPr>
            <w:r w:rsidRPr="00711D24">
              <w:rPr>
                <w:rFonts w:cs="Arial"/>
                <w:szCs w:val="24"/>
              </w:rPr>
              <w:t>1,040</w:t>
            </w:r>
          </w:p>
        </w:tc>
        <w:tc>
          <w:tcPr>
            <w:tcW w:w="3081" w:type="dxa"/>
          </w:tcPr>
          <w:p w:rsidR="00711D24" w:rsidRPr="00711D24" w:rsidRDefault="00711D24" w:rsidP="00711D24">
            <w:pPr>
              <w:spacing w:line="240" w:lineRule="auto"/>
              <w:rPr>
                <w:rFonts w:cs="Arial"/>
                <w:szCs w:val="24"/>
              </w:rPr>
            </w:pPr>
            <w:r w:rsidRPr="00711D24">
              <w:rPr>
                <w:rFonts w:cs="Arial"/>
                <w:szCs w:val="24"/>
              </w:rPr>
              <w:t>192</w:t>
            </w:r>
          </w:p>
        </w:tc>
      </w:tr>
      <w:tr w:rsidR="00711D24" w:rsidRPr="00711D24" w:rsidTr="00AA2E54">
        <w:trPr>
          <w:trHeight w:val="828"/>
        </w:trPr>
        <w:tc>
          <w:tcPr>
            <w:tcW w:w="3080" w:type="dxa"/>
          </w:tcPr>
          <w:p w:rsidR="00711D24" w:rsidRPr="00711D24" w:rsidRDefault="00711D24" w:rsidP="00711D24">
            <w:pPr>
              <w:spacing w:line="240" w:lineRule="auto"/>
              <w:rPr>
                <w:rFonts w:cs="Arial"/>
                <w:szCs w:val="24"/>
              </w:rPr>
            </w:pPr>
            <w:r w:rsidRPr="00711D24">
              <w:rPr>
                <w:rFonts w:cs="Arial"/>
                <w:szCs w:val="24"/>
              </w:rPr>
              <w:t>Thanet</w:t>
            </w:r>
          </w:p>
        </w:tc>
        <w:tc>
          <w:tcPr>
            <w:tcW w:w="3081" w:type="dxa"/>
          </w:tcPr>
          <w:p w:rsidR="00711D24" w:rsidRPr="00711D24" w:rsidRDefault="00711D24" w:rsidP="00711D24">
            <w:pPr>
              <w:spacing w:line="240" w:lineRule="auto"/>
              <w:rPr>
                <w:rFonts w:cs="Arial"/>
                <w:szCs w:val="24"/>
              </w:rPr>
            </w:pPr>
            <w:r w:rsidRPr="00711D24">
              <w:rPr>
                <w:rFonts w:cs="Arial"/>
                <w:szCs w:val="24"/>
              </w:rPr>
              <w:t>1,277</w:t>
            </w:r>
          </w:p>
        </w:tc>
        <w:tc>
          <w:tcPr>
            <w:tcW w:w="3081" w:type="dxa"/>
          </w:tcPr>
          <w:p w:rsidR="00711D24" w:rsidRPr="00711D24" w:rsidRDefault="00711D24" w:rsidP="00711D24">
            <w:pPr>
              <w:spacing w:line="240" w:lineRule="auto"/>
              <w:rPr>
                <w:rFonts w:cs="Arial"/>
                <w:szCs w:val="24"/>
              </w:rPr>
            </w:pPr>
            <w:r w:rsidRPr="00711D24">
              <w:rPr>
                <w:rFonts w:cs="Arial"/>
                <w:szCs w:val="24"/>
              </w:rPr>
              <w:t>398</w:t>
            </w:r>
          </w:p>
        </w:tc>
      </w:tr>
      <w:tr w:rsidR="00711D24" w:rsidRPr="00711D24" w:rsidTr="00AA2E54">
        <w:trPr>
          <w:trHeight w:val="828"/>
        </w:trPr>
        <w:tc>
          <w:tcPr>
            <w:tcW w:w="3080" w:type="dxa"/>
          </w:tcPr>
          <w:p w:rsidR="00711D24" w:rsidRPr="00711D24" w:rsidRDefault="00711D24" w:rsidP="00711D24">
            <w:pPr>
              <w:spacing w:line="240" w:lineRule="auto"/>
              <w:rPr>
                <w:rFonts w:cs="Arial"/>
                <w:szCs w:val="24"/>
              </w:rPr>
            </w:pPr>
            <w:r w:rsidRPr="00711D24">
              <w:rPr>
                <w:rFonts w:cs="Arial"/>
                <w:szCs w:val="24"/>
              </w:rPr>
              <w:t>Tonbridge &amp; Malling</w:t>
            </w:r>
          </w:p>
        </w:tc>
        <w:tc>
          <w:tcPr>
            <w:tcW w:w="3081" w:type="dxa"/>
          </w:tcPr>
          <w:p w:rsidR="00711D24" w:rsidRPr="00711D24" w:rsidRDefault="00711D24" w:rsidP="00711D24">
            <w:pPr>
              <w:spacing w:line="240" w:lineRule="auto"/>
              <w:rPr>
                <w:rFonts w:cs="Arial"/>
                <w:szCs w:val="24"/>
              </w:rPr>
            </w:pPr>
            <w:r w:rsidRPr="00711D24">
              <w:rPr>
                <w:rFonts w:cs="Arial"/>
                <w:szCs w:val="24"/>
              </w:rPr>
              <w:t>490</w:t>
            </w:r>
          </w:p>
        </w:tc>
        <w:tc>
          <w:tcPr>
            <w:tcW w:w="3081" w:type="dxa"/>
          </w:tcPr>
          <w:p w:rsidR="00711D24" w:rsidRPr="00711D24" w:rsidRDefault="00711D24" w:rsidP="00711D24">
            <w:pPr>
              <w:spacing w:line="240" w:lineRule="auto"/>
              <w:rPr>
                <w:rFonts w:cs="Arial"/>
                <w:szCs w:val="24"/>
              </w:rPr>
            </w:pPr>
            <w:r w:rsidRPr="00711D24">
              <w:rPr>
                <w:rFonts w:cs="Arial"/>
                <w:szCs w:val="24"/>
              </w:rPr>
              <w:t>280</w:t>
            </w:r>
          </w:p>
        </w:tc>
      </w:tr>
      <w:tr w:rsidR="00711D24" w:rsidRPr="00711D24" w:rsidTr="00AA2E54">
        <w:trPr>
          <w:trHeight w:val="828"/>
        </w:trPr>
        <w:tc>
          <w:tcPr>
            <w:tcW w:w="3080" w:type="dxa"/>
          </w:tcPr>
          <w:p w:rsidR="00711D24" w:rsidRPr="00711D24" w:rsidRDefault="00711D24" w:rsidP="00711D24">
            <w:pPr>
              <w:spacing w:line="240" w:lineRule="auto"/>
              <w:rPr>
                <w:rFonts w:cs="Arial"/>
                <w:szCs w:val="24"/>
              </w:rPr>
            </w:pPr>
            <w:r w:rsidRPr="00711D24">
              <w:rPr>
                <w:rFonts w:cs="Arial"/>
                <w:szCs w:val="24"/>
              </w:rPr>
              <w:t>Tunbridge Wells</w:t>
            </w:r>
          </w:p>
        </w:tc>
        <w:tc>
          <w:tcPr>
            <w:tcW w:w="3081" w:type="dxa"/>
          </w:tcPr>
          <w:p w:rsidR="00711D24" w:rsidRPr="00711D24" w:rsidRDefault="00711D24" w:rsidP="00711D24">
            <w:pPr>
              <w:spacing w:line="240" w:lineRule="auto"/>
              <w:rPr>
                <w:rFonts w:cs="Arial"/>
                <w:szCs w:val="24"/>
              </w:rPr>
            </w:pPr>
            <w:r w:rsidRPr="00711D24">
              <w:rPr>
                <w:rFonts w:cs="Arial"/>
                <w:szCs w:val="24"/>
              </w:rPr>
              <w:t>519</w:t>
            </w:r>
          </w:p>
        </w:tc>
        <w:tc>
          <w:tcPr>
            <w:tcW w:w="3081" w:type="dxa"/>
          </w:tcPr>
          <w:p w:rsidR="00711D24" w:rsidRPr="00711D24" w:rsidRDefault="00711D24" w:rsidP="00711D24">
            <w:pPr>
              <w:spacing w:line="240" w:lineRule="auto"/>
              <w:rPr>
                <w:rFonts w:cs="Arial"/>
                <w:szCs w:val="24"/>
              </w:rPr>
            </w:pPr>
            <w:r w:rsidRPr="00711D24">
              <w:rPr>
                <w:rFonts w:cs="Arial"/>
                <w:szCs w:val="24"/>
              </w:rPr>
              <w:t>81</w:t>
            </w:r>
          </w:p>
        </w:tc>
      </w:tr>
      <w:tr w:rsidR="00711D24" w:rsidRPr="00711D24" w:rsidTr="00AA2E54">
        <w:trPr>
          <w:trHeight w:val="828"/>
        </w:trPr>
        <w:tc>
          <w:tcPr>
            <w:tcW w:w="3080" w:type="dxa"/>
          </w:tcPr>
          <w:p w:rsidR="00711D24" w:rsidRPr="00711D24" w:rsidRDefault="00711D24" w:rsidP="00711D24">
            <w:pPr>
              <w:spacing w:line="240" w:lineRule="auto"/>
              <w:rPr>
                <w:rFonts w:cs="Arial"/>
                <w:b/>
                <w:szCs w:val="24"/>
              </w:rPr>
            </w:pPr>
            <w:r w:rsidRPr="00711D24">
              <w:rPr>
                <w:rFonts w:cs="Arial"/>
                <w:b/>
                <w:szCs w:val="24"/>
              </w:rPr>
              <w:t>Total</w:t>
            </w:r>
          </w:p>
        </w:tc>
        <w:tc>
          <w:tcPr>
            <w:tcW w:w="3081" w:type="dxa"/>
          </w:tcPr>
          <w:p w:rsidR="00711D24" w:rsidRPr="00711D24" w:rsidRDefault="00711D24" w:rsidP="00AA2E54">
            <w:pPr>
              <w:spacing w:line="240" w:lineRule="auto"/>
              <w:rPr>
                <w:rFonts w:cs="Arial"/>
                <w:b/>
                <w:szCs w:val="24"/>
              </w:rPr>
            </w:pPr>
            <w:r w:rsidRPr="00711D24">
              <w:rPr>
                <w:rFonts w:cs="Arial"/>
                <w:b/>
                <w:szCs w:val="24"/>
              </w:rPr>
              <w:t>7</w:t>
            </w:r>
            <w:r w:rsidR="00AA2E54" w:rsidRPr="00AA2E54">
              <w:rPr>
                <w:rFonts w:cs="Arial"/>
                <w:b/>
                <w:szCs w:val="24"/>
              </w:rPr>
              <w:t>,</w:t>
            </w:r>
            <w:r w:rsidRPr="00711D24">
              <w:rPr>
                <w:rFonts w:cs="Arial"/>
                <w:b/>
                <w:szCs w:val="24"/>
              </w:rPr>
              <w:t>208</w:t>
            </w:r>
          </w:p>
        </w:tc>
        <w:tc>
          <w:tcPr>
            <w:tcW w:w="3081" w:type="dxa"/>
          </w:tcPr>
          <w:p w:rsidR="00711D24" w:rsidRPr="00711D24" w:rsidRDefault="00AA2E54" w:rsidP="00AA2E54">
            <w:pPr>
              <w:spacing w:line="240" w:lineRule="auto"/>
              <w:rPr>
                <w:rFonts w:cs="Arial"/>
                <w:b/>
                <w:szCs w:val="24"/>
              </w:rPr>
            </w:pPr>
            <w:r w:rsidRPr="00AA2E54">
              <w:rPr>
                <w:rFonts w:cs="Arial"/>
                <w:b/>
                <w:szCs w:val="24"/>
              </w:rPr>
              <w:t>2,278</w:t>
            </w:r>
          </w:p>
        </w:tc>
      </w:tr>
    </w:tbl>
    <w:p w:rsidR="00711D24" w:rsidRDefault="00711D24" w:rsidP="00F33096">
      <w:pPr>
        <w:rPr>
          <w:rFonts w:cs="Arial"/>
          <w:szCs w:val="24"/>
        </w:rPr>
      </w:pPr>
    </w:p>
    <w:sectPr w:rsidR="00711D24" w:rsidSect="000E3ACF">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276" w:left="1304" w:header="227" w:footer="28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7C3" w:rsidRDefault="00DE27C3">
      <w:r>
        <w:separator/>
      </w:r>
    </w:p>
  </w:endnote>
  <w:endnote w:type="continuationSeparator" w:id="0">
    <w:p w:rsidR="00DE27C3" w:rsidRDefault="00DE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6B" w:rsidRDefault="002D4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842344"/>
      <w:docPartObj>
        <w:docPartGallery w:val="Page Numbers (Bottom of Page)"/>
        <w:docPartUnique/>
      </w:docPartObj>
    </w:sdtPr>
    <w:sdtEndPr>
      <w:rPr>
        <w:noProof/>
      </w:rPr>
    </w:sdtEndPr>
    <w:sdtContent>
      <w:p w:rsidR="00C808E9" w:rsidRDefault="003515A2">
        <w:pPr>
          <w:pStyle w:val="Footer"/>
          <w:jc w:val="right"/>
        </w:pPr>
        <w:r>
          <w:fldChar w:fldCharType="begin"/>
        </w:r>
        <w:r w:rsidR="00C808E9">
          <w:instrText xml:space="preserve"> PAGE   \* MERGEFORMAT </w:instrText>
        </w:r>
        <w:r>
          <w:fldChar w:fldCharType="separate"/>
        </w:r>
        <w:r w:rsidR="00A642B8">
          <w:rPr>
            <w:noProof/>
          </w:rPr>
          <w:t>8</w:t>
        </w:r>
        <w:r>
          <w:rPr>
            <w:noProof/>
          </w:rPr>
          <w:fldChar w:fldCharType="end"/>
        </w:r>
      </w:p>
    </w:sdtContent>
  </w:sdt>
  <w:p w:rsidR="00CD7B21" w:rsidRPr="00CD7B21" w:rsidRDefault="00CD7B21" w:rsidP="00CD7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49288"/>
      <w:docPartObj>
        <w:docPartGallery w:val="Page Numbers (Bottom of Page)"/>
        <w:docPartUnique/>
      </w:docPartObj>
    </w:sdtPr>
    <w:sdtEndPr>
      <w:rPr>
        <w:noProof/>
      </w:rPr>
    </w:sdtEndPr>
    <w:sdtContent>
      <w:p w:rsidR="000F0606" w:rsidRDefault="003515A2">
        <w:pPr>
          <w:pStyle w:val="Footer"/>
          <w:jc w:val="center"/>
        </w:pPr>
        <w:r>
          <w:fldChar w:fldCharType="begin"/>
        </w:r>
        <w:r w:rsidR="000F0606">
          <w:instrText xml:space="preserve"> PAGE   \* MERGEFORMAT </w:instrText>
        </w:r>
        <w:r>
          <w:fldChar w:fldCharType="separate"/>
        </w:r>
        <w:r w:rsidR="00A642B8">
          <w:rPr>
            <w:noProof/>
          </w:rPr>
          <w:t>1</w:t>
        </w:r>
        <w:r>
          <w:rPr>
            <w:noProof/>
          </w:rPr>
          <w:fldChar w:fldCharType="end"/>
        </w:r>
      </w:p>
    </w:sdtContent>
  </w:sdt>
  <w:p w:rsidR="00CD7B21" w:rsidRPr="00CD7B21" w:rsidRDefault="00CD7B21" w:rsidP="00CD7B21">
    <w:pPr>
      <w:pStyle w:val="Footer"/>
      <w:tabs>
        <w:tab w:val="center" w:pos="4678"/>
      </w:tabs>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7C3" w:rsidRDefault="00DE27C3">
      <w:r>
        <w:separator/>
      </w:r>
    </w:p>
  </w:footnote>
  <w:footnote w:type="continuationSeparator" w:id="0">
    <w:p w:rsidR="00DE27C3" w:rsidRDefault="00DE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6B" w:rsidRDefault="002D4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21" w:rsidRDefault="00CD7B21">
    <w:pPr>
      <w:pStyle w:val="Header"/>
      <w:tabs>
        <w:tab w:val="clear" w:pos="4153"/>
        <w:tab w:val="clear" w:pos="8306"/>
        <w:tab w:val="center" w:pos="4678"/>
        <w:tab w:val="right" w:pos="9356"/>
      </w:tabs>
      <w:rPr>
        <w:sz w:val="28"/>
      </w:rPr>
    </w:pPr>
    <w:r>
      <w:rPr>
        <w:rStyle w:val="PageNumber"/>
      </w:rPr>
      <w:tab/>
    </w:r>
    <w:r>
      <w:rPr>
        <w:rStyle w:val="PageNumber"/>
      </w:rPr>
      <w:tab/>
    </w:r>
    <w:r w:rsidR="003515A2">
      <w:rPr>
        <w:sz w:val="28"/>
      </w:rPr>
      <w:fldChar w:fldCharType="begin"/>
    </w:r>
    <w:r>
      <w:rPr>
        <w:sz w:val="28"/>
      </w:rPr>
      <w:instrText xml:space="preserve"> IF type = 2 "Not for Publication" "" \* MERGEFORMAT </w:instrText>
    </w:r>
    <w:r w:rsidR="003515A2">
      <w:rPr>
        <w:sz w:val="28"/>
      </w:rPr>
      <w:fldChar w:fldCharType="end"/>
    </w:r>
  </w:p>
  <w:p w:rsidR="00CD7B21" w:rsidRDefault="00CD7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21" w:rsidRDefault="00A642B8">
    <w:pPr>
      <w:pStyle w:val="Header"/>
      <w:tabs>
        <w:tab w:val="clear" w:pos="4153"/>
        <w:tab w:val="clear" w:pos="8306"/>
        <w:tab w:val="center" w:pos="4678"/>
        <w:tab w:val="right" w:pos="9356"/>
      </w:tabs>
    </w:pPr>
    <w:sdt>
      <w:sdtPr>
        <w:id w:val="-1866674748"/>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D7B21">
      <w:tab/>
    </w:r>
    <w:r w:rsidR="00CD7B21">
      <w:rPr>
        <w:sz w:val="28"/>
      </w:rPr>
      <w:tab/>
    </w:r>
    <w:r w:rsidR="003515A2">
      <w:rPr>
        <w:sz w:val="28"/>
      </w:rPr>
      <w:fldChar w:fldCharType="begin"/>
    </w:r>
    <w:r w:rsidR="00CD7B21">
      <w:rPr>
        <w:sz w:val="28"/>
      </w:rPr>
      <w:instrText xml:space="preserve"> IF type = 2 "Not for Publication" "" \* MERGEFORMAT </w:instrText>
    </w:r>
    <w:r w:rsidR="003515A2">
      <w:rPr>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6E4EE0"/>
    <w:lvl w:ilvl="0">
      <w:start w:val="1"/>
      <w:numFmt w:val="bullet"/>
      <w:lvlText w:val=""/>
      <w:lvlJc w:val="left"/>
      <w:pPr>
        <w:tabs>
          <w:tab w:val="num" w:pos="360"/>
        </w:tabs>
        <w:ind w:left="360" w:hanging="360"/>
      </w:pPr>
      <w:rPr>
        <w:rFonts w:ascii="Symbol" w:hAnsi="Symbol" w:hint="default"/>
      </w:rPr>
    </w:lvl>
  </w:abstractNum>
  <w:abstractNum w:abstractNumId="1">
    <w:nsid w:val="0CE85153"/>
    <w:multiLevelType w:val="hybridMultilevel"/>
    <w:tmpl w:val="02AE1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D20EC0"/>
    <w:multiLevelType w:val="hybridMultilevel"/>
    <w:tmpl w:val="D46E1A3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E907CC"/>
    <w:multiLevelType w:val="hybridMultilevel"/>
    <w:tmpl w:val="3B0CB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993C5A"/>
    <w:multiLevelType w:val="multilevel"/>
    <w:tmpl w:val="3E9AEF28"/>
    <w:lvl w:ilvl="0">
      <w:start w:val="1"/>
      <w:numFmt w:val="decimal"/>
      <w:lvlText w:val="%1."/>
      <w:lvlJc w:val="left"/>
      <w:pPr>
        <w:tabs>
          <w:tab w:val="num" w:pos="720"/>
        </w:tabs>
        <w:ind w:left="720" w:hanging="720"/>
      </w:pPr>
      <w:rPr>
        <w:b/>
        <w:i w:val="0"/>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440" w:hanging="720"/>
      </w:pPr>
    </w:lvl>
    <w:lvl w:ilvl="5">
      <w:start w:val="1"/>
      <w:numFmt w:val="decimal"/>
      <w:lvlText w:val="%1.%2.%3.%4.%5.%6."/>
      <w:lvlJc w:val="left"/>
      <w:pPr>
        <w:tabs>
          <w:tab w:val="num" w:pos="1800"/>
        </w:tabs>
        <w:ind w:left="1440" w:hanging="720"/>
      </w:pPr>
    </w:lvl>
    <w:lvl w:ilvl="6">
      <w:start w:val="1"/>
      <w:numFmt w:val="decimal"/>
      <w:lvlText w:val="%1.%2.%3.%4.%5.%6.%7."/>
      <w:lvlJc w:val="left"/>
      <w:pPr>
        <w:tabs>
          <w:tab w:val="num" w:pos="2160"/>
        </w:tabs>
        <w:ind w:left="1440" w:hanging="720"/>
      </w:pPr>
    </w:lvl>
    <w:lvl w:ilvl="7">
      <w:start w:val="1"/>
      <w:numFmt w:val="decimal"/>
      <w:lvlText w:val="%1.%2.%3.%4.%5.%6.%7.%8."/>
      <w:lvlJc w:val="left"/>
      <w:pPr>
        <w:tabs>
          <w:tab w:val="num" w:pos="2160"/>
        </w:tabs>
        <w:ind w:left="1440" w:hanging="720"/>
      </w:pPr>
    </w:lvl>
    <w:lvl w:ilvl="8">
      <w:start w:val="1"/>
      <w:numFmt w:val="decimal"/>
      <w:lvlText w:val="%1.%2.%3.%4.%5.%6.%7.%8.%9."/>
      <w:lvlJc w:val="left"/>
      <w:pPr>
        <w:tabs>
          <w:tab w:val="num" w:pos="2520"/>
        </w:tabs>
        <w:ind w:left="1440" w:hanging="720"/>
      </w:pPr>
    </w:lvl>
  </w:abstractNum>
  <w:abstractNum w:abstractNumId="5">
    <w:nsid w:val="19272863"/>
    <w:multiLevelType w:val="hybridMultilevel"/>
    <w:tmpl w:val="59C4179E"/>
    <w:lvl w:ilvl="0" w:tplc="90BE5E3E">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BD035B3"/>
    <w:multiLevelType w:val="hybridMultilevel"/>
    <w:tmpl w:val="989C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9C1250"/>
    <w:multiLevelType w:val="multilevel"/>
    <w:tmpl w:val="BC5A452C"/>
    <w:lvl w:ilvl="0">
      <w:start w:val="1"/>
      <w:numFmt w:val="decimal"/>
      <w:pStyle w:val="ReportLevel1"/>
      <w:lvlText w:val="%1"/>
      <w:lvlJc w:val="left"/>
      <w:pPr>
        <w:tabs>
          <w:tab w:val="num" w:pos="720"/>
        </w:tabs>
        <w:ind w:left="720" w:hanging="720"/>
      </w:pPr>
      <w:rPr>
        <w:rFonts w:ascii="Arial" w:hAnsi="Arial" w:hint="default"/>
        <w:b/>
        <w:i w:val="0"/>
        <w:spacing w:val="-18"/>
        <w:sz w:val="24"/>
        <w:u w:val="none"/>
      </w:rPr>
    </w:lvl>
    <w:lvl w:ilvl="1">
      <w:start w:val="1"/>
      <w:numFmt w:val="decimal"/>
      <w:pStyle w:val="ReportLevel2"/>
      <w:lvlText w:val="%1.%2"/>
      <w:lvlJc w:val="left"/>
      <w:pPr>
        <w:tabs>
          <w:tab w:val="num" w:pos="720"/>
        </w:tabs>
        <w:ind w:left="720" w:hanging="720"/>
      </w:pPr>
      <w:rPr>
        <w:rFonts w:ascii="Arial" w:hAnsi="Arial" w:hint="default"/>
        <w:b/>
        <w:i w:val="0"/>
        <w:spacing w:val="-18"/>
        <w:sz w:val="24"/>
      </w:rPr>
    </w:lvl>
    <w:lvl w:ilvl="2">
      <w:start w:val="1"/>
      <w:numFmt w:val="decimal"/>
      <w:pStyle w:val="ReportLevel3"/>
      <w:lvlText w:val="%1.%2.%3"/>
      <w:lvlJc w:val="left"/>
      <w:pPr>
        <w:tabs>
          <w:tab w:val="num" w:pos="720"/>
        </w:tabs>
        <w:ind w:left="720" w:hanging="720"/>
      </w:pPr>
      <w:rPr>
        <w:rFonts w:ascii="Arial" w:hAnsi="Arial" w:hint="default"/>
        <w:b w:val="0"/>
        <w:i w:val="0"/>
        <w:spacing w:val="-18"/>
        <w:sz w:val="24"/>
      </w:rPr>
    </w:lvl>
    <w:lvl w:ilvl="3">
      <w:start w:val="1"/>
      <w:numFmt w:val="bullet"/>
      <w:lvlText w:val=""/>
      <w:lvlJc w:val="left"/>
      <w:pPr>
        <w:tabs>
          <w:tab w:val="num" w:pos="1440"/>
        </w:tabs>
        <w:ind w:left="1440" w:hanging="720"/>
      </w:pPr>
      <w:rPr>
        <w:rFonts w:ascii="Symbol" w:hAnsi="Symbol" w:hint="default"/>
        <w:b w:val="0"/>
        <w:i w:val="0"/>
        <w:sz w:val="24"/>
      </w:rPr>
    </w:lvl>
    <w:lvl w:ilvl="4">
      <w:start w:val="1"/>
      <w:numFmt w:val="decimal"/>
      <w:pStyle w:val="ListNumbered"/>
      <w:lvlText w:val="%5)"/>
      <w:lvlJc w:val="left"/>
      <w:pPr>
        <w:tabs>
          <w:tab w:val="num" w:pos="1440"/>
        </w:tabs>
        <w:ind w:left="1440" w:hanging="720"/>
      </w:pPr>
      <w:rPr>
        <w:rFonts w:ascii="Arial" w:hAnsi="Arial" w:hint="default"/>
        <w:b w:val="0"/>
        <w:i w:val="0"/>
        <w:spacing w:val="-18"/>
        <w:sz w:val="24"/>
      </w:rPr>
    </w:lvl>
    <w:lvl w:ilvl="5">
      <w:start w:val="1"/>
      <w:numFmt w:val="none"/>
      <w:lvlText w:val=""/>
      <w:lvlJc w:val="left"/>
      <w:pPr>
        <w:tabs>
          <w:tab w:val="num" w:pos="1440"/>
        </w:tabs>
        <w:ind w:left="1440" w:hanging="720"/>
      </w:pPr>
      <w:rPr>
        <w:rFonts w:hint="default"/>
      </w:rPr>
    </w:lvl>
    <w:lvl w:ilvl="6">
      <w:start w:val="1"/>
      <w:numFmt w:val="none"/>
      <w:lvlText w:val=""/>
      <w:lvlJc w:val="left"/>
      <w:pPr>
        <w:tabs>
          <w:tab w:val="num" w:pos="1440"/>
        </w:tabs>
        <w:ind w:left="1440" w:hanging="720"/>
      </w:pPr>
      <w:rPr>
        <w:rFonts w:hint="default"/>
      </w:rPr>
    </w:lvl>
    <w:lvl w:ilvl="7">
      <w:start w:val="1"/>
      <w:numFmt w:val="none"/>
      <w:lvlText w:val=""/>
      <w:lvlJc w:val="left"/>
      <w:pPr>
        <w:tabs>
          <w:tab w:val="num" w:pos="1440"/>
        </w:tabs>
        <w:ind w:left="1440" w:hanging="720"/>
      </w:pPr>
      <w:rPr>
        <w:rFonts w:hint="default"/>
      </w:rPr>
    </w:lvl>
    <w:lvl w:ilvl="8">
      <w:start w:val="1"/>
      <w:numFmt w:val="none"/>
      <w:lvlText w:val=""/>
      <w:lvlJc w:val="left"/>
      <w:pPr>
        <w:tabs>
          <w:tab w:val="num" w:pos="1440"/>
        </w:tabs>
        <w:ind w:left="1440" w:hanging="720"/>
      </w:pPr>
      <w:rPr>
        <w:rFonts w:hint="default"/>
      </w:rPr>
    </w:lvl>
  </w:abstractNum>
  <w:abstractNum w:abstractNumId="8">
    <w:nsid w:val="39FE0F52"/>
    <w:multiLevelType w:val="hybridMultilevel"/>
    <w:tmpl w:val="719270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9E721AE"/>
    <w:multiLevelType w:val="hybridMultilevel"/>
    <w:tmpl w:val="6CA209B6"/>
    <w:lvl w:ilvl="0" w:tplc="08090001">
      <w:start w:val="1"/>
      <w:numFmt w:val="bullet"/>
      <w:lvlText w:val=""/>
      <w:lvlJc w:val="left"/>
      <w:pPr>
        <w:ind w:left="360" w:hanging="360"/>
      </w:pPr>
      <w:rPr>
        <w:rFonts w:ascii="Symbol" w:hAnsi="Symbol" w:hint="default"/>
      </w:rPr>
    </w:lvl>
    <w:lvl w:ilvl="1" w:tplc="2DF0C1E8">
      <w:numFmt w:val="bullet"/>
      <w:lvlText w:val="-"/>
      <w:lvlJc w:val="left"/>
      <w:pPr>
        <w:ind w:left="1080" w:hanging="360"/>
      </w:pPr>
      <w:rPr>
        <w:rFonts w:ascii="Times New Roman" w:eastAsiaTheme="minorHAns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7"/>
  </w:num>
  <w:num w:numId="4">
    <w:abstractNumId w:val="7"/>
  </w:num>
  <w:num w:numId="5">
    <w:abstractNumId w:val="7"/>
  </w:num>
  <w:num w:numId="6">
    <w:abstractNumId w:val="7"/>
  </w:num>
  <w:num w:numId="7">
    <w:abstractNumId w:val="4"/>
  </w:num>
  <w:num w:numId="8">
    <w:abstractNumId w:val="7"/>
  </w:num>
  <w:num w:numId="9">
    <w:abstractNumId w:val="7"/>
  </w:num>
  <w:num w:numId="10">
    <w:abstractNumId w:val="7"/>
  </w:num>
  <w:num w:numId="11">
    <w:abstractNumId w:val="7"/>
  </w:num>
  <w:num w:numId="12">
    <w:abstractNumId w:val="7"/>
  </w:num>
  <w:num w:numId="13">
    <w:abstractNumId w:val="2"/>
  </w:num>
  <w:num w:numId="14">
    <w:abstractNumId w:val="6"/>
  </w:num>
  <w:num w:numId="15">
    <w:abstractNumId w:val="9"/>
  </w:num>
  <w:num w:numId="16">
    <w:abstractNumId w:val="3"/>
  </w:num>
  <w:num w:numId="17">
    <w:abstractNumId w:val="1"/>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13E2"/>
    <w:rsid w:val="0001540A"/>
    <w:rsid w:val="00020369"/>
    <w:rsid w:val="00042436"/>
    <w:rsid w:val="00052342"/>
    <w:rsid w:val="00055296"/>
    <w:rsid w:val="000913E2"/>
    <w:rsid w:val="000D5B37"/>
    <w:rsid w:val="000E14D6"/>
    <w:rsid w:val="000E3ACF"/>
    <w:rsid w:val="000F0606"/>
    <w:rsid w:val="001212AB"/>
    <w:rsid w:val="001327D1"/>
    <w:rsid w:val="00153161"/>
    <w:rsid w:val="001777EB"/>
    <w:rsid w:val="00181C51"/>
    <w:rsid w:val="001A1A76"/>
    <w:rsid w:val="001D4D9D"/>
    <w:rsid w:val="0022454D"/>
    <w:rsid w:val="00225834"/>
    <w:rsid w:val="00250025"/>
    <w:rsid w:val="002656A3"/>
    <w:rsid w:val="00291D4F"/>
    <w:rsid w:val="002B0CCD"/>
    <w:rsid w:val="002D446B"/>
    <w:rsid w:val="00310F83"/>
    <w:rsid w:val="003515A2"/>
    <w:rsid w:val="003576FF"/>
    <w:rsid w:val="0039478A"/>
    <w:rsid w:val="003A2944"/>
    <w:rsid w:val="003A3EB7"/>
    <w:rsid w:val="003A6446"/>
    <w:rsid w:val="003C1F49"/>
    <w:rsid w:val="003E6E73"/>
    <w:rsid w:val="00401CB3"/>
    <w:rsid w:val="00423F18"/>
    <w:rsid w:val="00443EF4"/>
    <w:rsid w:val="004541BE"/>
    <w:rsid w:val="00455E44"/>
    <w:rsid w:val="00467EEE"/>
    <w:rsid w:val="0047032B"/>
    <w:rsid w:val="00484397"/>
    <w:rsid w:val="004F2CFD"/>
    <w:rsid w:val="005634F0"/>
    <w:rsid w:val="00564B78"/>
    <w:rsid w:val="00574858"/>
    <w:rsid w:val="00584886"/>
    <w:rsid w:val="00594904"/>
    <w:rsid w:val="005A39A5"/>
    <w:rsid w:val="005A7F60"/>
    <w:rsid w:val="005F6A92"/>
    <w:rsid w:val="00621DC9"/>
    <w:rsid w:val="00655B00"/>
    <w:rsid w:val="00656FE3"/>
    <w:rsid w:val="00680AFF"/>
    <w:rsid w:val="006B11B2"/>
    <w:rsid w:val="00711D24"/>
    <w:rsid w:val="007709FA"/>
    <w:rsid w:val="007A6AD9"/>
    <w:rsid w:val="007B7342"/>
    <w:rsid w:val="007C5A0F"/>
    <w:rsid w:val="007E42FC"/>
    <w:rsid w:val="008219FF"/>
    <w:rsid w:val="0082343E"/>
    <w:rsid w:val="00843CF3"/>
    <w:rsid w:val="008674E2"/>
    <w:rsid w:val="00871411"/>
    <w:rsid w:val="008C3ED4"/>
    <w:rsid w:val="00926969"/>
    <w:rsid w:val="00945A81"/>
    <w:rsid w:val="009719CA"/>
    <w:rsid w:val="009B022E"/>
    <w:rsid w:val="009B1AB8"/>
    <w:rsid w:val="009C2BA2"/>
    <w:rsid w:val="00A30A4C"/>
    <w:rsid w:val="00A642B8"/>
    <w:rsid w:val="00AA0AF3"/>
    <w:rsid w:val="00AA2E54"/>
    <w:rsid w:val="00AC3BF6"/>
    <w:rsid w:val="00B0298F"/>
    <w:rsid w:val="00B10DEC"/>
    <w:rsid w:val="00B25BAF"/>
    <w:rsid w:val="00B31227"/>
    <w:rsid w:val="00B42CD9"/>
    <w:rsid w:val="00BA7B36"/>
    <w:rsid w:val="00C05528"/>
    <w:rsid w:val="00C25F88"/>
    <w:rsid w:val="00C36CA5"/>
    <w:rsid w:val="00C6438F"/>
    <w:rsid w:val="00C808E9"/>
    <w:rsid w:val="00C84DF6"/>
    <w:rsid w:val="00CB3C3C"/>
    <w:rsid w:val="00CC3AEA"/>
    <w:rsid w:val="00CC5CBC"/>
    <w:rsid w:val="00CD7B21"/>
    <w:rsid w:val="00CE6079"/>
    <w:rsid w:val="00CF4F02"/>
    <w:rsid w:val="00D151EC"/>
    <w:rsid w:val="00D2134B"/>
    <w:rsid w:val="00D26DAD"/>
    <w:rsid w:val="00D64F5F"/>
    <w:rsid w:val="00D820E3"/>
    <w:rsid w:val="00D83061"/>
    <w:rsid w:val="00DA5892"/>
    <w:rsid w:val="00DE27C3"/>
    <w:rsid w:val="00DF2F7E"/>
    <w:rsid w:val="00E02E72"/>
    <w:rsid w:val="00E2089C"/>
    <w:rsid w:val="00E31978"/>
    <w:rsid w:val="00E45C5E"/>
    <w:rsid w:val="00E733D0"/>
    <w:rsid w:val="00E746EA"/>
    <w:rsid w:val="00EA4FB2"/>
    <w:rsid w:val="00EB5FE9"/>
    <w:rsid w:val="00EC54D4"/>
    <w:rsid w:val="00ED3C3E"/>
    <w:rsid w:val="00EE1141"/>
    <w:rsid w:val="00EF78ED"/>
    <w:rsid w:val="00F05CA3"/>
    <w:rsid w:val="00F060B4"/>
    <w:rsid w:val="00F2555E"/>
    <w:rsid w:val="00F33096"/>
    <w:rsid w:val="00F41A32"/>
    <w:rsid w:val="00F91F6C"/>
    <w:rsid w:val="00FA054C"/>
    <w:rsid w:val="00FA5715"/>
    <w:rsid w:val="00FE413A"/>
    <w:rsid w:val="00FF4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5A2"/>
    <w:pPr>
      <w:spacing w:line="264" w:lineRule="auto"/>
    </w:pPr>
    <w:rPr>
      <w:rFonts w:ascii="Arial" w:hAnsi="Arial"/>
      <w:sz w:val="24"/>
      <w:lang w:eastAsia="en-US"/>
    </w:rPr>
  </w:style>
  <w:style w:type="paragraph" w:styleId="Heading1">
    <w:name w:val="heading 1"/>
    <w:basedOn w:val="Normal"/>
    <w:next w:val="Normal"/>
    <w:link w:val="Heading1Char"/>
    <w:qFormat/>
    <w:rsid w:val="00E74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3515A2"/>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Title">
    <w:name w:val="Committee Title"/>
    <w:basedOn w:val="Normal"/>
    <w:next w:val="CommitteeSubTitle"/>
    <w:rsid w:val="003515A2"/>
    <w:pPr>
      <w:keepNext/>
      <w:spacing w:before="240" w:after="60"/>
      <w:jc w:val="center"/>
    </w:pPr>
    <w:rPr>
      <w:b/>
      <w:caps/>
      <w:kern w:val="28"/>
    </w:rPr>
  </w:style>
  <w:style w:type="paragraph" w:customStyle="1" w:styleId="backgroundpapers">
    <w:name w:val="background papers"/>
    <w:basedOn w:val="Normal"/>
    <w:rsid w:val="003515A2"/>
  </w:style>
  <w:style w:type="paragraph" w:customStyle="1" w:styleId="ChiefOfficer">
    <w:name w:val="Chief Officer"/>
    <w:basedOn w:val="Normal"/>
    <w:rsid w:val="003515A2"/>
  </w:style>
  <w:style w:type="paragraph" w:customStyle="1" w:styleId="CommitteeSubTitle">
    <w:name w:val="Committee SubTitle"/>
    <w:basedOn w:val="CommitteeTitle"/>
    <w:next w:val="Normal"/>
    <w:rsid w:val="003515A2"/>
    <w:rPr>
      <w:caps w:val="0"/>
      <w:kern w:val="0"/>
    </w:rPr>
  </w:style>
  <w:style w:type="paragraph" w:customStyle="1" w:styleId="contact">
    <w:name w:val="contact"/>
    <w:basedOn w:val="Normal"/>
    <w:rsid w:val="003515A2"/>
    <w:pPr>
      <w:jc w:val="right"/>
    </w:pPr>
  </w:style>
  <w:style w:type="paragraph" w:customStyle="1" w:styleId="ReportPart">
    <w:name w:val="Report Part"/>
    <w:basedOn w:val="CommitteeSubTitle"/>
    <w:next w:val="Decision"/>
    <w:rsid w:val="003515A2"/>
    <w:pPr>
      <w:spacing w:before="60"/>
      <w:ind w:left="-425"/>
      <w:jc w:val="left"/>
    </w:pPr>
  </w:style>
  <w:style w:type="paragraph" w:customStyle="1" w:styleId="Decision">
    <w:name w:val="Decision"/>
    <w:basedOn w:val="ReportPart"/>
    <w:next w:val="Normal"/>
    <w:rsid w:val="003515A2"/>
    <w:pPr>
      <w:spacing w:before="180" w:after="0"/>
    </w:pPr>
  </w:style>
  <w:style w:type="paragraph" w:customStyle="1" w:styleId="IndentedParagraph">
    <w:name w:val="Indented Paragraph"/>
    <w:basedOn w:val="Normal"/>
    <w:rsid w:val="003515A2"/>
    <w:pPr>
      <w:spacing w:after="240"/>
      <w:ind w:left="720"/>
    </w:pPr>
  </w:style>
  <w:style w:type="paragraph" w:styleId="ListBullet">
    <w:name w:val="List Bullet"/>
    <w:basedOn w:val="Normal"/>
    <w:autoRedefine/>
    <w:rsid w:val="00F33096"/>
    <w:pPr>
      <w:numPr>
        <w:numId w:val="19"/>
      </w:numPr>
      <w:spacing w:after="240"/>
    </w:pPr>
  </w:style>
  <w:style w:type="paragraph" w:customStyle="1" w:styleId="ListNumbered">
    <w:name w:val="List Numbered"/>
    <w:basedOn w:val="Normal"/>
    <w:rsid w:val="003515A2"/>
    <w:pPr>
      <w:numPr>
        <w:ilvl w:val="4"/>
        <w:numId w:val="12"/>
      </w:numPr>
      <w:spacing w:after="240"/>
    </w:pPr>
  </w:style>
  <w:style w:type="character" w:styleId="PageNumber">
    <w:name w:val="page number"/>
    <w:basedOn w:val="DefaultParagraphFont"/>
    <w:rsid w:val="003515A2"/>
    <w:rPr>
      <w:rFonts w:ascii="Arial" w:hAnsi="Arial"/>
      <w:sz w:val="22"/>
    </w:rPr>
  </w:style>
  <w:style w:type="paragraph" w:customStyle="1" w:styleId="Reasons">
    <w:name w:val="Reasons"/>
    <w:basedOn w:val="IndentedParagraph"/>
    <w:rsid w:val="003515A2"/>
    <w:pPr>
      <w:spacing w:after="0"/>
      <w:ind w:right="-166"/>
    </w:pPr>
  </w:style>
  <w:style w:type="paragraph" w:customStyle="1" w:styleId="ReportLevel1">
    <w:name w:val="Report Level 1"/>
    <w:basedOn w:val="Normal"/>
    <w:next w:val="SummaryHeading"/>
    <w:rsid w:val="003515A2"/>
    <w:pPr>
      <w:numPr>
        <w:numId w:val="12"/>
      </w:numPr>
      <w:spacing w:before="60" w:after="240"/>
      <w:outlineLvl w:val="0"/>
    </w:pPr>
    <w:rPr>
      <w:b/>
      <w:caps/>
      <w:u w:val="single"/>
    </w:rPr>
  </w:style>
  <w:style w:type="paragraph" w:customStyle="1" w:styleId="ReportLevel2">
    <w:name w:val="Report Level 2"/>
    <w:basedOn w:val="Normal"/>
    <w:next w:val="ReportLevel3"/>
    <w:rsid w:val="003515A2"/>
    <w:pPr>
      <w:numPr>
        <w:ilvl w:val="1"/>
        <w:numId w:val="12"/>
      </w:numPr>
      <w:tabs>
        <w:tab w:val="left" w:pos="2880"/>
      </w:tabs>
      <w:spacing w:after="240"/>
    </w:pPr>
    <w:rPr>
      <w:b/>
    </w:rPr>
  </w:style>
  <w:style w:type="paragraph" w:customStyle="1" w:styleId="ReportLevel3">
    <w:name w:val="Report Level 3"/>
    <w:basedOn w:val="ReportLevel2"/>
    <w:rsid w:val="003515A2"/>
    <w:pPr>
      <w:numPr>
        <w:ilvl w:val="2"/>
      </w:numPr>
      <w:tabs>
        <w:tab w:val="clear" w:pos="2880"/>
      </w:tabs>
    </w:pPr>
    <w:rPr>
      <w:b w:val="0"/>
    </w:rPr>
  </w:style>
  <w:style w:type="paragraph" w:customStyle="1" w:styleId="ReportTitle">
    <w:name w:val="Report Title"/>
    <w:basedOn w:val="Normal"/>
    <w:next w:val="Normal"/>
    <w:rsid w:val="003515A2"/>
    <w:pPr>
      <w:tabs>
        <w:tab w:val="left" w:pos="720"/>
      </w:tabs>
      <w:spacing w:before="60" w:after="240"/>
      <w:ind w:left="720" w:hanging="720"/>
    </w:pPr>
    <w:rPr>
      <w:b/>
      <w:caps/>
      <w:u w:val="single"/>
    </w:rPr>
  </w:style>
  <w:style w:type="paragraph" w:customStyle="1" w:styleId="SummaryHeading">
    <w:name w:val="Summary Heading"/>
    <w:basedOn w:val="Heading3"/>
    <w:next w:val="SummaryText"/>
    <w:rsid w:val="003515A2"/>
    <w:pPr>
      <w:spacing w:before="0" w:after="0"/>
      <w:ind w:left="720"/>
    </w:pPr>
    <w:rPr>
      <w:b/>
    </w:rPr>
  </w:style>
  <w:style w:type="paragraph" w:customStyle="1" w:styleId="SummaryText">
    <w:name w:val="Summary Text"/>
    <w:basedOn w:val="Normal"/>
    <w:next w:val="ReportLevel2"/>
    <w:rsid w:val="003515A2"/>
    <w:pPr>
      <w:shd w:val="clear" w:color="auto" w:fill="FFFFFF"/>
      <w:tabs>
        <w:tab w:val="left" w:pos="3402"/>
      </w:tabs>
      <w:spacing w:after="240"/>
      <w:ind w:left="720"/>
    </w:pPr>
    <w:rPr>
      <w:b/>
    </w:rPr>
  </w:style>
  <w:style w:type="paragraph" w:customStyle="1" w:styleId="TableText">
    <w:name w:val="Table Text"/>
    <w:basedOn w:val="Normal"/>
    <w:rsid w:val="003515A2"/>
    <w:pPr>
      <w:spacing w:line="240" w:lineRule="auto"/>
    </w:pPr>
  </w:style>
  <w:style w:type="paragraph" w:styleId="Header">
    <w:name w:val="header"/>
    <w:basedOn w:val="Normal"/>
    <w:rsid w:val="003515A2"/>
    <w:pPr>
      <w:tabs>
        <w:tab w:val="center" w:pos="4153"/>
        <w:tab w:val="right" w:pos="8306"/>
      </w:tabs>
    </w:pPr>
    <w:rPr>
      <w:sz w:val="22"/>
    </w:rPr>
  </w:style>
  <w:style w:type="paragraph" w:styleId="Footer">
    <w:name w:val="footer"/>
    <w:basedOn w:val="Normal"/>
    <w:link w:val="FooterChar"/>
    <w:uiPriority w:val="99"/>
    <w:rsid w:val="003515A2"/>
    <w:pPr>
      <w:tabs>
        <w:tab w:val="right" w:pos="9356"/>
      </w:tabs>
    </w:pPr>
    <w:rPr>
      <w:sz w:val="22"/>
    </w:rPr>
  </w:style>
  <w:style w:type="paragraph" w:customStyle="1" w:styleId="PolicyConsiderations">
    <w:name w:val="Policy Considerations"/>
    <w:basedOn w:val="ReportLevel3"/>
    <w:rsid w:val="00D820E3"/>
  </w:style>
  <w:style w:type="paragraph" w:customStyle="1" w:styleId="Policyconsiderationssubheading">
    <w:name w:val="Policy considerations subheading"/>
    <w:basedOn w:val="ReportLevel2"/>
    <w:next w:val="PolicyConsiderations"/>
    <w:rsid w:val="00D820E3"/>
  </w:style>
  <w:style w:type="table" w:styleId="TableGrid">
    <w:name w:val="Table Grid"/>
    <w:basedOn w:val="TableNormal"/>
    <w:uiPriority w:val="59"/>
    <w:rsid w:val="00D83061"/>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3BF6"/>
    <w:rPr>
      <w:color w:val="808080"/>
    </w:rPr>
  </w:style>
  <w:style w:type="paragraph" w:styleId="BalloonText">
    <w:name w:val="Balloon Text"/>
    <w:basedOn w:val="Normal"/>
    <w:link w:val="BalloonTextChar"/>
    <w:rsid w:val="00AC3B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C3BF6"/>
    <w:rPr>
      <w:rFonts w:ascii="Tahoma" w:hAnsi="Tahoma" w:cs="Tahoma"/>
      <w:sz w:val="16"/>
      <w:szCs w:val="16"/>
      <w:lang w:eastAsia="en-US"/>
    </w:rPr>
  </w:style>
  <w:style w:type="character" w:customStyle="1" w:styleId="DateOfMeeting">
    <w:name w:val="DateOfMeeting"/>
    <w:basedOn w:val="DefaultParagraphFont"/>
    <w:uiPriority w:val="1"/>
    <w:rsid w:val="00E746EA"/>
  </w:style>
  <w:style w:type="character" w:customStyle="1" w:styleId="Heading1Char">
    <w:name w:val="Heading 1 Char"/>
    <w:basedOn w:val="DefaultParagraphFont"/>
    <w:link w:val="Heading1"/>
    <w:rsid w:val="00E746EA"/>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0913E2"/>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0913E2"/>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0F0606"/>
    <w:rPr>
      <w:rFonts w:ascii="Arial" w:hAnsi="Arial"/>
      <w:sz w:val="22"/>
      <w:lang w:eastAsia="en-US"/>
    </w:rPr>
  </w:style>
  <w:style w:type="table" w:customStyle="1" w:styleId="TableGrid1">
    <w:name w:val="Table Grid1"/>
    <w:basedOn w:val="TableNormal"/>
    <w:next w:val="TableGrid"/>
    <w:uiPriority w:val="59"/>
    <w:rsid w:val="00711D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4" w:lineRule="auto"/>
    </w:pPr>
    <w:rPr>
      <w:rFonts w:ascii="Arial" w:hAnsi="Arial"/>
      <w:sz w:val="24"/>
      <w:lang w:eastAsia="en-US"/>
    </w:rPr>
  </w:style>
  <w:style w:type="paragraph" w:styleId="Heading1">
    <w:name w:val="heading 1"/>
    <w:basedOn w:val="Normal"/>
    <w:next w:val="Normal"/>
    <w:link w:val="Heading1Char"/>
    <w:qFormat/>
    <w:rsid w:val="00E74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Title">
    <w:name w:val="Committee Title"/>
    <w:basedOn w:val="Normal"/>
    <w:next w:val="CommitteeSubTitle"/>
    <w:pPr>
      <w:keepNext/>
      <w:spacing w:before="240" w:after="60"/>
      <w:jc w:val="center"/>
    </w:pPr>
    <w:rPr>
      <w:b/>
      <w:caps/>
      <w:kern w:val="28"/>
    </w:rPr>
  </w:style>
  <w:style w:type="paragraph" w:customStyle="1" w:styleId="backgroundpapers">
    <w:name w:val="background papers"/>
    <w:basedOn w:val="Normal"/>
  </w:style>
  <w:style w:type="paragraph" w:customStyle="1" w:styleId="ChiefOfficer">
    <w:name w:val="Chief Officer"/>
    <w:basedOn w:val="Normal"/>
  </w:style>
  <w:style w:type="paragraph" w:customStyle="1" w:styleId="CommitteeSubTitle">
    <w:name w:val="Committee SubTitle"/>
    <w:basedOn w:val="CommitteeTitle"/>
    <w:next w:val="Normal"/>
    <w:rPr>
      <w:caps w:val="0"/>
      <w:kern w:val="0"/>
    </w:rPr>
  </w:style>
  <w:style w:type="paragraph" w:customStyle="1" w:styleId="contact">
    <w:name w:val="contact"/>
    <w:basedOn w:val="Normal"/>
    <w:pPr>
      <w:jc w:val="right"/>
    </w:pPr>
  </w:style>
  <w:style w:type="paragraph" w:customStyle="1" w:styleId="ReportPart">
    <w:name w:val="Report Part"/>
    <w:basedOn w:val="CommitteeSubTitle"/>
    <w:next w:val="Decision"/>
    <w:pPr>
      <w:spacing w:before="60"/>
      <w:ind w:left="-425"/>
      <w:jc w:val="left"/>
    </w:pPr>
  </w:style>
  <w:style w:type="paragraph" w:customStyle="1" w:styleId="Decision">
    <w:name w:val="Decision"/>
    <w:basedOn w:val="ReportPart"/>
    <w:next w:val="Normal"/>
    <w:pPr>
      <w:spacing w:before="180" w:after="0"/>
    </w:pPr>
  </w:style>
  <w:style w:type="paragraph" w:customStyle="1" w:styleId="IndentedParagraph">
    <w:name w:val="Indented Paragraph"/>
    <w:basedOn w:val="Normal"/>
    <w:pPr>
      <w:spacing w:after="240"/>
      <w:ind w:left="720"/>
    </w:pPr>
  </w:style>
  <w:style w:type="paragraph" w:styleId="ListBullet">
    <w:name w:val="List Bullet"/>
    <w:basedOn w:val="Normal"/>
    <w:autoRedefine/>
    <w:rsid w:val="00F33096"/>
    <w:pPr>
      <w:numPr>
        <w:numId w:val="19"/>
      </w:numPr>
      <w:spacing w:after="240"/>
    </w:pPr>
  </w:style>
  <w:style w:type="paragraph" w:customStyle="1" w:styleId="ListNumbered">
    <w:name w:val="List Numbered"/>
    <w:basedOn w:val="Normal"/>
    <w:pPr>
      <w:numPr>
        <w:ilvl w:val="4"/>
        <w:numId w:val="12"/>
      </w:numPr>
      <w:spacing w:after="240"/>
    </w:pPr>
  </w:style>
  <w:style w:type="character" w:styleId="PageNumber">
    <w:name w:val="page number"/>
    <w:basedOn w:val="DefaultParagraphFont"/>
    <w:rPr>
      <w:rFonts w:ascii="Arial" w:hAnsi="Arial"/>
      <w:sz w:val="22"/>
    </w:rPr>
  </w:style>
  <w:style w:type="paragraph" w:customStyle="1" w:styleId="Reasons">
    <w:name w:val="Reasons"/>
    <w:basedOn w:val="IndentedParagraph"/>
    <w:pPr>
      <w:spacing w:after="0"/>
      <w:ind w:right="-166"/>
    </w:pPr>
  </w:style>
  <w:style w:type="paragraph" w:customStyle="1" w:styleId="ReportLevel1">
    <w:name w:val="Report Level 1"/>
    <w:basedOn w:val="Normal"/>
    <w:next w:val="SummaryHeading"/>
    <w:pPr>
      <w:numPr>
        <w:numId w:val="12"/>
      </w:numPr>
      <w:spacing w:before="60" w:after="240"/>
      <w:outlineLvl w:val="0"/>
    </w:pPr>
    <w:rPr>
      <w:b/>
      <w:caps/>
      <w:u w:val="single"/>
    </w:rPr>
  </w:style>
  <w:style w:type="paragraph" w:customStyle="1" w:styleId="ReportLevel2">
    <w:name w:val="Report Level 2"/>
    <w:basedOn w:val="Normal"/>
    <w:next w:val="ReportLevel3"/>
    <w:pPr>
      <w:numPr>
        <w:ilvl w:val="1"/>
        <w:numId w:val="12"/>
      </w:numPr>
      <w:tabs>
        <w:tab w:val="left" w:pos="2880"/>
      </w:tabs>
      <w:spacing w:after="240"/>
    </w:pPr>
    <w:rPr>
      <w:b/>
    </w:rPr>
  </w:style>
  <w:style w:type="paragraph" w:customStyle="1" w:styleId="ReportLevel3">
    <w:name w:val="Report Level 3"/>
    <w:basedOn w:val="ReportLevel2"/>
    <w:pPr>
      <w:numPr>
        <w:ilvl w:val="2"/>
      </w:numPr>
      <w:tabs>
        <w:tab w:val="clear" w:pos="2880"/>
      </w:tabs>
    </w:pPr>
    <w:rPr>
      <w:b w:val="0"/>
    </w:rPr>
  </w:style>
  <w:style w:type="paragraph" w:customStyle="1" w:styleId="ReportTitle">
    <w:name w:val="Report Title"/>
    <w:basedOn w:val="Normal"/>
    <w:next w:val="Normal"/>
    <w:pPr>
      <w:tabs>
        <w:tab w:val="left" w:pos="720"/>
      </w:tabs>
      <w:spacing w:before="60" w:after="240"/>
      <w:ind w:left="720" w:hanging="720"/>
    </w:pPr>
    <w:rPr>
      <w:b/>
      <w:caps/>
      <w:u w:val="single"/>
    </w:rPr>
  </w:style>
  <w:style w:type="paragraph" w:customStyle="1" w:styleId="SummaryHeading">
    <w:name w:val="Summary Heading"/>
    <w:basedOn w:val="Heading3"/>
    <w:next w:val="SummaryText"/>
    <w:pPr>
      <w:spacing w:before="0" w:after="0"/>
      <w:ind w:left="720"/>
    </w:pPr>
    <w:rPr>
      <w:b/>
    </w:rPr>
  </w:style>
  <w:style w:type="paragraph" w:customStyle="1" w:styleId="SummaryText">
    <w:name w:val="Summary Text"/>
    <w:basedOn w:val="Normal"/>
    <w:next w:val="ReportLevel2"/>
    <w:pPr>
      <w:shd w:val="clear" w:color="auto" w:fill="FFFFFF"/>
      <w:tabs>
        <w:tab w:val="left" w:pos="3402"/>
      </w:tabs>
      <w:spacing w:after="240"/>
      <w:ind w:left="720"/>
    </w:pPr>
    <w:rPr>
      <w:b/>
    </w:rPr>
  </w:style>
  <w:style w:type="paragraph" w:customStyle="1" w:styleId="TableText">
    <w:name w:val="Table Text"/>
    <w:basedOn w:val="Normal"/>
    <w:pPr>
      <w:spacing w:line="240" w:lineRule="auto"/>
    </w:pPr>
  </w:style>
  <w:style w:type="paragraph" w:styleId="Header">
    <w:name w:val="header"/>
    <w:basedOn w:val="Normal"/>
    <w:pPr>
      <w:tabs>
        <w:tab w:val="center" w:pos="4153"/>
        <w:tab w:val="right" w:pos="8306"/>
      </w:tabs>
    </w:pPr>
    <w:rPr>
      <w:sz w:val="22"/>
    </w:rPr>
  </w:style>
  <w:style w:type="paragraph" w:styleId="Footer">
    <w:name w:val="footer"/>
    <w:basedOn w:val="Normal"/>
    <w:link w:val="FooterChar"/>
    <w:uiPriority w:val="99"/>
    <w:pPr>
      <w:tabs>
        <w:tab w:val="right" w:pos="9356"/>
      </w:tabs>
    </w:pPr>
    <w:rPr>
      <w:sz w:val="22"/>
    </w:rPr>
  </w:style>
  <w:style w:type="paragraph" w:customStyle="1" w:styleId="PolicyConsiderations">
    <w:name w:val="Policy Considerations"/>
    <w:basedOn w:val="ReportLevel3"/>
    <w:rsid w:val="00D820E3"/>
  </w:style>
  <w:style w:type="paragraph" w:customStyle="1" w:styleId="Policyconsiderationssubheading">
    <w:name w:val="Policy considerations subheading"/>
    <w:basedOn w:val="ReportLevel2"/>
    <w:next w:val="PolicyConsiderations"/>
    <w:rsid w:val="00D820E3"/>
  </w:style>
  <w:style w:type="table" w:styleId="TableGrid">
    <w:name w:val="Table Grid"/>
    <w:basedOn w:val="TableNormal"/>
    <w:uiPriority w:val="59"/>
    <w:rsid w:val="00D83061"/>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3BF6"/>
    <w:rPr>
      <w:color w:val="808080"/>
    </w:rPr>
  </w:style>
  <w:style w:type="paragraph" w:styleId="BalloonText">
    <w:name w:val="Balloon Text"/>
    <w:basedOn w:val="Normal"/>
    <w:link w:val="BalloonTextChar"/>
    <w:rsid w:val="00AC3B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C3BF6"/>
    <w:rPr>
      <w:rFonts w:ascii="Tahoma" w:hAnsi="Tahoma" w:cs="Tahoma"/>
      <w:sz w:val="16"/>
      <w:szCs w:val="16"/>
      <w:lang w:eastAsia="en-US"/>
    </w:rPr>
  </w:style>
  <w:style w:type="character" w:customStyle="1" w:styleId="DateOfMeeting">
    <w:name w:val="DateOfMeeting"/>
    <w:basedOn w:val="DefaultParagraphFont"/>
    <w:uiPriority w:val="1"/>
    <w:rsid w:val="00E746EA"/>
  </w:style>
  <w:style w:type="character" w:customStyle="1" w:styleId="Heading1Char">
    <w:name w:val="Heading 1 Char"/>
    <w:basedOn w:val="DefaultParagraphFont"/>
    <w:link w:val="Heading1"/>
    <w:rsid w:val="00E746EA"/>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0913E2"/>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0913E2"/>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0F0606"/>
    <w:rPr>
      <w:rFonts w:ascii="Arial" w:hAnsi="Arial"/>
      <w:sz w:val="22"/>
      <w:lang w:eastAsia="en-US"/>
    </w:rPr>
  </w:style>
  <w:style w:type="table" w:customStyle="1" w:styleId="TableGrid1">
    <w:name w:val="Table Grid1"/>
    <w:basedOn w:val="TableNormal"/>
    <w:next w:val="TableGrid"/>
    <w:uiPriority w:val="59"/>
    <w:rsid w:val="00711D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eh\AppData\Roaming\Microsoft\Templates\Council%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02F4-ED8A-498B-9125-FB2ABFF5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Template>
  <TotalTime>1</TotalTime>
  <Pages>8</Pages>
  <Words>2427</Words>
  <Characters>13349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Tonbridge &amp; Malling Borough Council</vt:lpstr>
    </vt:vector>
  </TitlesOfParts>
  <Company>Tombridge &amp; Malling BC</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Tonbridge &amp; Malling Borough Council</dc:title>
  <dc:creator>Helen Racine</dc:creator>
  <cp:lastModifiedBy>Exall, Debra - ST PSR</cp:lastModifiedBy>
  <cp:revision>2</cp:revision>
  <cp:lastPrinted>2016-03-03T14:50:00Z</cp:lastPrinted>
  <dcterms:created xsi:type="dcterms:W3CDTF">2016-03-07T17:45:00Z</dcterms:created>
  <dcterms:modified xsi:type="dcterms:W3CDTF">2016-03-07T17:45:00Z</dcterms:modified>
</cp:coreProperties>
</file>