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BA51" w14:textId="343C8A4D" w:rsidR="00D44DA6" w:rsidRDefault="00F61042" w:rsidP="00CD1268">
      <w:pPr>
        <w:rPr>
          <w:rFonts w:ascii="Arial Black" w:hAnsi="Arial Black"/>
          <w:bCs/>
          <w:sz w:val="24"/>
        </w:rPr>
      </w:pPr>
      <w:r>
        <w:rPr>
          <w:rFonts w:ascii="Arial Black" w:hAnsi="Arial Black"/>
          <w:bCs/>
          <w:noProof/>
          <w:sz w:val="24"/>
          <w:lang w:eastAsia="en-GB"/>
        </w:rPr>
        <w:drawing>
          <wp:inline distT="0" distB="0" distL="0" distR="0" wp14:anchorId="64B9025C" wp14:editId="7DF41445">
            <wp:extent cx="16859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113" cy="609306"/>
                    </a:xfrm>
                    <a:prstGeom prst="rect">
                      <a:avLst/>
                    </a:prstGeom>
                  </pic:spPr>
                </pic:pic>
              </a:graphicData>
            </a:graphic>
          </wp:inline>
        </w:drawing>
      </w:r>
      <w:r w:rsidR="00CD1268">
        <w:rPr>
          <w:rFonts w:ascii="Arial Black" w:hAnsi="Arial Black"/>
          <w:bCs/>
          <w:sz w:val="24"/>
        </w:rPr>
        <w:tab/>
      </w:r>
      <w:r w:rsidR="00CD1268">
        <w:rPr>
          <w:rFonts w:ascii="Arial Black" w:hAnsi="Arial Black"/>
          <w:bCs/>
          <w:sz w:val="24"/>
        </w:rPr>
        <w:tab/>
      </w:r>
      <w:r w:rsidR="00CD1268">
        <w:rPr>
          <w:rFonts w:ascii="Arial Black" w:hAnsi="Arial Black"/>
          <w:bCs/>
          <w:sz w:val="24"/>
        </w:rPr>
        <w:tab/>
      </w:r>
      <w:r w:rsidR="00CD1268">
        <w:rPr>
          <w:rFonts w:ascii="Arial Black" w:hAnsi="Arial Black"/>
          <w:bCs/>
          <w:sz w:val="24"/>
        </w:rPr>
        <w:tab/>
      </w:r>
      <w:r w:rsidR="00CD1268">
        <w:rPr>
          <w:rFonts w:ascii="Arial Black" w:hAnsi="Arial Black"/>
          <w:bCs/>
          <w:sz w:val="24"/>
        </w:rPr>
        <w:tab/>
      </w:r>
      <w:r w:rsidR="00CD1268">
        <w:rPr>
          <w:rFonts w:ascii="Arial Black" w:hAnsi="Arial Black"/>
          <w:bCs/>
          <w:noProof/>
          <w:sz w:val="24"/>
          <w:lang w:eastAsia="en-GB"/>
        </w:rPr>
        <w:drawing>
          <wp:inline distT="0" distB="0" distL="0" distR="0" wp14:anchorId="119278B4" wp14:editId="3B1DBEEA">
            <wp:extent cx="1552575" cy="636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746" cy="639409"/>
                    </a:xfrm>
                    <a:prstGeom prst="rect">
                      <a:avLst/>
                    </a:prstGeom>
                  </pic:spPr>
                </pic:pic>
              </a:graphicData>
            </a:graphic>
          </wp:inline>
        </w:drawing>
      </w:r>
    </w:p>
    <w:p w14:paraId="3556624F" w14:textId="77777777" w:rsidR="00F61042" w:rsidRDefault="00F61042">
      <w:pPr>
        <w:jc w:val="center"/>
        <w:rPr>
          <w:rFonts w:ascii="Arial Black" w:hAnsi="Arial Black"/>
          <w:bCs/>
          <w:sz w:val="24"/>
        </w:rPr>
      </w:pPr>
    </w:p>
    <w:p w14:paraId="4E0642F8" w14:textId="77777777" w:rsidR="00D44DA6" w:rsidRPr="00CD1268" w:rsidRDefault="00D44DA6" w:rsidP="00CD1268">
      <w:pPr>
        <w:jc w:val="center"/>
        <w:rPr>
          <w:b/>
          <w:bCs/>
          <w:szCs w:val="22"/>
        </w:rPr>
      </w:pPr>
      <w:r w:rsidRPr="00CD1268">
        <w:rPr>
          <w:b/>
          <w:bCs/>
          <w:szCs w:val="22"/>
        </w:rPr>
        <w:t xml:space="preserve">Protocol for </w:t>
      </w:r>
      <w:r w:rsidR="005E1B90" w:rsidRPr="00CD1268">
        <w:rPr>
          <w:b/>
          <w:bCs/>
          <w:szCs w:val="22"/>
        </w:rPr>
        <w:t xml:space="preserve">temporary </w:t>
      </w:r>
      <w:r w:rsidRPr="00CD1268">
        <w:rPr>
          <w:b/>
          <w:bCs/>
          <w:szCs w:val="22"/>
        </w:rPr>
        <w:t>accommodation placements</w:t>
      </w:r>
      <w:r w:rsidRPr="00CD1268">
        <w:rPr>
          <w:b/>
          <w:szCs w:val="22"/>
        </w:rPr>
        <w:t xml:space="preserve"> </w:t>
      </w:r>
      <w:r w:rsidRPr="00CD1268">
        <w:rPr>
          <w:b/>
          <w:bCs/>
          <w:szCs w:val="22"/>
        </w:rPr>
        <w:t>between Kent</w:t>
      </w:r>
      <w:r w:rsidR="003F07E8" w:rsidRPr="00CD1268">
        <w:rPr>
          <w:b/>
          <w:bCs/>
          <w:szCs w:val="22"/>
        </w:rPr>
        <w:t xml:space="preserve"> and Medway</w:t>
      </w:r>
      <w:r w:rsidR="00230EF1" w:rsidRPr="00CD1268">
        <w:rPr>
          <w:b/>
          <w:bCs/>
          <w:szCs w:val="22"/>
        </w:rPr>
        <w:t xml:space="preserve"> local housing authorities.</w:t>
      </w:r>
    </w:p>
    <w:p w14:paraId="612ADBD0" w14:textId="77777777" w:rsidR="00DC74AA" w:rsidRPr="00711DFD" w:rsidRDefault="00DC74AA" w:rsidP="00711DFD">
      <w:pPr>
        <w:jc w:val="both"/>
        <w:rPr>
          <w:szCs w:val="22"/>
        </w:rPr>
      </w:pPr>
    </w:p>
    <w:p w14:paraId="443FB718" w14:textId="77777777" w:rsidR="00DC74AA" w:rsidRPr="00711DFD" w:rsidRDefault="004921C0" w:rsidP="00711DFD">
      <w:pPr>
        <w:jc w:val="both"/>
        <w:rPr>
          <w:b/>
          <w:szCs w:val="22"/>
        </w:rPr>
      </w:pPr>
      <w:r w:rsidRPr="00711DFD">
        <w:rPr>
          <w:b/>
          <w:szCs w:val="22"/>
        </w:rPr>
        <w:t>Current Context</w:t>
      </w:r>
    </w:p>
    <w:p w14:paraId="5B5FE936" w14:textId="77777777" w:rsidR="004921C0" w:rsidRPr="00711DFD" w:rsidRDefault="004921C0" w:rsidP="00711DFD">
      <w:pPr>
        <w:jc w:val="both"/>
        <w:rPr>
          <w:szCs w:val="22"/>
        </w:rPr>
      </w:pPr>
    </w:p>
    <w:p w14:paraId="0982A020" w14:textId="34810F84" w:rsidR="004921C0" w:rsidRPr="00711DFD" w:rsidRDefault="004921C0" w:rsidP="00711DFD">
      <w:pPr>
        <w:jc w:val="both"/>
        <w:rPr>
          <w:szCs w:val="22"/>
        </w:rPr>
      </w:pPr>
      <w:r w:rsidRPr="00711DFD">
        <w:rPr>
          <w:szCs w:val="22"/>
        </w:rPr>
        <w:t xml:space="preserve">Due to the lack of temporary accommodation in all areas </w:t>
      </w:r>
      <w:r w:rsidR="00CA51F4">
        <w:rPr>
          <w:szCs w:val="22"/>
        </w:rPr>
        <w:t>of</w:t>
      </w:r>
      <w:r w:rsidRPr="00711DFD">
        <w:rPr>
          <w:szCs w:val="22"/>
        </w:rPr>
        <w:t xml:space="preserve"> Kent</w:t>
      </w:r>
      <w:r w:rsidR="00F95B80" w:rsidRPr="00711DFD">
        <w:rPr>
          <w:szCs w:val="22"/>
        </w:rPr>
        <w:t xml:space="preserve"> and increasing demands on Local Housing Authorities</w:t>
      </w:r>
      <w:r w:rsidR="00CD1268">
        <w:rPr>
          <w:szCs w:val="22"/>
        </w:rPr>
        <w:t>, in</w:t>
      </w:r>
      <w:r w:rsidR="00F95B80" w:rsidRPr="00711DFD">
        <w:rPr>
          <w:szCs w:val="22"/>
        </w:rPr>
        <w:t xml:space="preserve"> times of emergencies</w:t>
      </w:r>
      <w:r w:rsidRPr="00711DFD">
        <w:rPr>
          <w:szCs w:val="22"/>
        </w:rPr>
        <w:t xml:space="preserve"> placements of vulnerable households are </w:t>
      </w:r>
      <w:r w:rsidR="00CA51F4">
        <w:rPr>
          <w:szCs w:val="22"/>
        </w:rPr>
        <w:t xml:space="preserve">sometimes </w:t>
      </w:r>
      <w:r w:rsidRPr="00711DFD">
        <w:rPr>
          <w:szCs w:val="22"/>
        </w:rPr>
        <w:t>made outside of the Local Authority area.</w:t>
      </w:r>
    </w:p>
    <w:p w14:paraId="7345A77D" w14:textId="77777777" w:rsidR="00D44DA6" w:rsidRPr="00711DFD" w:rsidRDefault="00D44DA6" w:rsidP="00711DFD">
      <w:pPr>
        <w:jc w:val="both"/>
        <w:rPr>
          <w:szCs w:val="22"/>
        </w:rPr>
      </w:pPr>
    </w:p>
    <w:p w14:paraId="52376BA2" w14:textId="563D1564" w:rsidR="00D44DA6" w:rsidRPr="00711DFD" w:rsidRDefault="00D44DA6" w:rsidP="00711DFD">
      <w:pPr>
        <w:jc w:val="both"/>
        <w:rPr>
          <w:szCs w:val="22"/>
        </w:rPr>
      </w:pPr>
      <w:r w:rsidRPr="00711DFD">
        <w:rPr>
          <w:szCs w:val="22"/>
        </w:rPr>
        <w:t xml:space="preserve">It is recognised that there needs to be a collective responsibility </w:t>
      </w:r>
      <w:r w:rsidR="004921C0" w:rsidRPr="00711DFD">
        <w:rPr>
          <w:szCs w:val="22"/>
        </w:rPr>
        <w:t>to support</w:t>
      </w:r>
      <w:r w:rsidRPr="00711DFD">
        <w:rPr>
          <w:szCs w:val="22"/>
        </w:rPr>
        <w:t xml:space="preserve"> vulnerable </w:t>
      </w:r>
      <w:r w:rsidR="004921C0" w:rsidRPr="00711DFD">
        <w:rPr>
          <w:szCs w:val="22"/>
        </w:rPr>
        <w:t xml:space="preserve">households </w:t>
      </w:r>
      <w:r w:rsidR="00CA51F4">
        <w:rPr>
          <w:szCs w:val="22"/>
        </w:rPr>
        <w:t xml:space="preserve">who are </w:t>
      </w:r>
      <w:r w:rsidR="004921C0" w:rsidRPr="00711DFD">
        <w:rPr>
          <w:szCs w:val="22"/>
        </w:rPr>
        <w:t xml:space="preserve">placed outside of the Local Authority area </w:t>
      </w:r>
      <w:r w:rsidR="00CA51F4">
        <w:rPr>
          <w:szCs w:val="22"/>
        </w:rPr>
        <w:t>to</w:t>
      </w:r>
      <w:r w:rsidR="004921C0" w:rsidRPr="00711DFD">
        <w:rPr>
          <w:szCs w:val="22"/>
        </w:rPr>
        <w:t xml:space="preserve"> ensure </w:t>
      </w:r>
      <w:r w:rsidR="00CD1268">
        <w:rPr>
          <w:szCs w:val="22"/>
        </w:rPr>
        <w:t>that</w:t>
      </w:r>
      <w:r w:rsidR="004921C0" w:rsidRPr="00711DFD">
        <w:rPr>
          <w:szCs w:val="22"/>
        </w:rPr>
        <w:t xml:space="preserve"> they have access to vital services; including  access to education for children.</w:t>
      </w:r>
    </w:p>
    <w:p w14:paraId="3328FE31" w14:textId="77777777" w:rsidR="00D44DA6" w:rsidRPr="00711DFD" w:rsidRDefault="00D44DA6" w:rsidP="00711DFD">
      <w:pPr>
        <w:jc w:val="both"/>
        <w:rPr>
          <w:szCs w:val="22"/>
        </w:rPr>
      </w:pPr>
    </w:p>
    <w:p w14:paraId="46AC7D8F" w14:textId="77777777" w:rsidR="00D44DA6" w:rsidRPr="00711DFD" w:rsidRDefault="00D44DA6" w:rsidP="00711DFD">
      <w:pPr>
        <w:jc w:val="both"/>
        <w:rPr>
          <w:szCs w:val="22"/>
        </w:rPr>
      </w:pPr>
      <w:r w:rsidRPr="00711DFD">
        <w:rPr>
          <w:szCs w:val="22"/>
        </w:rPr>
        <w:t xml:space="preserve">There are also concerns over the lack of control and inadequate coordination of </w:t>
      </w:r>
      <w:r w:rsidR="00CA51F4">
        <w:rPr>
          <w:szCs w:val="22"/>
        </w:rPr>
        <w:t xml:space="preserve">these </w:t>
      </w:r>
      <w:r w:rsidRPr="00711DFD">
        <w:rPr>
          <w:szCs w:val="22"/>
        </w:rPr>
        <w:t xml:space="preserve">placements and the risks that this might expose vulnerable people including children. </w:t>
      </w:r>
    </w:p>
    <w:p w14:paraId="6259B608" w14:textId="77777777" w:rsidR="00D44DA6" w:rsidRPr="00711DFD" w:rsidRDefault="00D44DA6" w:rsidP="00711DFD">
      <w:pPr>
        <w:jc w:val="both"/>
        <w:rPr>
          <w:szCs w:val="22"/>
        </w:rPr>
      </w:pPr>
    </w:p>
    <w:p w14:paraId="26A93E01" w14:textId="77777777" w:rsidR="00F95B80" w:rsidRPr="00711DFD" w:rsidRDefault="00696B65" w:rsidP="00711DFD">
      <w:pPr>
        <w:jc w:val="both"/>
        <w:rPr>
          <w:szCs w:val="22"/>
        </w:rPr>
      </w:pPr>
      <w:r w:rsidRPr="00711DFD">
        <w:rPr>
          <w:szCs w:val="22"/>
        </w:rPr>
        <w:t>This protocol has regard to the case law</w:t>
      </w:r>
      <w:r w:rsidR="00CC4251" w:rsidRPr="00711DFD">
        <w:rPr>
          <w:szCs w:val="22"/>
        </w:rPr>
        <w:t xml:space="preserve"> and guidance on the placements of households into temporary accommodation</w:t>
      </w:r>
      <w:r w:rsidR="00F95B80" w:rsidRPr="00711DFD">
        <w:rPr>
          <w:szCs w:val="22"/>
        </w:rPr>
        <w:t xml:space="preserve">: </w:t>
      </w:r>
    </w:p>
    <w:p w14:paraId="69676DBD" w14:textId="19EBFDCA" w:rsidR="00711DFD" w:rsidRPr="00711DFD" w:rsidRDefault="00711DFD" w:rsidP="00711DFD">
      <w:pPr>
        <w:jc w:val="both"/>
        <w:rPr>
          <w:szCs w:val="22"/>
        </w:rPr>
      </w:pPr>
    </w:p>
    <w:p w14:paraId="3FE9CD71" w14:textId="77777777" w:rsidR="00CC4251" w:rsidRPr="00711DFD" w:rsidRDefault="00F95B80" w:rsidP="00711DFD">
      <w:pPr>
        <w:jc w:val="both"/>
        <w:rPr>
          <w:b/>
          <w:szCs w:val="22"/>
        </w:rPr>
      </w:pPr>
      <w:r w:rsidRPr="00711DFD">
        <w:rPr>
          <w:b/>
          <w:szCs w:val="22"/>
        </w:rPr>
        <w:t xml:space="preserve">Homelessness </w:t>
      </w:r>
      <w:r w:rsidR="00CC4251" w:rsidRPr="00711DFD">
        <w:rPr>
          <w:b/>
          <w:szCs w:val="22"/>
        </w:rPr>
        <w:t>Code of Guidance (2006):</w:t>
      </w:r>
    </w:p>
    <w:p w14:paraId="077B4378" w14:textId="77777777" w:rsidR="00CC4251" w:rsidRPr="00711DFD" w:rsidRDefault="00CC4251" w:rsidP="00711DFD">
      <w:pPr>
        <w:jc w:val="both"/>
        <w:rPr>
          <w:szCs w:val="22"/>
        </w:rPr>
      </w:pPr>
    </w:p>
    <w:p w14:paraId="1ED7F6C9" w14:textId="77777777" w:rsidR="00CC4251" w:rsidRPr="00711DFD" w:rsidRDefault="00CC4251" w:rsidP="00711DFD">
      <w:pPr>
        <w:pStyle w:val="Default"/>
        <w:jc w:val="both"/>
        <w:rPr>
          <w:color w:val="auto"/>
          <w:sz w:val="22"/>
          <w:szCs w:val="22"/>
        </w:rPr>
      </w:pPr>
      <w:r w:rsidRPr="00711DFD">
        <w:rPr>
          <w:color w:val="auto"/>
          <w:sz w:val="22"/>
          <w:szCs w:val="22"/>
        </w:rPr>
        <w:t>With regards to suitability</w:t>
      </w:r>
      <w:r w:rsidR="00CA51F4">
        <w:rPr>
          <w:color w:val="auto"/>
          <w:sz w:val="22"/>
          <w:szCs w:val="22"/>
        </w:rPr>
        <w:t>,</w:t>
      </w:r>
      <w:r w:rsidRPr="00711DFD">
        <w:rPr>
          <w:color w:val="auto"/>
          <w:sz w:val="22"/>
          <w:szCs w:val="22"/>
        </w:rPr>
        <w:t xml:space="preserve"> Section 17.41 of the Code states that, “the location of the accommodation will be relevant to suitability and the suitability of the location for all the members of the household will have to be considered. Where, for example, applicants are in paid employment account will need to be taken of their need to reach their normal workplace from the accommodation secured. The Secretary of State recommends that local authorities take into account the need to minimise disruption to the education of young people, particularly at critical points in time such as close to taking GCSE examinations. Housing authorities should avoid placing applicants in isolated accommodation away from public transport, shops and other facilities, and, wherever possible, secure accommodation that is as close as possible to where they were previously living, so they can retain established links with schools, doctors, social workers and other key services and support essential to the well-being of the household.”</w:t>
      </w:r>
    </w:p>
    <w:p w14:paraId="0B3E3951" w14:textId="77777777" w:rsidR="00D44DA6" w:rsidRPr="00711DFD" w:rsidRDefault="00D44DA6" w:rsidP="00711DFD">
      <w:pPr>
        <w:jc w:val="both"/>
        <w:rPr>
          <w:szCs w:val="22"/>
        </w:rPr>
      </w:pPr>
    </w:p>
    <w:p w14:paraId="6D298096" w14:textId="77777777" w:rsidR="00D44DA6" w:rsidRPr="00711DFD" w:rsidRDefault="00D44DA6" w:rsidP="00711DFD">
      <w:pPr>
        <w:jc w:val="both"/>
        <w:rPr>
          <w:szCs w:val="22"/>
        </w:rPr>
      </w:pPr>
      <w:r w:rsidRPr="00711DFD">
        <w:rPr>
          <w:b/>
          <w:bCs/>
          <w:szCs w:val="22"/>
        </w:rPr>
        <w:t xml:space="preserve">Responsibilities of Local Housing Authorities (LHAs) </w:t>
      </w:r>
    </w:p>
    <w:p w14:paraId="6C36E21E" w14:textId="77777777" w:rsidR="00D44DA6" w:rsidRPr="00711DFD" w:rsidRDefault="00D44DA6" w:rsidP="00711DFD">
      <w:pPr>
        <w:ind w:left="360"/>
        <w:jc w:val="both"/>
        <w:rPr>
          <w:szCs w:val="22"/>
        </w:rPr>
      </w:pPr>
    </w:p>
    <w:p w14:paraId="108D7AD5" w14:textId="77777777" w:rsidR="00D44DA6" w:rsidRPr="00711DFD" w:rsidRDefault="00D44DA6" w:rsidP="00711DFD">
      <w:pPr>
        <w:pStyle w:val="BodyTextIndent"/>
        <w:numPr>
          <w:ilvl w:val="0"/>
          <w:numId w:val="7"/>
        </w:numPr>
        <w:tabs>
          <w:tab w:val="clear" w:pos="360"/>
          <w:tab w:val="num" w:pos="426"/>
        </w:tabs>
        <w:ind w:left="426" w:hanging="426"/>
        <w:jc w:val="both"/>
        <w:rPr>
          <w:szCs w:val="22"/>
        </w:rPr>
      </w:pPr>
      <w:r w:rsidRPr="00711DFD">
        <w:rPr>
          <w:szCs w:val="22"/>
        </w:rPr>
        <w:t xml:space="preserve">LHAs will adhere to this protocol when making </w:t>
      </w:r>
      <w:r w:rsidR="0041339B" w:rsidRPr="00711DFD">
        <w:rPr>
          <w:szCs w:val="22"/>
        </w:rPr>
        <w:t xml:space="preserve">placements of </w:t>
      </w:r>
      <w:r w:rsidR="005E1B90" w:rsidRPr="00711DFD">
        <w:rPr>
          <w:szCs w:val="22"/>
        </w:rPr>
        <w:t>temporary</w:t>
      </w:r>
      <w:r w:rsidR="0041339B" w:rsidRPr="00711DFD">
        <w:rPr>
          <w:szCs w:val="22"/>
        </w:rPr>
        <w:t xml:space="preserve"> accommodation</w:t>
      </w:r>
      <w:r w:rsidRPr="00711DFD">
        <w:rPr>
          <w:szCs w:val="22"/>
        </w:rPr>
        <w:t>.</w:t>
      </w:r>
    </w:p>
    <w:p w14:paraId="1EAE0071" w14:textId="77777777" w:rsidR="00D44DA6" w:rsidRPr="00711DFD" w:rsidRDefault="00D44DA6" w:rsidP="00711DFD">
      <w:pPr>
        <w:pStyle w:val="BodyTextIndent"/>
        <w:jc w:val="both"/>
        <w:rPr>
          <w:szCs w:val="22"/>
        </w:rPr>
      </w:pPr>
    </w:p>
    <w:p w14:paraId="1453B855" w14:textId="77777777" w:rsidR="00D44DA6" w:rsidRPr="00711DFD" w:rsidRDefault="00D44DA6" w:rsidP="00711DFD">
      <w:pPr>
        <w:pStyle w:val="BodyTextIndent"/>
        <w:numPr>
          <w:ilvl w:val="0"/>
          <w:numId w:val="7"/>
        </w:numPr>
        <w:tabs>
          <w:tab w:val="clear" w:pos="360"/>
          <w:tab w:val="num" w:pos="426"/>
        </w:tabs>
        <w:ind w:left="426" w:hanging="426"/>
        <w:jc w:val="both"/>
        <w:rPr>
          <w:szCs w:val="22"/>
        </w:rPr>
      </w:pPr>
      <w:r w:rsidRPr="00711DFD">
        <w:rPr>
          <w:szCs w:val="22"/>
        </w:rPr>
        <w:t>Each Local Authority will use its best endeavours to ensure that it has access to emergency accommodation within its own area.</w:t>
      </w:r>
      <w:r w:rsidRPr="00711DFD">
        <w:rPr>
          <w:i/>
          <w:iCs/>
          <w:szCs w:val="22"/>
        </w:rPr>
        <w:t xml:space="preserve"> </w:t>
      </w:r>
      <w:r w:rsidRPr="00711DFD">
        <w:rPr>
          <w:szCs w:val="22"/>
        </w:rPr>
        <w:t xml:space="preserve">If emergency </w:t>
      </w:r>
      <w:r w:rsidR="0041339B" w:rsidRPr="00711DFD">
        <w:rPr>
          <w:szCs w:val="22"/>
        </w:rPr>
        <w:t>accommodation out</w:t>
      </w:r>
      <w:r w:rsidRPr="00711DFD">
        <w:rPr>
          <w:szCs w:val="22"/>
        </w:rPr>
        <w:t xml:space="preserve"> of an </w:t>
      </w:r>
      <w:r w:rsidR="00EA7114" w:rsidRPr="00711DFD">
        <w:rPr>
          <w:szCs w:val="22"/>
        </w:rPr>
        <w:t>authority’s</w:t>
      </w:r>
      <w:r w:rsidRPr="00711DFD">
        <w:rPr>
          <w:szCs w:val="22"/>
        </w:rPr>
        <w:t xml:space="preserve"> own area is essential, this should not </w:t>
      </w:r>
      <w:r w:rsidR="000B58F3">
        <w:rPr>
          <w:szCs w:val="22"/>
        </w:rPr>
        <w:t xml:space="preserve">be </w:t>
      </w:r>
      <w:r w:rsidR="0041339B" w:rsidRPr="00711DFD">
        <w:rPr>
          <w:szCs w:val="22"/>
        </w:rPr>
        <w:t>within the</w:t>
      </w:r>
      <w:r w:rsidRPr="00711DFD">
        <w:rPr>
          <w:szCs w:val="22"/>
        </w:rPr>
        <w:t xml:space="preserve"> Thanet </w:t>
      </w:r>
      <w:r w:rsidR="002F6E27" w:rsidRPr="00711DFD">
        <w:rPr>
          <w:szCs w:val="22"/>
        </w:rPr>
        <w:t xml:space="preserve">wards of </w:t>
      </w:r>
      <w:proofErr w:type="spellStart"/>
      <w:r w:rsidR="002F6E27" w:rsidRPr="00711DFD">
        <w:rPr>
          <w:szCs w:val="22"/>
        </w:rPr>
        <w:t>Cliftonville</w:t>
      </w:r>
      <w:proofErr w:type="spellEnd"/>
      <w:r w:rsidR="002F6E27" w:rsidRPr="00711DFD">
        <w:rPr>
          <w:szCs w:val="22"/>
        </w:rPr>
        <w:t xml:space="preserve"> West and Margate Central. This is because these wards contain two of the most deprived lower super output areas within England, ranked 4</w:t>
      </w:r>
      <w:r w:rsidR="002F6E27" w:rsidRPr="00711DFD">
        <w:rPr>
          <w:szCs w:val="22"/>
          <w:vertAlign w:val="superscript"/>
        </w:rPr>
        <w:t>th</w:t>
      </w:r>
      <w:r w:rsidR="002F6E27" w:rsidRPr="00711DFD">
        <w:rPr>
          <w:szCs w:val="22"/>
        </w:rPr>
        <w:t xml:space="preserve"> and 21</w:t>
      </w:r>
      <w:r w:rsidR="002F6E27" w:rsidRPr="00711DFD">
        <w:rPr>
          <w:szCs w:val="22"/>
          <w:vertAlign w:val="superscript"/>
        </w:rPr>
        <w:t>st</w:t>
      </w:r>
      <w:r w:rsidR="002F6E27" w:rsidRPr="00711DFD">
        <w:rPr>
          <w:rStyle w:val="FootnoteReference"/>
          <w:szCs w:val="22"/>
        </w:rPr>
        <w:footnoteReference w:id="1"/>
      </w:r>
      <w:r w:rsidR="00526B73" w:rsidRPr="00711DFD">
        <w:rPr>
          <w:szCs w:val="22"/>
          <w:vertAlign w:val="superscript"/>
        </w:rPr>
        <w:t xml:space="preserve"> </w:t>
      </w:r>
      <w:r w:rsidR="002F6E27" w:rsidRPr="00711DFD">
        <w:rPr>
          <w:szCs w:val="22"/>
        </w:rPr>
        <w:t>respectively.</w:t>
      </w:r>
    </w:p>
    <w:p w14:paraId="6AD36114" w14:textId="77777777" w:rsidR="00DE568E" w:rsidRPr="00711DFD" w:rsidRDefault="00DE568E" w:rsidP="00711DFD">
      <w:pPr>
        <w:pStyle w:val="ListParagraph"/>
        <w:jc w:val="both"/>
        <w:rPr>
          <w:szCs w:val="22"/>
        </w:rPr>
      </w:pPr>
    </w:p>
    <w:p w14:paraId="4A40320D" w14:textId="77777777" w:rsidR="00DE568E" w:rsidRPr="00711DFD" w:rsidRDefault="00DE568E" w:rsidP="00711DFD">
      <w:pPr>
        <w:pStyle w:val="BodyTextIndent"/>
        <w:numPr>
          <w:ilvl w:val="0"/>
          <w:numId w:val="7"/>
        </w:numPr>
        <w:tabs>
          <w:tab w:val="clear" w:pos="360"/>
          <w:tab w:val="num" w:pos="426"/>
        </w:tabs>
        <w:ind w:left="426" w:hanging="426"/>
        <w:jc w:val="both"/>
        <w:rPr>
          <w:szCs w:val="22"/>
        </w:rPr>
      </w:pPr>
      <w:r w:rsidRPr="00711DFD">
        <w:rPr>
          <w:szCs w:val="22"/>
        </w:rPr>
        <w:t>In all occasions, before arranging a placement of temporary accommodation outside of the Local Authority area, the placing authority will ensure that the accommodation provider has checked with the host Local Authority whether they have the need for the unit of temporary accommodation that day.</w:t>
      </w:r>
    </w:p>
    <w:p w14:paraId="1BCD0B3F" w14:textId="77777777" w:rsidR="0041339B" w:rsidRPr="00711DFD" w:rsidRDefault="0041339B" w:rsidP="00711DFD">
      <w:pPr>
        <w:pStyle w:val="BodyText2"/>
        <w:tabs>
          <w:tab w:val="num" w:pos="426"/>
        </w:tabs>
        <w:ind w:left="426" w:hanging="426"/>
        <w:jc w:val="both"/>
        <w:rPr>
          <w:rFonts w:cs="Arial"/>
          <w:b w:val="0"/>
          <w:szCs w:val="22"/>
        </w:rPr>
      </w:pPr>
    </w:p>
    <w:p w14:paraId="2435204B" w14:textId="1780268A" w:rsidR="00D44DA6" w:rsidRPr="00711DFD" w:rsidRDefault="005E1B90" w:rsidP="00711DFD">
      <w:pPr>
        <w:pStyle w:val="BodyText2"/>
        <w:numPr>
          <w:ilvl w:val="0"/>
          <w:numId w:val="7"/>
        </w:numPr>
        <w:tabs>
          <w:tab w:val="clear" w:pos="360"/>
          <w:tab w:val="num" w:pos="426"/>
        </w:tabs>
        <w:ind w:left="426" w:hanging="426"/>
        <w:jc w:val="both"/>
        <w:rPr>
          <w:rFonts w:cs="Arial"/>
          <w:b w:val="0"/>
          <w:szCs w:val="22"/>
        </w:rPr>
      </w:pPr>
      <w:r w:rsidRPr="00711DFD">
        <w:rPr>
          <w:rFonts w:cs="Arial"/>
          <w:b w:val="0"/>
          <w:szCs w:val="22"/>
        </w:rPr>
        <w:t xml:space="preserve">Where it necessary for Local </w:t>
      </w:r>
      <w:r w:rsidR="0041339B" w:rsidRPr="00711DFD">
        <w:rPr>
          <w:rFonts w:cs="Arial"/>
          <w:b w:val="0"/>
          <w:szCs w:val="22"/>
        </w:rPr>
        <w:t>Authorities to</w:t>
      </w:r>
      <w:r w:rsidRPr="00711DFD">
        <w:rPr>
          <w:rFonts w:cs="Arial"/>
          <w:b w:val="0"/>
          <w:szCs w:val="22"/>
        </w:rPr>
        <w:t xml:space="preserve"> place households outside of their area they </w:t>
      </w:r>
      <w:r w:rsidR="0041339B" w:rsidRPr="00711DFD">
        <w:rPr>
          <w:rFonts w:cs="Arial"/>
          <w:b w:val="0"/>
          <w:szCs w:val="22"/>
        </w:rPr>
        <w:t>should ensure that</w:t>
      </w:r>
      <w:r w:rsidR="00D44DA6" w:rsidRPr="00711DFD">
        <w:rPr>
          <w:rFonts w:cs="Arial"/>
          <w:b w:val="0"/>
          <w:szCs w:val="22"/>
        </w:rPr>
        <w:t xml:space="preserve"> those households are reconnected with their originating area </w:t>
      </w:r>
      <w:r w:rsidRPr="00711DFD">
        <w:rPr>
          <w:rFonts w:cs="Arial"/>
          <w:b w:val="0"/>
          <w:szCs w:val="22"/>
        </w:rPr>
        <w:t xml:space="preserve">as soon as reasonably possible </w:t>
      </w:r>
      <w:r w:rsidR="00D44DA6" w:rsidRPr="00711DFD">
        <w:rPr>
          <w:rFonts w:cs="Arial"/>
          <w:b w:val="0"/>
          <w:szCs w:val="22"/>
        </w:rPr>
        <w:t xml:space="preserve">and </w:t>
      </w:r>
      <w:r w:rsidR="0041339B" w:rsidRPr="00711DFD">
        <w:rPr>
          <w:rFonts w:cs="Arial"/>
          <w:b w:val="0"/>
          <w:szCs w:val="22"/>
        </w:rPr>
        <w:t xml:space="preserve">that they </w:t>
      </w:r>
      <w:r w:rsidR="00D44DA6" w:rsidRPr="00711DFD">
        <w:rPr>
          <w:rFonts w:cs="Arial"/>
          <w:b w:val="0"/>
          <w:szCs w:val="22"/>
        </w:rPr>
        <w:t xml:space="preserve">are </w:t>
      </w:r>
      <w:r w:rsidRPr="00711DFD">
        <w:rPr>
          <w:rFonts w:cs="Arial"/>
          <w:b w:val="0"/>
          <w:szCs w:val="22"/>
        </w:rPr>
        <w:t>assisted</w:t>
      </w:r>
      <w:r w:rsidR="00D44DA6" w:rsidRPr="00711DFD">
        <w:rPr>
          <w:rFonts w:cs="Arial"/>
          <w:b w:val="0"/>
          <w:szCs w:val="22"/>
        </w:rPr>
        <w:t xml:space="preserve"> to return. </w:t>
      </w:r>
    </w:p>
    <w:p w14:paraId="25249DC3" w14:textId="77777777" w:rsidR="00D44DA6" w:rsidRPr="00711DFD" w:rsidRDefault="00D44DA6" w:rsidP="00711DFD">
      <w:pPr>
        <w:pStyle w:val="BodyText2"/>
        <w:tabs>
          <w:tab w:val="num" w:pos="426"/>
        </w:tabs>
        <w:jc w:val="both"/>
        <w:rPr>
          <w:rFonts w:cs="Arial"/>
          <w:b w:val="0"/>
          <w:szCs w:val="22"/>
        </w:rPr>
      </w:pPr>
    </w:p>
    <w:p w14:paraId="08C50461" w14:textId="10CC0E64" w:rsidR="00711DFD" w:rsidRPr="00391D90" w:rsidRDefault="005332A7" w:rsidP="004C5ACB">
      <w:pPr>
        <w:pStyle w:val="ListParagraph"/>
        <w:numPr>
          <w:ilvl w:val="0"/>
          <w:numId w:val="7"/>
        </w:numPr>
        <w:tabs>
          <w:tab w:val="left" w:pos="360"/>
          <w:tab w:val="num" w:pos="426"/>
        </w:tabs>
        <w:jc w:val="both"/>
        <w:rPr>
          <w:szCs w:val="22"/>
          <w:lang w:val="en-US"/>
        </w:rPr>
      </w:pPr>
      <w:r>
        <w:rPr>
          <w:szCs w:val="22"/>
          <w:lang w:val="en-US"/>
        </w:rPr>
        <w:t xml:space="preserve">The placing </w:t>
      </w:r>
      <w:r w:rsidR="005E1B90" w:rsidRPr="00711DFD">
        <w:rPr>
          <w:szCs w:val="22"/>
          <w:lang w:val="en-US"/>
        </w:rPr>
        <w:t>Local Authorities</w:t>
      </w:r>
      <w:r w:rsidR="00D44DA6" w:rsidRPr="00711DFD">
        <w:rPr>
          <w:szCs w:val="22"/>
          <w:lang w:val="en-US"/>
        </w:rPr>
        <w:t xml:space="preserve"> will</w:t>
      </w:r>
      <w:r>
        <w:rPr>
          <w:szCs w:val="22"/>
          <w:lang w:val="en-US"/>
        </w:rPr>
        <w:t xml:space="preserve"> use their best </w:t>
      </w:r>
      <w:r w:rsidR="00AA42C6">
        <w:rPr>
          <w:szCs w:val="22"/>
          <w:lang w:val="en-US"/>
        </w:rPr>
        <w:t>endeavors</w:t>
      </w:r>
      <w:r>
        <w:rPr>
          <w:szCs w:val="22"/>
          <w:lang w:val="en-US"/>
        </w:rPr>
        <w:t xml:space="preserve"> to</w:t>
      </w:r>
      <w:r w:rsidR="00D44DA6" w:rsidRPr="00711DFD">
        <w:rPr>
          <w:szCs w:val="22"/>
          <w:lang w:val="en-US"/>
        </w:rPr>
        <w:t xml:space="preserve"> </w:t>
      </w:r>
      <w:r>
        <w:rPr>
          <w:szCs w:val="22"/>
          <w:lang w:val="en-US"/>
        </w:rPr>
        <w:t>contact the receiving authority to</w:t>
      </w:r>
      <w:r w:rsidR="00ED48F1">
        <w:rPr>
          <w:szCs w:val="22"/>
          <w:lang w:val="en-US"/>
        </w:rPr>
        <w:t xml:space="preserve"> </w:t>
      </w:r>
      <w:r>
        <w:rPr>
          <w:szCs w:val="22"/>
          <w:lang w:val="en-US"/>
        </w:rPr>
        <w:t>establish whether the identified accommodation has any category</w:t>
      </w:r>
      <w:r w:rsidR="00ED48F1">
        <w:rPr>
          <w:szCs w:val="22"/>
          <w:lang w:val="en-US"/>
        </w:rPr>
        <w:t xml:space="preserve"> </w:t>
      </w:r>
      <w:r>
        <w:rPr>
          <w:szCs w:val="22"/>
          <w:lang w:val="en-US"/>
        </w:rPr>
        <w:t xml:space="preserve">1 </w:t>
      </w:r>
      <w:r w:rsidR="00ED48F1">
        <w:rPr>
          <w:szCs w:val="22"/>
          <w:lang w:val="en-US"/>
        </w:rPr>
        <w:t>h</w:t>
      </w:r>
      <w:r>
        <w:rPr>
          <w:szCs w:val="22"/>
          <w:lang w:val="en-US"/>
        </w:rPr>
        <w:t>azards</w:t>
      </w:r>
      <w:r w:rsidR="00ED48F1">
        <w:rPr>
          <w:szCs w:val="22"/>
          <w:lang w:val="en-US"/>
        </w:rPr>
        <w:t xml:space="preserve"> </w:t>
      </w:r>
      <w:r>
        <w:rPr>
          <w:szCs w:val="22"/>
          <w:lang w:val="en-US"/>
        </w:rPr>
        <w:t>before placing</w:t>
      </w:r>
      <w:r w:rsidR="00D44DA6" w:rsidRPr="00711DFD">
        <w:rPr>
          <w:szCs w:val="22"/>
          <w:lang w:val="en-US"/>
        </w:rPr>
        <w:t>, and that where applicable,</w:t>
      </w:r>
      <w:r w:rsidR="00CD1268">
        <w:rPr>
          <w:szCs w:val="22"/>
          <w:lang w:val="en-US"/>
        </w:rPr>
        <w:t xml:space="preserve"> </w:t>
      </w:r>
      <w:r w:rsidR="00D44DA6" w:rsidRPr="00711DFD">
        <w:rPr>
          <w:szCs w:val="22"/>
          <w:lang w:val="en-US"/>
        </w:rPr>
        <w:t xml:space="preserve">the </w:t>
      </w:r>
      <w:r w:rsidR="005E1B90" w:rsidRPr="00711DFD">
        <w:rPr>
          <w:szCs w:val="22"/>
          <w:lang w:val="en-US"/>
        </w:rPr>
        <w:t>temporary</w:t>
      </w:r>
      <w:r w:rsidR="00ED48F1">
        <w:rPr>
          <w:szCs w:val="22"/>
          <w:lang w:val="en-US"/>
        </w:rPr>
        <w:t xml:space="preserve"> </w:t>
      </w:r>
      <w:r w:rsidR="00470966">
        <w:rPr>
          <w:szCs w:val="22"/>
          <w:lang w:val="en-US"/>
        </w:rPr>
        <w:t>a</w:t>
      </w:r>
      <w:r w:rsidR="00D44DA6" w:rsidRPr="00391D90">
        <w:rPr>
          <w:szCs w:val="22"/>
          <w:lang w:val="en-US"/>
        </w:rPr>
        <w:t>ccommodation is appropriately licensed.</w:t>
      </w:r>
    </w:p>
    <w:p w14:paraId="0945BC1B" w14:textId="77777777" w:rsidR="0041339B" w:rsidRPr="00711DFD" w:rsidRDefault="0041339B" w:rsidP="00711DFD">
      <w:pPr>
        <w:jc w:val="both"/>
        <w:rPr>
          <w:szCs w:val="22"/>
          <w:lang w:val="en-US"/>
        </w:rPr>
      </w:pPr>
    </w:p>
    <w:p w14:paraId="534E1A7E" w14:textId="265A893D" w:rsidR="0041339B" w:rsidRPr="003E03B1" w:rsidRDefault="0041339B" w:rsidP="00470966">
      <w:pPr>
        <w:pStyle w:val="ListParagraph"/>
        <w:numPr>
          <w:ilvl w:val="0"/>
          <w:numId w:val="7"/>
        </w:numPr>
        <w:jc w:val="both"/>
        <w:rPr>
          <w:szCs w:val="22"/>
          <w:lang w:val="en-US"/>
        </w:rPr>
      </w:pPr>
      <w:r w:rsidRPr="00711DFD">
        <w:rPr>
          <w:szCs w:val="22"/>
        </w:rPr>
        <w:t>Receiving authorities must be notified in writing of all cases placed in temporary</w:t>
      </w:r>
      <w:r w:rsidR="00ED48F1">
        <w:rPr>
          <w:szCs w:val="22"/>
        </w:rPr>
        <w:t xml:space="preserve"> </w:t>
      </w:r>
      <w:r w:rsidRPr="00711DFD">
        <w:rPr>
          <w:szCs w:val="22"/>
        </w:rPr>
        <w:t>accommodation both at start of placement and at point of move-on.</w:t>
      </w:r>
      <w:r w:rsidR="00470966" w:rsidRPr="00470966">
        <w:t xml:space="preserve"> </w:t>
      </w:r>
      <w:r w:rsidR="00470966" w:rsidRPr="00470966">
        <w:rPr>
          <w:szCs w:val="22"/>
        </w:rPr>
        <w:t>Out of hours placements should be notified to the relevant authority as soon as is practically possible, if it is intended that the placement will be continued past the next working da</w:t>
      </w:r>
      <w:r w:rsidR="00ED48F1">
        <w:rPr>
          <w:szCs w:val="22"/>
        </w:rPr>
        <w:t>y.</w:t>
      </w:r>
      <w:r w:rsidRPr="00711DFD">
        <w:rPr>
          <w:szCs w:val="22"/>
        </w:rPr>
        <w:t xml:space="preserve"> This notification should include the following:</w:t>
      </w:r>
    </w:p>
    <w:p w14:paraId="7A4FC22C" w14:textId="77777777" w:rsidR="003E03B1" w:rsidRPr="00711DFD" w:rsidRDefault="003E03B1" w:rsidP="003E03B1">
      <w:pPr>
        <w:pStyle w:val="ListParagraph"/>
        <w:ind w:left="360"/>
        <w:jc w:val="both"/>
        <w:rPr>
          <w:szCs w:val="22"/>
          <w:lang w:val="en-US"/>
        </w:rPr>
      </w:pPr>
    </w:p>
    <w:p w14:paraId="765B46EF" w14:textId="77777777" w:rsidR="0041339B" w:rsidRPr="00711DFD" w:rsidRDefault="0041339B" w:rsidP="00711DFD">
      <w:pPr>
        <w:pStyle w:val="ListParagraph"/>
        <w:numPr>
          <w:ilvl w:val="1"/>
          <w:numId w:val="7"/>
        </w:numPr>
        <w:jc w:val="both"/>
        <w:rPr>
          <w:szCs w:val="22"/>
        </w:rPr>
      </w:pPr>
      <w:r w:rsidRPr="00711DFD">
        <w:rPr>
          <w:szCs w:val="22"/>
        </w:rPr>
        <w:t>Name and date of birth of applicant</w:t>
      </w:r>
    </w:p>
    <w:p w14:paraId="26BD45FF" w14:textId="77777777" w:rsidR="0041339B" w:rsidRPr="00711DFD" w:rsidRDefault="0041339B" w:rsidP="00711DFD">
      <w:pPr>
        <w:pStyle w:val="ListParagraph"/>
        <w:numPr>
          <w:ilvl w:val="1"/>
          <w:numId w:val="7"/>
        </w:numPr>
        <w:jc w:val="both"/>
        <w:rPr>
          <w:rStyle w:val="legds2"/>
          <w:szCs w:val="22"/>
        </w:rPr>
      </w:pPr>
      <w:r w:rsidRPr="00711DFD">
        <w:rPr>
          <w:rStyle w:val="legds2"/>
          <w:szCs w:val="22"/>
          <w:specVanish w:val="0"/>
        </w:rPr>
        <w:t>Name and date of birth of all other persons who normally reside with him as a member of his family or might reasonably be expected to reside with him,</w:t>
      </w:r>
    </w:p>
    <w:p w14:paraId="46331530" w14:textId="77777777" w:rsidR="0041339B" w:rsidRPr="00711DFD" w:rsidRDefault="0041339B" w:rsidP="00711DFD">
      <w:pPr>
        <w:pStyle w:val="ListParagraph"/>
        <w:numPr>
          <w:ilvl w:val="1"/>
          <w:numId w:val="7"/>
        </w:numPr>
        <w:jc w:val="both"/>
        <w:rPr>
          <w:rStyle w:val="legds2"/>
          <w:szCs w:val="22"/>
        </w:rPr>
      </w:pPr>
      <w:r w:rsidRPr="00711DFD">
        <w:rPr>
          <w:rStyle w:val="legds2"/>
          <w:szCs w:val="22"/>
          <w:specVanish w:val="0"/>
        </w:rPr>
        <w:t>the address of the accommodation,</w:t>
      </w:r>
    </w:p>
    <w:p w14:paraId="30C0AC34" w14:textId="77777777" w:rsidR="0041339B" w:rsidRPr="00711DFD" w:rsidRDefault="0041339B" w:rsidP="00711DFD">
      <w:pPr>
        <w:pStyle w:val="ListParagraph"/>
        <w:numPr>
          <w:ilvl w:val="1"/>
          <w:numId w:val="7"/>
        </w:numPr>
        <w:jc w:val="both"/>
        <w:rPr>
          <w:rStyle w:val="legds2"/>
          <w:szCs w:val="22"/>
        </w:rPr>
      </w:pPr>
      <w:r w:rsidRPr="00711DFD">
        <w:rPr>
          <w:rStyle w:val="legds2"/>
          <w:szCs w:val="22"/>
          <w:specVanish w:val="0"/>
        </w:rPr>
        <w:t>the date on which the accommodation was made available to the household</w:t>
      </w:r>
    </w:p>
    <w:p w14:paraId="6A9B1198" w14:textId="77777777" w:rsidR="0041339B" w:rsidRPr="00711DFD" w:rsidRDefault="0041339B" w:rsidP="00711DFD">
      <w:pPr>
        <w:pStyle w:val="ListParagraph"/>
        <w:numPr>
          <w:ilvl w:val="1"/>
          <w:numId w:val="7"/>
        </w:numPr>
        <w:jc w:val="both"/>
        <w:rPr>
          <w:rStyle w:val="legds2"/>
          <w:szCs w:val="22"/>
        </w:rPr>
      </w:pPr>
      <w:r w:rsidRPr="00711DFD">
        <w:rPr>
          <w:rStyle w:val="legds2"/>
          <w:szCs w:val="22"/>
          <w:specVanish w:val="0"/>
        </w:rPr>
        <w:t xml:space="preserve">which function under this Part the authority was discharging in securing that the accommodation is available for </w:t>
      </w:r>
      <w:r w:rsidR="00CA51F4">
        <w:rPr>
          <w:rStyle w:val="legds2"/>
          <w:szCs w:val="22"/>
          <w:specVanish w:val="0"/>
        </w:rPr>
        <w:t>the applicant’s</w:t>
      </w:r>
      <w:r w:rsidRPr="00711DFD">
        <w:rPr>
          <w:rStyle w:val="legds2"/>
          <w:szCs w:val="22"/>
          <w:specVanish w:val="0"/>
        </w:rPr>
        <w:t xml:space="preserve"> occupation</w:t>
      </w:r>
    </w:p>
    <w:p w14:paraId="59FED1BA" w14:textId="77777777" w:rsidR="0041339B" w:rsidRPr="00711DFD" w:rsidRDefault="0041339B" w:rsidP="00711DFD">
      <w:pPr>
        <w:numPr>
          <w:ilvl w:val="1"/>
          <w:numId w:val="7"/>
        </w:numPr>
        <w:spacing w:line="216" w:lineRule="auto"/>
        <w:jc w:val="both"/>
        <w:rPr>
          <w:szCs w:val="22"/>
        </w:rPr>
      </w:pPr>
      <w:r w:rsidRPr="00711DFD">
        <w:rPr>
          <w:szCs w:val="22"/>
        </w:rPr>
        <w:t>name of the landlord or housing supplier</w:t>
      </w:r>
    </w:p>
    <w:p w14:paraId="1FC0C0C9" w14:textId="289BEF3F" w:rsidR="0041339B" w:rsidRDefault="0041339B" w:rsidP="00711DFD">
      <w:pPr>
        <w:pStyle w:val="ListParagraph"/>
        <w:numPr>
          <w:ilvl w:val="1"/>
          <w:numId w:val="7"/>
        </w:numPr>
        <w:jc w:val="both"/>
        <w:rPr>
          <w:szCs w:val="22"/>
        </w:rPr>
      </w:pPr>
      <w:r w:rsidRPr="00711DFD">
        <w:rPr>
          <w:szCs w:val="22"/>
        </w:rPr>
        <w:t xml:space="preserve">Details of any services supporting the household, including MAPPA; MARAC; Specialist Children’s Service’s; history of gang </w:t>
      </w:r>
      <w:r w:rsidR="000B58F3">
        <w:rPr>
          <w:szCs w:val="22"/>
        </w:rPr>
        <w:t>involvement</w:t>
      </w:r>
      <w:r w:rsidRPr="00711DFD">
        <w:rPr>
          <w:szCs w:val="22"/>
        </w:rPr>
        <w:t>;</w:t>
      </w:r>
      <w:r w:rsidR="00CD1268">
        <w:rPr>
          <w:rStyle w:val="EndnoteReference"/>
          <w:szCs w:val="22"/>
        </w:rPr>
        <w:endnoteReference w:id="1"/>
      </w:r>
      <w:r w:rsidRPr="00711DFD">
        <w:rPr>
          <w:szCs w:val="22"/>
        </w:rPr>
        <w:t xml:space="preserve"> </w:t>
      </w:r>
      <w:r w:rsidR="00CD1268">
        <w:rPr>
          <w:szCs w:val="22"/>
        </w:rPr>
        <w:t xml:space="preserve"> </w:t>
      </w:r>
      <w:r w:rsidRPr="00711DFD">
        <w:rPr>
          <w:szCs w:val="22"/>
        </w:rPr>
        <w:t>and Community Mental Health Team.</w:t>
      </w:r>
    </w:p>
    <w:p w14:paraId="40B0AE4B" w14:textId="77777777" w:rsidR="005332A7" w:rsidRPr="00711DFD" w:rsidRDefault="005332A7" w:rsidP="00711DFD">
      <w:pPr>
        <w:pStyle w:val="ListParagraph"/>
        <w:numPr>
          <w:ilvl w:val="1"/>
          <w:numId w:val="7"/>
        </w:numPr>
        <w:jc w:val="both"/>
        <w:rPr>
          <w:szCs w:val="22"/>
        </w:rPr>
      </w:pPr>
      <w:r>
        <w:rPr>
          <w:szCs w:val="22"/>
        </w:rPr>
        <w:t>Nightly cost of accommodation</w:t>
      </w:r>
    </w:p>
    <w:p w14:paraId="551B53D4" w14:textId="77777777" w:rsidR="0041339B" w:rsidRPr="00711DFD" w:rsidRDefault="0041339B" w:rsidP="00711DFD">
      <w:pPr>
        <w:jc w:val="both"/>
        <w:rPr>
          <w:szCs w:val="22"/>
        </w:rPr>
      </w:pPr>
    </w:p>
    <w:p w14:paraId="146BCB07" w14:textId="7F50BD2F" w:rsidR="0041339B" w:rsidRPr="00711DFD" w:rsidRDefault="0041339B" w:rsidP="00711DFD">
      <w:pPr>
        <w:pStyle w:val="ListParagraph"/>
        <w:numPr>
          <w:ilvl w:val="0"/>
          <w:numId w:val="7"/>
        </w:numPr>
        <w:tabs>
          <w:tab w:val="left" w:pos="360"/>
        </w:tabs>
        <w:jc w:val="both"/>
        <w:rPr>
          <w:szCs w:val="22"/>
        </w:rPr>
      </w:pPr>
      <w:r w:rsidRPr="00711DFD">
        <w:rPr>
          <w:szCs w:val="22"/>
        </w:rPr>
        <w:t>There must be disclosure of full information that is available at time of referral to the receiving authority and to notify of any changes/further information as and when available.  There is an expectation that all relevant authorities will share relevant confidential information as appropriate and that the applicant’s confidentiality is not breached</w:t>
      </w:r>
      <w:r w:rsidR="00CD1268">
        <w:rPr>
          <w:szCs w:val="22"/>
        </w:rPr>
        <w:t>.</w:t>
      </w:r>
    </w:p>
    <w:p w14:paraId="06588B50" w14:textId="77777777" w:rsidR="0041339B" w:rsidRPr="00711DFD" w:rsidRDefault="0041339B" w:rsidP="00711DFD">
      <w:pPr>
        <w:pStyle w:val="ListParagraph"/>
        <w:ind w:left="360"/>
        <w:jc w:val="both"/>
        <w:rPr>
          <w:szCs w:val="22"/>
        </w:rPr>
      </w:pPr>
    </w:p>
    <w:p w14:paraId="0DE51F48" w14:textId="77777777" w:rsidR="0041339B" w:rsidRPr="00711DFD" w:rsidRDefault="0041339B" w:rsidP="00711DFD">
      <w:pPr>
        <w:numPr>
          <w:ilvl w:val="0"/>
          <w:numId w:val="7"/>
        </w:numPr>
        <w:tabs>
          <w:tab w:val="clear" w:pos="360"/>
          <w:tab w:val="num" w:pos="426"/>
        </w:tabs>
        <w:ind w:left="426" w:hanging="426"/>
        <w:jc w:val="both"/>
        <w:rPr>
          <w:szCs w:val="22"/>
        </w:rPr>
      </w:pPr>
      <w:r w:rsidRPr="00711DFD">
        <w:rPr>
          <w:szCs w:val="22"/>
        </w:rPr>
        <w:t>Where households are placed into temporary accommodation in another local authority area the placing authority will remain the lead Authority</w:t>
      </w:r>
      <w:r w:rsidR="003369CA">
        <w:rPr>
          <w:szCs w:val="22"/>
        </w:rPr>
        <w:t xml:space="preserve"> </w:t>
      </w:r>
      <w:r w:rsidR="0011026D">
        <w:rPr>
          <w:szCs w:val="22"/>
        </w:rPr>
        <w:t>in the event of multiple homelessness application..</w:t>
      </w:r>
      <w:r w:rsidRPr="00711DFD">
        <w:rPr>
          <w:szCs w:val="22"/>
        </w:rPr>
        <w:t xml:space="preserve"> On conclusion of the application where a household is unable to return to the area of origin, i.e. in cases of domestic abuse, the placing authority can refer to another Local Authority as appropriate, for assistance in discharging the main housing duty.</w:t>
      </w:r>
    </w:p>
    <w:p w14:paraId="29EDCEDF" w14:textId="77777777" w:rsidR="00D44DA6" w:rsidRPr="00711DFD" w:rsidRDefault="00D44DA6" w:rsidP="00711DFD">
      <w:pPr>
        <w:pStyle w:val="BodyText2"/>
        <w:tabs>
          <w:tab w:val="num" w:pos="426"/>
        </w:tabs>
        <w:ind w:left="426" w:hanging="426"/>
        <w:jc w:val="both"/>
        <w:rPr>
          <w:rFonts w:cs="Arial"/>
          <w:b w:val="0"/>
          <w:szCs w:val="22"/>
        </w:rPr>
      </w:pPr>
    </w:p>
    <w:p w14:paraId="2325FFF4" w14:textId="5776BBE1" w:rsidR="00D44DA6" w:rsidRPr="00711DFD" w:rsidRDefault="00D44DA6" w:rsidP="00711DFD">
      <w:pPr>
        <w:pStyle w:val="BodyText2"/>
        <w:numPr>
          <w:ilvl w:val="0"/>
          <w:numId w:val="7"/>
        </w:numPr>
        <w:jc w:val="both"/>
        <w:rPr>
          <w:rFonts w:cs="Arial"/>
          <w:b w:val="0"/>
          <w:szCs w:val="22"/>
        </w:rPr>
      </w:pPr>
      <w:r w:rsidRPr="00711DFD">
        <w:rPr>
          <w:rFonts w:cs="Arial"/>
          <w:b w:val="0"/>
          <w:szCs w:val="22"/>
        </w:rPr>
        <w:t xml:space="preserve">If a Local Authority decides after placing a household in temporary accommodation outside their area, that they do not have a housing obligation to that household, it will </w:t>
      </w:r>
      <w:r w:rsidR="00312B7A" w:rsidRPr="00711DFD">
        <w:rPr>
          <w:rFonts w:cs="Arial"/>
          <w:b w:val="0"/>
          <w:szCs w:val="22"/>
        </w:rPr>
        <w:t>provide support and assistance</w:t>
      </w:r>
      <w:r w:rsidRPr="00711DFD">
        <w:rPr>
          <w:rFonts w:cs="Arial"/>
          <w:b w:val="0"/>
          <w:szCs w:val="22"/>
        </w:rPr>
        <w:t xml:space="preserve"> to the household i</w:t>
      </w:r>
      <w:r w:rsidR="00312B7A" w:rsidRPr="00711DFD">
        <w:rPr>
          <w:rFonts w:cs="Arial"/>
          <w:b w:val="0"/>
          <w:szCs w:val="22"/>
        </w:rPr>
        <w:t>n</w:t>
      </w:r>
      <w:r w:rsidRPr="00711DFD">
        <w:rPr>
          <w:rFonts w:cs="Arial"/>
          <w:b w:val="0"/>
          <w:szCs w:val="22"/>
        </w:rPr>
        <w:t xml:space="preserve"> find</w:t>
      </w:r>
      <w:r w:rsidR="00312B7A" w:rsidRPr="00711DFD">
        <w:rPr>
          <w:rFonts w:cs="Arial"/>
          <w:b w:val="0"/>
          <w:szCs w:val="22"/>
        </w:rPr>
        <w:t>ing</w:t>
      </w:r>
      <w:r w:rsidRPr="00711DFD">
        <w:rPr>
          <w:rFonts w:cs="Arial"/>
          <w:b w:val="0"/>
          <w:szCs w:val="22"/>
        </w:rPr>
        <w:t xml:space="preserve"> alternative accommodation</w:t>
      </w:r>
      <w:r w:rsidR="00312B7A" w:rsidRPr="00711DFD">
        <w:rPr>
          <w:rFonts w:cs="Arial"/>
          <w:b w:val="0"/>
          <w:szCs w:val="22"/>
        </w:rPr>
        <w:t>.</w:t>
      </w:r>
      <w:r w:rsidRPr="00711DFD">
        <w:rPr>
          <w:rFonts w:cs="Arial"/>
          <w:b w:val="0"/>
          <w:szCs w:val="22"/>
        </w:rPr>
        <w:t xml:space="preserve"> </w:t>
      </w:r>
    </w:p>
    <w:p w14:paraId="03D8FD4D" w14:textId="77777777" w:rsidR="0041339B" w:rsidRPr="00711DFD" w:rsidRDefault="0041339B" w:rsidP="00711DFD">
      <w:pPr>
        <w:pStyle w:val="BodyText2"/>
        <w:jc w:val="both"/>
        <w:rPr>
          <w:rFonts w:cs="Arial"/>
          <w:b w:val="0"/>
          <w:szCs w:val="22"/>
        </w:rPr>
      </w:pPr>
    </w:p>
    <w:p w14:paraId="367A154A" w14:textId="77777777" w:rsidR="00466F6E" w:rsidRPr="00711DFD" w:rsidRDefault="0041339B" w:rsidP="00711DFD">
      <w:pPr>
        <w:numPr>
          <w:ilvl w:val="0"/>
          <w:numId w:val="7"/>
        </w:numPr>
        <w:tabs>
          <w:tab w:val="clear" w:pos="360"/>
          <w:tab w:val="num" w:pos="426"/>
        </w:tabs>
        <w:ind w:left="426" w:hanging="426"/>
        <w:jc w:val="both"/>
        <w:rPr>
          <w:szCs w:val="22"/>
        </w:rPr>
      </w:pPr>
      <w:r w:rsidRPr="00711DFD">
        <w:rPr>
          <w:szCs w:val="22"/>
        </w:rPr>
        <w:t>Households placed into temporary accommodation remain the responsibility of the placing authority, until the authority has exhausted its duties to the applicant and taken steps to assist the household in finding alternative accommodation.</w:t>
      </w:r>
    </w:p>
    <w:p w14:paraId="048F9912" w14:textId="77777777" w:rsidR="00D44DA6" w:rsidRPr="00711DFD" w:rsidRDefault="00D44DA6" w:rsidP="00711DFD">
      <w:pPr>
        <w:tabs>
          <w:tab w:val="num" w:pos="426"/>
        </w:tabs>
        <w:ind w:left="426" w:hanging="426"/>
        <w:jc w:val="both"/>
        <w:rPr>
          <w:szCs w:val="22"/>
        </w:rPr>
      </w:pPr>
    </w:p>
    <w:p w14:paraId="13EFEB35" w14:textId="77777777" w:rsidR="00D44DA6" w:rsidRPr="00711DFD" w:rsidRDefault="00D44DA6" w:rsidP="00711DFD">
      <w:pPr>
        <w:pStyle w:val="BodyTextIndent"/>
        <w:tabs>
          <w:tab w:val="num" w:pos="426"/>
        </w:tabs>
        <w:ind w:left="0"/>
        <w:jc w:val="both"/>
        <w:rPr>
          <w:szCs w:val="22"/>
        </w:rPr>
      </w:pPr>
      <w:r w:rsidRPr="00711DFD">
        <w:rPr>
          <w:szCs w:val="22"/>
        </w:rPr>
        <w:t>11.</w:t>
      </w:r>
      <w:r w:rsidRPr="00711DFD">
        <w:rPr>
          <w:szCs w:val="22"/>
        </w:rPr>
        <w:tab/>
      </w:r>
      <w:r w:rsidR="00241147" w:rsidRPr="00711DFD">
        <w:rPr>
          <w:szCs w:val="22"/>
        </w:rPr>
        <w:t>Local Authorities</w:t>
      </w:r>
      <w:r w:rsidRPr="00711DFD">
        <w:rPr>
          <w:szCs w:val="22"/>
        </w:rPr>
        <w:t xml:space="preserve"> should also adhere to the following Kent Protocols:</w:t>
      </w:r>
    </w:p>
    <w:p w14:paraId="761F1569" w14:textId="77777777" w:rsidR="00D44DA6" w:rsidRPr="00711DFD" w:rsidRDefault="00D44DA6" w:rsidP="00711DFD">
      <w:pPr>
        <w:tabs>
          <w:tab w:val="num" w:pos="426"/>
        </w:tabs>
        <w:ind w:left="426" w:hanging="426"/>
        <w:jc w:val="both"/>
        <w:rPr>
          <w:szCs w:val="22"/>
        </w:rPr>
      </w:pPr>
    </w:p>
    <w:p w14:paraId="21130C0F" w14:textId="77777777" w:rsidR="00CD1268" w:rsidRDefault="00D44DA6" w:rsidP="00711DFD">
      <w:pPr>
        <w:numPr>
          <w:ilvl w:val="1"/>
          <w:numId w:val="7"/>
        </w:numPr>
        <w:tabs>
          <w:tab w:val="clear" w:pos="1080"/>
          <w:tab w:val="num" w:pos="426"/>
          <w:tab w:val="num" w:pos="709"/>
        </w:tabs>
        <w:spacing w:after="80"/>
        <w:ind w:left="425" w:firstLine="0"/>
        <w:jc w:val="both"/>
        <w:rPr>
          <w:szCs w:val="22"/>
        </w:rPr>
      </w:pPr>
      <w:r w:rsidRPr="00CD1268">
        <w:rPr>
          <w:szCs w:val="22"/>
        </w:rPr>
        <w:t>Intentionally Homeless Protocol for Families with Children</w:t>
      </w:r>
    </w:p>
    <w:p w14:paraId="125E280C" w14:textId="72C271FD" w:rsidR="00D44DA6" w:rsidRPr="00CD1268" w:rsidRDefault="00D44DA6" w:rsidP="00711DFD">
      <w:pPr>
        <w:numPr>
          <w:ilvl w:val="1"/>
          <w:numId w:val="7"/>
        </w:numPr>
        <w:tabs>
          <w:tab w:val="clear" w:pos="1080"/>
          <w:tab w:val="num" w:pos="426"/>
          <w:tab w:val="num" w:pos="709"/>
        </w:tabs>
        <w:spacing w:after="80"/>
        <w:ind w:left="425" w:firstLine="0"/>
        <w:jc w:val="both"/>
        <w:rPr>
          <w:szCs w:val="22"/>
        </w:rPr>
      </w:pPr>
      <w:r w:rsidRPr="00CD1268">
        <w:rPr>
          <w:szCs w:val="22"/>
        </w:rPr>
        <w:t>Young Persons’ Homelessness Protocol</w:t>
      </w:r>
    </w:p>
    <w:p w14:paraId="413315D9" w14:textId="77777777" w:rsidR="00D44DA6" w:rsidRPr="00711DFD" w:rsidRDefault="00D44DA6" w:rsidP="00711DFD">
      <w:pPr>
        <w:numPr>
          <w:ilvl w:val="1"/>
          <w:numId w:val="7"/>
        </w:numPr>
        <w:tabs>
          <w:tab w:val="clear" w:pos="1080"/>
          <w:tab w:val="num" w:pos="426"/>
          <w:tab w:val="num" w:pos="709"/>
        </w:tabs>
        <w:spacing w:after="80"/>
        <w:ind w:left="425" w:firstLine="0"/>
        <w:jc w:val="both"/>
        <w:rPr>
          <w:szCs w:val="22"/>
        </w:rPr>
      </w:pPr>
      <w:r w:rsidRPr="00711DFD">
        <w:rPr>
          <w:szCs w:val="22"/>
        </w:rPr>
        <w:t>Multi-Agency Protocol for Resettlement and Housing of Offenders</w:t>
      </w:r>
    </w:p>
    <w:p w14:paraId="5FD9F63A" w14:textId="77777777" w:rsidR="00D44DA6" w:rsidRPr="00711DFD" w:rsidRDefault="00D44DA6" w:rsidP="00711DFD">
      <w:pPr>
        <w:numPr>
          <w:ilvl w:val="1"/>
          <w:numId w:val="7"/>
        </w:numPr>
        <w:tabs>
          <w:tab w:val="clear" w:pos="1080"/>
          <w:tab w:val="num" w:pos="426"/>
          <w:tab w:val="num" w:pos="709"/>
        </w:tabs>
        <w:ind w:left="426" w:firstLine="0"/>
        <w:jc w:val="both"/>
        <w:rPr>
          <w:szCs w:val="22"/>
        </w:rPr>
      </w:pPr>
      <w:r w:rsidRPr="00711DFD">
        <w:rPr>
          <w:szCs w:val="22"/>
        </w:rPr>
        <w:t>Mental Health Protocols</w:t>
      </w:r>
    </w:p>
    <w:p w14:paraId="47C80B73" w14:textId="77777777" w:rsidR="00D44DA6" w:rsidRPr="00711DFD" w:rsidRDefault="00D44DA6" w:rsidP="00711DFD">
      <w:pPr>
        <w:tabs>
          <w:tab w:val="num" w:pos="426"/>
        </w:tabs>
        <w:ind w:left="426" w:hanging="426"/>
        <w:jc w:val="both"/>
        <w:rPr>
          <w:szCs w:val="22"/>
        </w:rPr>
      </w:pPr>
    </w:p>
    <w:p w14:paraId="606C28B2" w14:textId="77777777" w:rsidR="00F953FC" w:rsidRPr="00711DFD" w:rsidRDefault="00D44DA6" w:rsidP="00711DFD">
      <w:pPr>
        <w:tabs>
          <w:tab w:val="num" w:pos="426"/>
        </w:tabs>
        <w:ind w:left="426" w:hanging="426"/>
        <w:jc w:val="both"/>
        <w:rPr>
          <w:szCs w:val="22"/>
        </w:rPr>
      </w:pPr>
      <w:r w:rsidRPr="00711DFD">
        <w:rPr>
          <w:szCs w:val="22"/>
        </w:rPr>
        <w:t>12.</w:t>
      </w:r>
      <w:r w:rsidRPr="00711DFD">
        <w:rPr>
          <w:szCs w:val="22"/>
        </w:rPr>
        <w:tab/>
      </w:r>
      <w:r w:rsidR="004D307E" w:rsidRPr="00711DFD">
        <w:rPr>
          <w:szCs w:val="22"/>
        </w:rPr>
        <w:t>Local Authorities must have regard to the Homeless (Accommodation) Suitability Order 2003</w:t>
      </w:r>
      <w:r w:rsidR="00E9502D">
        <w:rPr>
          <w:szCs w:val="22"/>
        </w:rPr>
        <w:t xml:space="preserve"> </w:t>
      </w:r>
      <w:r w:rsidRPr="00711DFD">
        <w:rPr>
          <w:szCs w:val="22"/>
        </w:rPr>
        <w:t xml:space="preserve">regarding placements </w:t>
      </w:r>
      <w:r w:rsidR="004D307E" w:rsidRPr="00711DFD">
        <w:rPr>
          <w:szCs w:val="22"/>
        </w:rPr>
        <w:t xml:space="preserve">of families with dependent children </w:t>
      </w:r>
      <w:r w:rsidRPr="00711DFD">
        <w:rPr>
          <w:szCs w:val="22"/>
        </w:rPr>
        <w:t>in bed and breakfast accommodation</w:t>
      </w:r>
      <w:r w:rsidR="004D307E" w:rsidRPr="00711DFD">
        <w:rPr>
          <w:szCs w:val="22"/>
        </w:rPr>
        <w:t>,</w:t>
      </w:r>
      <w:r w:rsidRPr="00711DFD">
        <w:rPr>
          <w:szCs w:val="22"/>
        </w:rPr>
        <w:t xml:space="preserve"> </w:t>
      </w:r>
      <w:r w:rsidR="004D307E" w:rsidRPr="00711DFD">
        <w:rPr>
          <w:szCs w:val="22"/>
        </w:rPr>
        <w:t>only placing in emergencies and for no longer than six weeks.</w:t>
      </w:r>
    </w:p>
    <w:p w14:paraId="3062206A" w14:textId="77777777" w:rsidR="00D44DA6" w:rsidRPr="00711DFD" w:rsidRDefault="00D44DA6" w:rsidP="00711DFD">
      <w:pPr>
        <w:tabs>
          <w:tab w:val="num" w:pos="426"/>
        </w:tabs>
        <w:ind w:left="426" w:hanging="426"/>
        <w:jc w:val="both"/>
        <w:rPr>
          <w:szCs w:val="22"/>
        </w:rPr>
      </w:pPr>
    </w:p>
    <w:p w14:paraId="3F823DA0" w14:textId="77777777" w:rsidR="00D44DA6" w:rsidRPr="00711DFD" w:rsidRDefault="00D44DA6" w:rsidP="00711DFD">
      <w:pPr>
        <w:tabs>
          <w:tab w:val="num" w:pos="426"/>
        </w:tabs>
        <w:ind w:left="426" w:hanging="426"/>
        <w:jc w:val="both"/>
        <w:rPr>
          <w:szCs w:val="22"/>
        </w:rPr>
      </w:pPr>
      <w:r w:rsidRPr="00711DFD">
        <w:rPr>
          <w:szCs w:val="22"/>
        </w:rPr>
        <w:t>13.</w:t>
      </w:r>
      <w:r w:rsidRPr="00711DFD">
        <w:rPr>
          <w:szCs w:val="22"/>
        </w:rPr>
        <w:tab/>
      </w:r>
      <w:r w:rsidR="00F953FC" w:rsidRPr="00711DFD">
        <w:rPr>
          <w:szCs w:val="22"/>
        </w:rPr>
        <w:t>Local Authorities should have regard to the Young Persons Homeless Protocol (2017) when placing 16 and 17 year olds into temporary accommodation.</w:t>
      </w:r>
    </w:p>
    <w:p w14:paraId="02830908" w14:textId="77777777" w:rsidR="005E5C0F" w:rsidRPr="00711DFD" w:rsidRDefault="005E5C0F" w:rsidP="00711DFD">
      <w:pPr>
        <w:tabs>
          <w:tab w:val="num" w:pos="426"/>
        </w:tabs>
        <w:ind w:left="426" w:hanging="426"/>
        <w:jc w:val="both"/>
        <w:rPr>
          <w:szCs w:val="22"/>
        </w:rPr>
      </w:pPr>
    </w:p>
    <w:p w14:paraId="77FE2C94" w14:textId="77777777" w:rsidR="005E5C0F" w:rsidRPr="00711DFD" w:rsidRDefault="005E5C0F" w:rsidP="00711DFD">
      <w:pPr>
        <w:tabs>
          <w:tab w:val="num" w:pos="426"/>
        </w:tabs>
        <w:ind w:left="426" w:hanging="426"/>
        <w:jc w:val="both"/>
        <w:rPr>
          <w:szCs w:val="22"/>
        </w:rPr>
      </w:pPr>
      <w:r w:rsidRPr="00711DFD">
        <w:rPr>
          <w:szCs w:val="22"/>
        </w:rPr>
        <w:t xml:space="preserve">14. </w:t>
      </w:r>
      <w:r w:rsidR="00FE037C" w:rsidRPr="00711DFD">
        <w:rPr>
          <w:szCs w:val="22"/>
        </w:rPr>
        <w:t xml:space="preserve">Local Authorities when ending the temporary accommodation, for any reason, will notify the receiving authority of the reason the </w:t>
      </w:r>
      <w:r w:rsidR="00E9502D">
        <w:rPr>
          <w:szCs w:val="22"/>
        </w:rPr>
        <w:t xml:space="preserve">provision of </w:t>
      </w:r>
      <w:r w:rsidR="00FE037C" w:rsidRPr="00711DFD">
        <w:rPr>
          <w:szCs w:val="22"/>
        </w:rPr>
        <w:t xml:space="preserve">temporary accommodation has been brought to an end. </w:t>
      </w:r>
    </w:p>
    <w:p w14:paraId="5EF0AC25" w14:textId="77777777" w:rsidR="00D44DA6" w:rsidRPr="00711DFD" w:rsidRDefault="00D44DA6" w:rsidP="00711DFD">
      <w:pPr>
        <w:jc w:val="both"/>
        <w:rPr>
          <w:szCs w:val="22"/>
        </w:rPr>
      </w:pPr>
    </w:p>
    <w:p w14:paraId="52090000" w14:textId="77777777" w:rsidR="00D44DA6" w:rsidRPr="00711DFD" w:rsidRDefault="00D44DA6" w:rsidP="00711DFD">
      <w:pPr>
        <w:pStyle w:val="Heading1"/>
        <w:jc w:val="both"/>
        <w:rPr>
          <w:szCs w:val="22"/>
          <w:u w:val="none"/>
        </w:rPr>
      </w:pPr>
      <w:r w:rsidRPr="00711DFD">
        <w:rPr>
          <w:szCs w:val="22"/>
          <w:u w:val="none"/>
        </w:rPr>
        <w:t>Support and Links between Agencies</w:t>
      </w:r>
    </w:p>
    <w:p w14:paraId="3E51E3CE" w14:textId="77777777" w:rsidR="00D44DA6" w:rsidRPr="00711DFD" w:rsidRDefault="00D44DA6" w:rsidP="00711DFD">
      <w:pPr>
        <w:jc w:val="both"/>
        <w:rPr>
          <w:b/>
          <w:bCs/>
          <w:szCs w:val="22"/>
          <w:u w:val="single"/>
        </w:rPr>
      </w:pPr>
    </w:p>
    <w:p w14:paraId="669D2D93" w14:textId="77777777" w:rsidR="00D44DA6" w:rsidRPr="00711DFD" w:rsidRDefault="00D44DA6" w:rsidP="00711DFD">
      <w:pPr>
        <w:pStyle w:val="BodyText"/>
        <w:numPr>
          <w:ilvl w:val="0"/>
          <w:numId w:val="13"/>
        </w:numPr>
        <w:tabs>
          <w:tab w:val="clear" w:pos="720"/>
          <w:tab w:val="num" w:pos="426"/>
        </w:tabs>
        <w:ind w:left="426" w:hanging="426"/>
        <w:rPr>
          <w:rFonts w:cs="Arial"/>
          <w:szCs w:val="22"/>
        </w:rPr>
      </w:pPr>
      <w:r w:rsidRPr="00711DFD">
        <w:rPr>
          <w:rFonts w:cs="Arial"/>
          <w:szCs w:val="22"/>
        </w:rPr>
        <w:t>Many households placed in</w:t>
      </w:r>
      <w:r w:rsidR="002F6761" w:rsidRPr="00711DFD">
        <w:rPr>
          <w:rFonts w:cs="Arial"/>
          <w:szCs w:val="22"/>
        </w:rPr>
        <w:t xml:space="preserve">to temporary accommodation </w:t>
      </w:r>
      <w:r w:rsidRPr="00711DFD">
        <w:rPr>
          <w:rFonts w:cs="Arial"/>
          <w:szCs w:val="22"/>
        </w:rPr>
        <w:t>are vulnerable and therefore external agencies, such as floating support, should be utilised when placing a vulnerable household in emergency accommodation to provide additional support and expertise to people in crisis.</w:t>
      </w:r>
    </w:p>
    <w:p w14:paraId="36EA5524" w14:textId="77777777" w:rsidR="00D44DA6" w:rsidRPr="00711DFD" w:rsidRDefault="00D44DA6" w:rsidP="00711DFD">
      <w:pPr>
        <w:pStyle w:val="BodyText"/>
        <w:tabs>
          <w:tab w:val="num" w:pos="426"/>
        </w:tabs>
        <w:ind w:left="426" w:hanging="426"/>
        <w:rPr>
          <w:rFonts w:cs="Arial"/>
          <w:szCs w:val="22"/>
        </w:rPr>
      </w:pPr>
    </w:p>
    <w:p w14:paraId="56D11FC4" w14:textId="77777777" w:rsidR="00D44DA6" w:rsidRPr="00711DFD" w:rsidRDefault="00D44DA6" w:rsidP="00711DFD">
      <w:pPr>
        <w:numPr>
          <w:ilvl w:val="0"/>
          <w:numId w:val="13"/>
        </w:numPr>
        <w:tabs>
          <w:tab w:val="clear" w:pos="720"/>
          <w:tab w:val="num" w:pos="426"/>
        </w:tabs>
        <w:ind w:left="426" w:hanging="426"/>
        <w:jc w:val="both"/>
        <w:rPr>
          <w:szCs w:val="22"/>
        </w:rPr>
      </w:pPr>
      <w:r w:rsidRPr="00711DFD">
        <w:rPr>
          <w:szCs w:val="22"/>
        </w:rPr>
        <w:t>It is acknowledged that a move is likely to cause disruption to the household’s access to appropriate services; therefore the referrer should try to ensure that those households maintain links with those services wherever possible.  Any referrals must be done with the full agreement of the client, unless there is a child protection issue in which case a referral must be made to Children’s Social Services.</w:t>
      </w:r>
    </w:p>
    <w:p w14:paraId="2FBC8C4E" w14:textId="77777777" w:rsidR="00D44DA6" w:rsidRPr="00711DFD" w:rsidRDefault="00D44DA6" w:rsidP="00711DFD">
      <w:pPr>
        <w:tabs>
          <w:tab w:val="num" w:pos="426"/>
        </w:tabs>
        <w:ind w:left="426" w:hanging="426"/>
        <w:jc w:val="both"/>
        <w:rPr>
          <w:szCs w:val="22"/>
        </w:rPr>
      </w:pPr>
    </w:p>
    <w:p w14:paraId="6F5F479A" w14:textId="77777777" w:rsidR="00FE037C" w:rsidRPr="00711DFD" w:rsidRDefault="00D44DA6" w:rsidP="00711DFD">
      <w:pPr>
        <w:pStyle w:val="BodyText"/>
        <w:numPr>
          <w:ilvl w:val="0"/>
          <w:numId w:val="13"/>
        </w:numPr>
        <w:tabs>
          <w:tab w:val="clear" w:pos="720"/>
          <w:tab w:val="num" w:pos="426"/>
        </w:tabs>
        <w:ind w:left="426" w:hanging="426"/>
        <w:rPr>
          <w:rFonts w:cs="Arial"/>
          <w:szCs w:val="22"/>
        </w:rPr>
      </w:pPr>
      <w:r w:rsidRPr="00711DFD">
        <w:rPr>
          <w:rFonts w:cs="Arial"/>
          <w:szCs w:val="22"/>
        </w:rPr>
        <w:t xml:space="preserve">Where appropriate, </w:t>
      </w:r>
      <w:r w:rsidR="002F6761" w:rsidRPr="00711DFD">
        <w:rPr>
          <w:rFonts w:cs="Arial"/>
          <w:szCs w:val="22"/>
        </w:rPr>
        <w:t>s</w:t>
      </w:r>
      <w:r w:rsidRPr="00711DFD">
        <w:rPr>
          <w:rFonts w:cs="Arial"/>
          <w:szCs w:val="22"/>
        </w:rPr>
        <w:t xml:space="preserve">tatutory </w:t>
      </w:r>
      <w:r w:rsidR="002F6761" w:rsidRPr="00711DFD">
        <w:rPr>
          <w:rFonts w:cs="Arial"/>
          <w:szCs w:val="22"/>
        </w:rPr>
        <w:t>a</w:t>
      </w:r>
      <w:r w:rsidRPr="00711DFD">
        <w:rPr>
          <w:rFonts w:cs="Arial"/>
          <w:szCs w:val="22"/>
        </w:rPr>
        <w:t>gencies should be informed when a household leaves emergency accommodation.</w:t>
      </w:r>
    </w:p>
    <w:p w14:paraId="12853BF8" w14:textId="77777777" w:rsidR="0041339B" w:rsidRPr="00711DFD" w:rsidRDefault="0041339B" w:rsidP="00711DFD">
      <w:pPr>
        <w:pStyle w:val="Footer"/>
        <w:tabs>
          <w:tab w:val="clear" w:pos="4153"/>
          <w:tab w:val="clear" w:pos="8306"/>
        </w:tabs>
        <w:jc w:val="both"/>
        <w:rPr>
          <w:b/>
          <w:szCs w:val="22"/>
        </w:rPr>
      </w:pPr>
    </w:p>
    <w:p w14:paraId="1C5A4F7F" w14:textId="77777777" w:rsidR="00FE037C" w:rsidRPr="00711DFD" w:rsidRDefault="00FE037C" w:rsidP="00711DFD">
      <w:pPr>
        <w:pStyle w:val="Footer"/>
        <w:tabs>
          <w:tab w:val="clear" w:pos="4153"/>
          <w:tab w:val="clear" w:pos="8306"/>
        </w:tabs>
        <w:jc w:val="both"/>
        <w:rPr>
          <w:b/>
          <w:szCs w:val="22"/>
        </w:rPr>
      </w:pPr>
      <w:r w:rsidRPr="00711DFD">
        <w:rPr>
          <w:b/>
          <w:szCs w:val="22"/>
        </w:rPr>
        <w:t>Review</w:t>
      </w:r>
      <w:r w:rsidR="0041339B" w:rsidRPr="00711DFD">
        <w:rPr>
          <w:b/>
          <w:szCs w:val="22"/>
        </w:rPr>
        <w:t xml:space="preserve"> of Protocol</w:t>
      </w:r>
    </w:p>
    <w:p w14:paraId="4FA869AB" w14:textId="77777777" w:rsidR="00FE037C" w:rsidRPr="00711DFD" w:rsidRDefault="00FE037C" w:rsidP="00711DFD">
      <w:pPr>
        <w:pStyle w:val="Footer"/>
        <w:tabs>
          <w:tab w:val="clear" w:pos="4153"/>
          <w:tab w:val="clear" w:pos="8306"/>
        </w:tabs>
        <w:jc w:val="both"/>
        <w:rPr>
          <w:szCs w:val="22"/>
        </w:rPr>
      </w:pPr>
    </w:p>
    <w:p w14:paraId="0AEA973F" w14:textId="77777777" w:rsidR="00FE037C" w:rsidRPr="00711DFD" w:rsidRDefault="00FE037C" w:rsidP="00711DFD">
      <w:pPr>
        <w:pStyle w:val="Footer"/>
        <w:tabs>
          <w:tab w:val="clear" w:pos="4153"/>
          <w:tab w:val="clear" w:pos="8306"/>
        </w:tabs>
        <w:jc w:val="both"/>
        <w:rPr>
          <w:szCs w:val="22"/>
        </w:rPr>
      </w:pPr>
      <w:r w:rsidRPr="00711DFD">
        <w:rPr>
          <w:szCs w:val="22"/>
        </w:rPr>
        <w:t>This protocol will be subject to a review in April 2018 to take account of the Homelessness Reduction Act 2017.</w:t>
      </w:r>
    </w:p>
    <w:sectPr w:rsidR="00FE037C" w:rsidRPr="00711DFD" w:rsidSect="0041663F">
      <w:footerReference w:type="even" r:id="rId11"/>
      <w:footerReference w:type="default" r:id="rId12"/>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F2051D" w15:done="0"/>
  <w15:commentEx w15:paraId="58BB058C" w15:done="0"/>
  <w15:commentEx w15:paraId="19D0A7CD" w15:done="0"/>
  <w15:commentEx w15:paraId="74C212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16735" w14:textId="77777777" w:rsidR="00490054" w:rsidRDefault="00490054">
      <w:r>
        <w:separator/>
      </w:r>
    </w:p>
  </w:endnote>
  <w:endnote w:type="continuationSeparator" w:id="0">
    <w:p w14:paraId="3AD0DEE5" w14:textId="77777777" w:rsidR="00490054" w:rsidRDefault="00490054">
      <w:r>
        <w:continuationSeparator/>
      </w:r>
    </w:p>
  </w:endnote>
  <w:endnote w:id="1">
    <w:p w14:paraId="6706A467" w14:textId="69ED7636" w:rsidR="00CD1268" w:rsidRDefault="00CD1268">
      <w:pPr>
        <w:pStyle w:val="EndnoteText"/>
      </w:pPr>
      <w:r>
        <w:rPr>
          <w:rStyle w:val="EndnoteReference"/>
        </w:rPr>
        <w:endnoteRef/>
      </w:r>
      <w:r>
        <w:t xml:space="preserve"> Definition of street gangs by Kent Police: </w:t>
      </w:r>
      <w:r w:rsidRPr="00CD1268">
        <w:t>a relatively durable, predominantly street-based group of young people who see themselves (or are seen by others) as a discernible group; engage in criminal activity and violence; lay claim over territory; have some form of identifying structural feature and; are in conflict with other, similar gangs.’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FA1A" w14:textId="77777777" w:rsidR="00D44DA6" w:rsidRDefault="0041663F">
    <w:pPr>
      <w:pStyle w:val="Footer"/>
      <w:framePr w:wrap="around" w:vAnchor="text" w:hAnchor="margin" w:xAlign="right" w:y="1"/>
      <w:rPr>
        <w:rStyle w:val="PageNumber"/>
      </w:rPr>
    </w:pPr>
    <w:r>
      <w:rPr>
        <w:rStyle w:val="PageNumber"/>
      </w:rPr>
      <w:fldChar w:fldCharType="begin"/>
    </w:r>
    <w:r w:rsidR="00D44DA6">
      <w:rPr>
        <w:rStyle w:val="PageNumber"/>
      </w:rPr>
      <w:instrText xml:space="preserve">PAGE  </w:instrText>
    </w:r>
    <w:r>
      <w:rPr>
        <w:rStyle w:val="PageNumber"/>
      </w:rPr>
      <w:fldChar w:fldCharType="end"/>
    </w:r>
  </w:p>
  <w:p w14:paraId="02FDBBB3" w14:textId="77777777" w:rsidR="00D44DA6" w:rsidRDefault="00D44D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822F" w14:textId="77777777" w:rsidR="00D44DA6" w:rsidRDefault="0041663F">
    <w:pPr>
      <w:pStyle w:val="Footer"/>
      <w:framePr w:wrap="around" w:vAnchor="text" w:hAnchor="margin" w:xAlign="right" w:y="1"/>
      <w:rPr>
        <w:rStyle w:val="PageNumber"/>
      </w:rPr>
    </w:pPr>
    <w:r>
      <w:rPr>
        <w:rStyle w:val="PageNumber"/>
      </w:rPr>
      <w:fldChar w:fldCharType="begin"/>
    </w:r>
    <w:r w:rsidR="00D44DA6">
      <w:rPr>
        <w:rStyle w:val="PageNumber"/>
      </w:rPr>
      <w:instrText xml:space="preserve">PAGE  </w:instrText>
    </w:r>
    <w:r>
      <w:rPr>
        <w:rStyle w:val="PageNumber"/>
      </w:rPr>
      <w:fldChar w:fldCharType="separate"/>
    </w:r>
    <w:r w:rsidR="00CD1268">
      <w:rPr>
        <w:rStyle w:val="PageNumber"/>
        <w:noProof/>
      </w:rPr>
      <w:t>3</w:t>
    </w:r>
    <w:r>
      <w:rPr>
        <w:rStyle w:val="PageNumber"/>
      </w:rPr>
      <w:fldChar w:fldCharType="end"/>
    </w:r>
  </w:p>
  <w:p w14:paraId="62CCEDAF" w14:textId="77777777" w:rsidR="00D44DA6" w:rsidRDefault="00D44DA6" w:rsidP="00D605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B1E4" w14:textId="77777777" w:rsidR="00490054" w:rsidRDefault="00490054">
      <w:r>
        <w:separator/>
      </w:r>
    </w:p>
  </w:footnote>
  <w:footnote w:type="continuationSeparator" w:id="0">
    <w:p w14:paraId="44980E66" w14:textId="77777777" w:rsidR="00490054" w:rsidRDefault="00490054">
      <w:r>
        <w:continuationSeparator/>
      </w:r>
    </w:p>
  </w:footnote>
  <w:footnote w:id="1">
    <w:p w14:paraId="0059D0F5" w14:textId="2D9A7F60" w:rsidR="002F6E27" w:rsidRPr="003E03B1" w:rsidRDefault="002F6E27" w:rsidP="003E03B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FE6"/>
    <w:multiLevelType w:val="hybridMultilevel"/>
    <w:tmpl w:val="4724B9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67192"/>
    <w:multiLevelType w:val="hybridMultilevel"/>
    <w:tmpl w:val="9C8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50322"/>
    <w:multiLevelType w:val="hybridMultilevel"/>
    <w:tmpl w:val="BBD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F79CE"/>
    <w:multiLevelType w:val="hybridMultilevel"/>
    <w:tmpl w:val="43A813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15B77E2"/>
    <w:multiLevelType w:val="hybridMultilevel"/>
    <w:tmpl w:val="BFE4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B1F20"/>
    <w:multiLevelType w:val="hybridMultilevel"/>
    <w:tmpl w:val="6B9EF55E"/>
    <w:lvl w:ilvl="0" w:tplc="04090001">
      <w:start w:val="1"/>
      <w:numFmt w:val="bullet"/>
      <w:lvlText w:val=""/>
      <w:lvlJc w:val="left"/>
      <w:pPr>
        <w:tabs>
          <w:tab w:val="num" w:pos="720"/>
        </w:tabs>
        <w:ind w:left="720" w:hanging="360"/>
      </w:pPr>
      <w:rPr>
        <w:rFonts w:ascii="Symbol" w:hAnsi="Symbol" w:hint="default"/>
      </w:rPr>
    </w:lvl>
    <w:lvl w:ilvl="1" w:tplc="AF66516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07479"/>
    <w:multiLevelType w:val="hybridMultilevel"/>
    <w:tmpl w:val="331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97F2A"/>
    <w:multiLevelType w:val="hybridMultilevel"/>
    <w:tmpl w:val="A86E3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03395B"/>
    <w:multiLevelType w:val="hybridMultilevel"/>
    <w:tmpl w:val="B4F802B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3471A5"/>
    <w:multiLevelType w:val="hybridMultilevel"/>
    <w:tmpl w:val="201E5F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5D1EDD"/>
    <w:multiLevelType w:val="hybridMultilevel"/>
    <w:tmpl w:val="B43CDA0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DC09EB"/>
    <w:multiLevelType w:val="hybridMultilevel"/>
    <w:tmpl w:val="421ED1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C21E06"/>
    <w:multiLevelType w:val="hybridMultilevel"/>
    <w:tmpl w:val="E2020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9C4B4F"/>
    <w:multiLevelType w:val="hybridMultilevel"/>
    <w:tmpl w:val="CDFE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293183"/>
    <w:multiLevelType w:val="hybridMultilevel"/>
    <w:tmpl w:val="6C4C08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AE6466"/>
    <w:multiLevelType w:val="hybridMultilevel"/>
    <w:tmpl w:val="89340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1118A"/>
    <w:multiLevelType w:val="hybridMultilevel"/>
    <w:tmpl w:val="FACE7A74"/>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CE084B"/>
    <w:multiLevelType w:val="hybridMultilevel"/>
    <w:tmpl w:val="BF8A9D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2C0A24"/>
    <w:multiLevelType w:val="hybridMultilevel"/>
    <w:tmpl w:val="69BEF67A"/>
    <w:lvl w:ilvl="0" w:tplc="B20027D2">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3316E8"/>
    <w:multiLevelType w:val="hybridMultilevel"/>
    <w:tmpl w:val="F148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11"/>
  </w:num>
  <w:num w:numId="5">
    <w:abstractNumId w:val="17"/>
  </w:num>
  <w:num w:numId="6">
    <w:abstractNumId w:val="0"/>
  </w:num>
  <w:num w:numId="7">
    <w:abstractNumId w:val="10"/>
  </w:num>
  <w:num w:numId="8">
    <w:abstractNumId w:val="19"/>
  </w:num>
  <w:num w:numId="9">
    <w:abstractNumId w:val="8"/>
  </w:num>
  <w:num w:numId="10">
    <w:abstractNumId w:val="5"/>
  </w:num>
  <w:num w:numId="11">
    <w:abstractNumId w:val="14"/>
  </w:num>
  <w:num w:numId="12">
    <w:abstractNumId w:val="16"/>
  </w:num>
  <w:num w:numId="13">
    <w:abstractNumId w:val="15"/>
  </w:num>
  <w:num w:numId="14">
    <w:abstractNumId w:val="3"/>
  </w:num>
  <w:num w:numId="15">
    <w:abstractNumId w:val="7"/>
  </w:num>
  <w:num w:numId="16">
    <w:abstractNumId w:val="18"/>
  </w:num>
  <w:num w:numId="17">
    <w:abstractNumId w:val="12"/>
  </w:num>
  <w:num w:numId="18">
    <w:abstractNumId w:val="6"/>
  </w:num>
  <w:num w:numId="19">
    <w:abstractNumId w:val="4"/>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ral, Mark">
    <w15:presenceInfo w15:providerId="AD" w15:userId="S-1-5-21-1322847973-125043569-2128430343-15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72"/>
    <w:rsid w:val="000246B1"/>
    <w:rsid w:val="00031A35"/>
    <w:rsid w:val="000B58F3"/>
    <w:rsid w:val="000F6738"/>
    <w:rsid w:val="0011026D"/>
    <w:rsid w:val="0018006C"/>
    <w:rsid w:val="001A1A40"/>
    <w:rsid w:val="00224E19"/>
    <w:rsid w:val="00230EF1"/>
    <w:rsid w:val="00241147"/>
    <w:rsid w:val="00267199"/>
    <w:rsid w:val="00270420"/>
    <w:rsid w:val="0029655C"/>
    <w:rsid w:val="002F6761"/>
    <w:rsid w:val="002F6E27"/>
    <w:rsid w:val="0031143E"/>
    <w:rsid w:val="00312B7A"/>
    <w:rsid w:val="003369CA"/>
    <w:rsid w:val="00391D90"/>
    <w:rsid w:val="003D4796"/>
    <w:rsid w:val="003E03B1"/>
    <w:rsid w:val="003E10AC"/>
    <w:rsid w:val="003E118F"/>
    <w:rsid w:val="003E2C00"/>
    <w:rsid w:val="003F07E8"/>
    <w:rsid w:val="0041339B"/>
    <w:rsid w:val="0041663F"/>
    <w:rsid w:val="00421B49"/>
    <w:rsid w:val="00424131"/>
    <w:rsid w:val="00451911"/>
    <w:rsid w:val="00466F6E"/>
    <w:rsid w:val="00470966"/>
    <w:rsid w:val="00481DC1"/>
    <w:rsid w:val="00490054"/>
    <w:rsid w:val="004921C0"/>
    <w:rsid w:val="004C1B72"/>
    <w:rsid w:val="004C5ACB"/>
    <w:rsid w:val="004D307E"/>
    <w:rsid w:val="00526B73"/>
    <w:rsid w:val="005332A7"/>
    <w:rsid w:val="005611FC"/>
    <w:rsid w:val="005E1B90"/>
    <w:rsid w:val="005E5C0F"/>
    <w:rsid w:val="00613B0D"/>
    <w:rsid w:val="00625DFF"/>
    <w:rsid w:val="00696B65"/>
    <w:rsid w:val="006A4FA3"/>
    <w:rsid w:val="00707F48"/>
    <w:rsid w:val="00711DFD"/>
    <w:rsid w:val="007A3B50"/>
    <w:rsid w:val="007D6CB3"/>
    <w:rsid w:val="007F321D"/>
    <w:rsid w:val="008F484F"/>
    <w:rsid w:val="00901EE7"/>
    <w:rsid w:val="00942C89"/>
    <w:rsid w:val="00971E50"/>
    <w:rsid w:val="00987619"/>
    <w:rsid w:val="00AA42C6"/>
    <w:rsid w:val="00AA6B73"/>
    <w:rsid w:val="00AB378B"/>
    <w:rsid w:val="00AC1915"/>
    <w:rsid w:val="00AE7B8F"/>
    <w:rsid w:val="00B70BE6"/>
    <w:rsid w:val="00B824EC"/>
    <w:rsid w:val="00BB5BC7"/>
    <w:rsid w:val="00BC6B5B"/>
    <w:rsid w:val="00BD3403"/>
    <w:rsid w:val="00CA51F4"/>
    <w:rsid w:val="00CC4251"/>
    <w:rsid w:val="00CD0EF0"/>
    <w:rsid w:val="00CD1268"/>
    <w:rsid w:val="00CD34EF"/>
    <w:rsid w:val="00D03D3A"/>
    <w:rsid w:val="00D44DA6"/>
    <w:rsid w:val="00D60562"/>
    <w:rsid w:val="00DC0A71"/>
    <w:rsid w:val="00DC74AA"/>
    <w:rsid w:val="00DE206B"/>
    <w:rsid w:val="00DE568E"/>
    <w:rsid w:val="00E272B0"/>
    <w:rsid w:val="00E84D55"/>
    <w:rsid w:val="00E9502D"/>
    <w:rsid w:val="00EA7114"/>
    <w:rsid w:val="00ED48F1"/>
    <w:rsid w:val="00F552FF"/>
    <w:rsid w:val="00F61042"/>
    <w:rsid w:val="00F85FC4"/>
    <w:rsid w:val="00F953FC"/>
    <w:rsid w:val="00F95B80"/>
    <w:rsid w:val="00FE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86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cs="Times New Roman"/>
      <w:szCs w:val="20"/>
      <w:lang w:eastAsia="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cs="Times New Roman"/>
      <w:b/>
      <w:szCs w:val="20"/>
    </w:rPr>
  </w:style>
  <w:style w:type="paragraph" w:styleId="BodyTextIndent">
    <w:name w:val="Body Text Indent"/>
    <w:basedOn w:val="Normal"/>
    <w:semiHidden/>
    <w:pPr>
      <w:ind w:left="360"/>
    </w:pPr>
  </w:style>
  <w:style w:type="character" w:styleId="Emphasis">
    <w:name w:val="Emphasis"/>
    <w:basedOn w:val="DefaultParagraphFont"/>
    <w:uiPriority w:val="20"/>
    <w:qFormat/>
    <w:rsid w:val="00696B65"/>
    <w:rPr>
      <w:i/>
      <w:iCs/>
    </w:rPr>
  </w:style>
  <w:style w:type="paragraph" w:styleId="ListParagraph">
    <w:name w:val="List Paragraph"/>
    <w:basedOn w:val="Normal"/>
    <w:uiPriority w:val="34"/>
    <w:qFormat/>
    <w:rsid w:val="00696B65"/>
    <w:pPr>
      <w:ind w:left="720"/>
      <w:contextualSpacing/>
    </w:pPr>
  </w:style>
  <w:style w:type="paragraph" w:customStyle="1" w:styleId="Default">
    <w:name w:val="Default"/>
    <w:rsid w:val="00CC4251"/>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2F6E27"/>
    <w:rPr>
      <w:sz w:val="20"/>
      <w:szCs w:val="20"/>
    </w:rPr>
  </w:style>
  <w:style w:type="character" w:customStyle="1" w:styleId="FootnoteTextChar">
    <w:name w:val="Footnote Text Char"/>
    <w:basedOn w:val="DefaultParagraphFont"/>
    <w:link w:val="FootnoteText"/>
    <w:uiPriority w:val="99"/>
    <w:semiHidden/>
    <w:rsid w:val="002F6E27"/>
    <w:rPr>
      <w:rFonts w:ascii="Arial" w:hAnsi="Arial" w:cs="Arial"/>
      <w:lang w:eastAsia="en-US"/>
    </w:rPr>
  </w:style>
  <w:style w:type="character" w:styleId="FootnoteReference">
    <w:name w:val="footnote reference"/>
    <w:basedOn w:val="DefaultParagraphFont"/>
    <w:uiPriority w:val="99"/>
    <w:semiHidden/>
    <w:unhideWhenUsed/>
    <w:rsid w:val="002F6E27"/>
    <w:rPr>
      <w:vertAlign w:val="superscript"/>
    </w:rPr>
  </w:style>
  <w:style w:type="character" w:customStyle="1" w:styleId="legds2">
    <w:name w:val="legds2"/>
    <w:basedOn w:val="DefaultParagraphFont"/>
    <w:rsid w:val="00BD3403"/>
    <w:rPr>
      <w:vanish w:val="0"/>
      <w:webHidden w:val="0"/>
      <w:specVanish w:val="0"/>
    </w:rPr>
  </w:style>
  <w:style w:type="character" w:styleId="CommentReference">
    <w:name w:val="annotation reference"/>
    <w:basedOn w:val="DefaultParagraphFont"/>
    <w:uiPriority w:val="99"/>
    <w:semiHidden/>
    <w:unhideWhenUsed/>
    <w:rsid w:val="000B58F3"/>
    <w:rPr>
      <w:sz w:val="16"/>
      <w:szCs w:val="16"/>
    </w:rPr>
  </w:style>
  <w:style w:type="paragraph" w:styleId="CommentText">
    <w:name w:val="annotation text"/>
    <w:basedOn w:val="Normal"/>
    <w:link w:val="CommentTextChar"/>
    <w:uiPriority w:val="99"/>
    <w:semiHidden/>
    <w:unhideWhenUsed/>
    <w:rsid w:val="000B58F3"/>
    <w:rPr>
      <w:sz w:val="20"/>
      <w:szCs w:val="20"/>
    </w:rPr>
  </w:style>
  <w:style w:type="character" w:customStyle="1" w:styleId="CommentTextChar">
    <w:name w:val="Comment Text Char"/>
    <w:basedOn w:val="DefaultParagraphFont"/>
    <w:link w:val="CommentText"/>
    <w:uiPriority w:val="99"/>
    <w:semiHidden/>
    <w:rsid w:val="000B58F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B58F3"/>
    <w:rPr>
      <w:b/>
      <w:bCs/>
    </w:rPr>
  </w:style>
  <w:style w:type="character" w:customStyle="1" w:styleId="CommentSubjectChar">
    <w:name w:val="Comment Subject Char"/>
    <w:basedOn w:val="CommentTextChar"/>
    <w:link w:val="CommentSubject"/>
    <w:uiPriority w:val="99"/>
    <w:semiHidden/>
    <w:rsid w:val="000B58F3"/>
    <w:rPr>
      <w:rFonts w:ascii="Arial" w:hAnsi="Arial" w:cs="Arial"/>
      <w:b/>
      <w:bCs/>
      <w:lang w:eastAsia="en-US"/>
    </w:rPr>
  </w:style>
  <w:style w:type="paragraph" w:styleId="EndnoteText">
    <w:name w:val="endnote text"/>
    <w:basedOn w:val="Normal"/>
    <w:link w:val="EndnoteTextChar"/>
    <w:uiPriority w:val="99"/>
    <w:semiHidden/>
    <w:unhideWhenUsed/>
    <w:rsid w:val="00CD1268"/>
    <w:rPr>
      <w:sz w:val="20"/>
      <w:szCs w:val="20"/>
    </w:rPr>
  </w:style>
  <w:style w:type="character" w:customStyle="1" w:styleId="EndnoteTextChar">
    <w:name w:val="Endnote Text Char"/>
    <w:basedOn w:val="DefaultParagraphFont"/>
    <w:link w:val="EndnoteText"/>
    <w:uiPriority w:val="99"/>
    <w:semiHidden/>
    <w:rsid w:val="00CD1268"/>
    <w:rPr>
      <w:rFonts w:ascii="Arial" w:hAnsi="Arial" w:cs="Arial"/>
      <w:lang w:eastAsia="en-US"/>
    </w:rPr>
  </w:style>
  <w:style w:type="character" w:styleId="EndnoteReference">
    <w:name w:val="endnote reference"/>
    <w:basedOn w:val="DefaultParagraphFont"/>
    <w:uiPriority w:val="99"/>
    <w:semiHidden/>
    <w:unhideWhenUsed/>
    <w:rsid w:val="00CD12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cs="Times New Roman"/>
      <w:szCs w:val="20"/>
      <w:lang w:eastAsia="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rFonts w:cs="Times New Roman"/>
      <w:b/>
      <w:szCs w:val="20"/>
    </w:rPr>
  </w:style>
  <w:style w:type="paragraph" w:styleId="BodyTextIndent">
    <w:name w:val="Body Text Indent"/>
    <w:basedOn w:val="Normal"/>
    <w:semiHidden/>
    <w:pPr>
      <w:ind w:left="360"/>
    </w:pPr>
  </w:style>
  <w:style w:type="character" w:styleId="Emphasis">
    <w:name w:val="Emphasis"/>
    <w:basedOn w:val="DefaultParagraphFont"/>
    <w:uiPriority w:val="20"/>
    <w:qFormat/>
    <w:rsid w:val="00696B65"/>
    <w:rPr>
      <w:i/>
      <w:iCs/>
    </w:rPr>
  </w:style>
  <w:style w:type="paragraph" w:styleId="ListParagraph">
    <w:name w:val="List Paragraph"/>
    <w:basedOn w:val="Normal"/>
    <w:uiPriority w:val="34"/>
    <w:qFormat/>
    <w:rsid w:val="00696B65"/>
    <w:pPr>
      <w:ind w:left="720"/>
      <w:contextualSpacing/>
    </w:pPr>
  </w:style>
  <w:style w:type="paragraph" w:customStyle="1" w:styleId="Default">
    <w:name w:val="Default"/>
    <w:rsid w:val="00CC4251"/>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2F6E27"/>
    <w:rPr>
      <w:sz w:val="20"/>
      <w:szCs w:val="20"/>
    </w:rPr>
  </w:style>
  <w:style w:type="character" w:customStyle="1" w:styleId="FootnoteTextChar">
    <w:name w:val="Footnote Text Char"/>
    <w:basedOn w:val="DefaultParagraphFont"/>
    <w:link w:val="FootnoteText"/>
    <w:uiPriority w:val="99"/>
    <w:semiHidden/>
    <w:rsid w:val="002F6E27"/>
    <w:rPr>
      <w:rFonts w:ascii="Arial" w:hAnsi="Arial" w:cs="Arial"/>
      <w:lang w:eastAsia="en-US"/>
    </w:rPr>
  </w:style>
  <w:style w:type="character" w:styleId="FootnoteReference">
    <w:name w:val="footnote reference"/>
    <w:basedOn w:val="DefaultParagraphFont"/>
    <w:uiPriority w:val="99"/>
    <w:semiHidden/>
    <w:unhideWhenUsed/>
    <w:rsid w:val="002F6E27"/>
    <w:rPr>
      <w:vertAlign w:val="superscript"/>
    </w:rPr>
  </w:style>
  <w:style w:type="character" w:customStyle="1" w:styleId="legds2">
    <w:name w:val="legds2"/>
    <w:basedOn w:val="DefaultParagraphFont"/>
    <w:rsid w:val="00BD3403"/>
    <w:rPr>
      <w:vanish w:val="0"/>
      <w:webHidden w:val="0"/>
      <w:specVanish w:val="0"/>
    </w:rPr>
  </w:style>
  <w:style w:type="character" w:styleId="CommentReference">
    <w:name w:val="annotation reference"/>
    <w:basedOn w:val="DefaultParagraphFont"/>
    <w:uiPriority w:val="99"/>
    <w:semiHidden/>
    <w:unhideWhenUsed/>
    <w:rsid w:val="000B58F3"/>
    <w:rPr>
      <w:sz w:val="16"/>
      <w:szCs w:val="16"/>
    </w:rPr>
  </w:style>
  <w:style w:type="paragraph" w:styleId="CommentText">
    <w:name w:val="annotation text"/>
    <w:basedOn w:val="Normal"/>
    <w:link w:val="CommentTextChar"/>
    <w:uiPriority w:val="99"/>
    <w:semiHidden/>
    <w:unhideWhenUsed/>
    <w:rsid w:val="000B58F3"/>
    <w:rPr>
      <w:sz w:val="20"/>
      <w:szCs w:val="20"/>
    </w:rPr>
  </w:style>
  <w:style w:type="character" w:customStyle="1" w:styleId="CommentTextChar">
    <w:name w:val="Comment Text Char"/>
    <w:basedOn w:val="DefaultParagraphFont"/>
    <w:link w:val="CommentText"/>
    <w:uiPriority w:val="99"/>
    <w:semiHidden/>
    <w:rsid w:val="000B58F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B58F3"/>
    <w:rPr>
      <w:b/>
      <w:bCs/>
    </w:rPr>
  </w:style>
  <w:style w:type="character" w:customStyle="1" w:styleId="CommentSubjectChar">
    <w:name w:val="Comment Subject Char"/>
    <w:basedOn w:val="CommentTextChar"/>
    <w:link w:val="CommentSubject"/>
    <w:uiPriority w:val="99"/>
    <w:semiHidden/>
    <w:rsid w:val="000B58F3"/>
    <w:rPr>
      <w:rFonts w:ascii="Arial" w:hAnsi="Arial" w:cs="Arial"/>
      <w:b/>
      <w:bCs/>
      <w:lang w:eastAsia="en-US"/>
    </w:rPr>
  </w:style>
  <w:style w:type="paragraph" w:styleId="EndnoteText">
    <w:name w:val="endnote text"/>
    <w:basedOn w:val="Normal"/>
    <w:link w:val="EndnoteTextChar"/>
    <w:uiPriority w:val="99"/>
    <w:semiHidden/>
    <w:unhideWhenUsed/>
    <w:rsid w:val="00CD1268"/>
    <w:rPr>
      <w:sz w:val="20"/>
      <w:szCs w:val="20"/>
    </w:rPr>
  </w:style>
  <w:style w:type="character" w:customStyle="1" w:styleId="EndnoteTextChar">
    <w:name w:val="Endnote Text Char"/>
    <w:basedOn w:val="DefaultParagraphFont"/>
    <w:link w:val="EndnoteText"/>
    <w:uiPriority w:val="99"/>
    <w:semiHidden/>
    <w:rsid w:val="00CD1268"/>
    <w:rPr>
      <w:rFonts w:ascii="Arial" w:hAnsi="Arial" w:cs="Arial"/>
      <w:lang w:eastAsia="en-US"/>
    </w:rPr>
  </w:style>
  <w:style w:type="character" w:styleId="EndnoteReference">
    <w:name w:val="endnote reference"/>
    <w:basedOn w:val="DefaultParagraphFont"/>
    <w:uiPriority w:val="99"/>
    <w:semiHidden/>
    <w:unhideWhenUsed/>
    <w:rsid w:val="00CD1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BDE1-8BD2-4ED1-83B6-1E54556E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1141</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Protocol between Kent Local Housing Authorities, other Referring Agencies and The Hotel Leslie for Emergency Accommodation Pla</vt:lpstr>
    </vt:vector>
  </TitlesOfParts>
  <Company>Canterbury City Council</Company>
  <LinksUpToDate>false</LinksUpToDate>
  <CharactersWithSpaces>7509</CharactersWithSpaces>
  <SharedDoc>false</SharedDoc>
  <HLinks>
    <vt:vector size="6" baseType="variant">
      <vt:variant>
        <vt:i4>3080317</vt:i4>
      </vt:variant>
      <vt:variant>
        <vt:i4>0</vt:i4>
      </vt:variant>
      <vt:variant>
        <vt:i4>0</vt:i4>
      </vt:variant>
      <vt:variant>
        <vt:i4>5</vt:i4>
      </vt:variant>
      <vt:variant>
        <vt:lpwstr>http://www.kentjppbhousing.org/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between Kent Local Housing Authorities, other Referring Agencies and The Hotel Leslie for Emergency Accommodation Pla</dc:title>
  <dc:creator>Computer Centre</dc:creator>
  <cp:lastModifiedBy>Lesley Clay</cp:lastModifiedBy>
  <cp:revision>7</cp:revision>
  <cp:lastPrinted>2009-09-30T07:26:00Z</cp:lastPrinted>
  <dcterms:created xsi:type="dcterms:W3CDTF">2017-11-27T15:51:00Z</dcterms:created>
  <dcterms:modified xsi:type="dcterms:W3CDTF">2018-01-16T11:21:00Z</dcterms:modified>
</cp:coreProperties>
</file>